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B18B25">
      <w:pPr>
        <w:jc w:val="center"/>
        <w:rPr>
          <w:rFonts w:hint="default" w:ascii="Times New Roman" w:hAnsi="Times New Roman" w:eastAsia="宋体" w:cs="Times New Roman"/>
          <w:b/>
          <w:bCs/>
          <w:color w:val="auto"/>
          <w:sz w:val="56"/>
          <w:szCs w:val="96"/>
          <w:u w:val="none" w:color="auto"/>
        </w:rPr>
      </w:pPr>
    </w:p>
    <w:p w14:paraId="4E1960B6">
      <w:pPr>
        <w:jc w:val="center"/>
        <w:rPr>
          <w:rFonts w:hint="default" w:ascii="Times New Roman" w:hAnsi="Times New Roman" w:eastAsia="宋体" w:cs="Times New Roman"/>
          <w:b/>
          <w:bCs/>
          <w:color w:val="auto"/>
          <w:sz w:val="56"/>
          <w:szCs w:val="96"/>
          <w:u w:val="none" w:color="auto"/>
        </w:rPr>
      </w:pPr>
    </w:p>
    <w:p w14:paraId="102424B8">
      <w:pPr>
        <w:jc w:val="center"/>
        <w:rPr>
          <w:rFonts w:hint="default" w:ascii="Times New Roman" w:hAnsi="Times New Roman" w:eastAsia="宋体" w:cs="Times New Roman"/>
          <w:b/>
          <w:bCs/>
          <w:color w:val="auto"/>
          <w:sz w:val="56"/>
          <w:szCs w:val="96"/>
          <w:u w:val="none" w:color="auto"/>
        </w:rPr>
      </w:pPr>
    </w:p>
    <w:p w14:paraId="594FF853">
      <w:pPr>
        <w:jc w:val="center"/>
        <w:rPr>
          <w:rFonts w:hint="default" w:ascii="Times New Roman" w:hAnsi="Times New Roman" w:eastAsia="宋体" w:cs="Times New Roman"/>
          <w:b/>
          <w:bCs/>
          <w:color w:val="auto"/>
          <w:sz w:val="56"/>
          <w:szCs w:val="96"/>
          <w:u w:val="none" w:color="auto"/>
        </w:rPr>
      </w:pPr>
    </w:p>
    <w:p w14:paraId="3B40D482">
      <w:pPr>
        <w:jc w:val="center"/>
        <w:rPr>
          <w:rFonts w:hint="default" w:ascii="Times New Roman" w:hAnsi="Times New Roman" w:eastAsia="宋体" w:cs="Times New Roman"/>
          <w:b/>
          <w:bCs/>
          <w:color w:val="auto"/>
          <w:sz w:val="56"/>
          <w:szCs w:val="96"/>
          <w:u w:val="none" w:color="auto"/>
        </w:rPr>
      </w:pPr>
      <w:r>
        <w:rPr>
          <w:rFonts w:hint="default" w:ascii="Times New Roman" w:hAnsi="Times New Roman" w:eastAsia="宋体" w:cs="Times New Roman"/>
          <w:b/>
          <w:bCs/>
          <w:color w:val="auto"/>
          <w:sz w:val="56"/>
          <w:szCs w:val="96"/>
          <w:u w:val="none" w:color="auto"/>
        </w:rPr>
        <w:t>建设项目环境影响报告表</w:t>
      </w:r>
    </w:p>
    <w:p w14:paraId="68D9472E">
      <w:pPr>
        <w:adjustRightInd w:val="0"/>
        <w:snapToGrid w:val="0"/>
        <w:spacing w:before="249" w:beforeLines="80"/>
        <w:jc w:val="center"/>
        <w:rPr>
          <w:rFonts w:hint="default" w:ascii="Times New Roman" w:hAnsi="Times New Roman" w:eastAsia="楷体_GB2312" w:cs="Times New Roman"/>
          <w:bCs/>
          <w:color w:val="auto"/>
          <w:sz w:val="44"/>
          <w:szCs w:val="44"/>
          <w:u w:val="none" w:color="auto"/>
        </w:rPr>
      </w:pPr>
      <w:r>
        <w:rPr>
          <w:rFonts w:hint="default" w:ascii="Times New Roman" w:hAnsi="Times New Roman" w:eastAsia="楷体_GB2312" w:cs="Times New Roman"/>
          <w:bCs/>
          <w:color w:val="auto"/>
          <w:sz w:val="44"/>
          <w:szCs w:val="44"/>
          <w:u w:val="none" w:color="auto"/>
        </w:rPr>
        <w:t>（污染影响类）</w:t>
      </w:r>
    </w:p>
    <w:p w14:paraId="26943075">
      <w:pPr>
        <w:rPr>
          <w:rFonts w:hint="default" w:ascii="Times New Roman" w:hAnsi="Times New Roman" w:eastAsia="宋体" w:cs="Times New Roman"/>
          <w:color w:val="auto"/>
          <w:u w:val="none" w:color="auto"/>
        </w:rPr>
      </w:pPr>
    </w:p>
    <w:p w14:paraId="198DB3EB">
      <w:pPr>
        <w:rPr>
          <w:rFonts w:hint="default" w:ascii="Times New Roman" w:hAnsi="Times New Roman" w:eastAsia="宋体" w:cs="Times New Roman"/>
          <w:color w:val="auto"/>
          <w:u w:val="none" w:color="auto"/>
        </w:rPr>
      </w:pPr>
    </w:p>
    <w:p w14:paraId="6DC1E7E3">
      <w:pPr>
        <w:rPr>
          <w:rFonts w:hint="default" w:ascii="Times New Roman" w:hAnsi="Times New Roman" w:eastAsia="宋体" w:cs="Times New Roman"/>
          <w:color w:val="auto"/>
          <w:u w:val="none" w:color="auto"/>
        </w:rPr>
      </w:pPr>
    </w:p>
    <w:p w14:paraId="5F6C199D">
      <w:pPr>
        <w:rPr>
          <w:rFonts w:hint="default" w:ascii="Times New Roman" w:hAnsi="Times New Roman" w:eastAsia="宋体" w:cs="Times New Roman"/>
          <w:color w:val="auto"/>
          <w:u w:val="none" w:color="auto"/>
        </w:rPr>
      </w:pPr>
    </w:p>
    <w:p w14:paraId="25F7B9C3">
      <w:pPr>
        <w:rPr>
          <w:rFonts w:hint="default" w:ascii="Times New Roman" w:hAnsi="Times New Roman" w:eastAsia="宋体" w:cs="Times New Roman"/>
          <w:color w:val="auto"/>
          <w:sz w:val="20"/>
          <w:szCs w:val="22"/>
          <w:u w:val="none" w:color="auto"/>
        </w:rPr>
      </w:pPr>
    </w:p>
    <w:p w14:paraId="3B5A0C1F">
      <w:pPr>
        <w:adjustRightInd w:val="0"/>
        <w:snapToGrid w:val="0"/>
        <w:spacing w:line="288" w:lineRule="auto"/>
        <w:ind w:firstLine="1040"/>
        <w:rPr>
          <w:rFonts w:hint="default" w:ascii="Times New Roman" w:hAnsi="Times New Roman" w:eastAsia="仿宋_GB2312" w:cs="Times New Roman"/>
          <w:color w:val="auto"/>
          <w:sz w:val="32"/>
          <w:szCs w:val="32"/>
          <w:u w:val="none" w:color="auto"/>
        </w:rPr>
      </w:pPr>
    </w:p>
    <w:p w14:paraId="444832A9">
      <w:pPr>
        <w:adjustRightInd w:val="0"/>
        <w:snapToGrid w:val="0"/>
        <w:spacing w:line="288" w:lineRule="auto"/>
        <w:ind w:firstLine="1040"/>
        <w:rPr>
          <w:rFonts w:hint="default" w:ascii="Times New Roman" w:hAnsi="Times New Roman" w:eastAsia="仿宋_GB2312" w:cs="Times New Roman"/>
          <w:color w:val="auto"/>
          <w:sz w:val="32"/>
          <w:szCs w:val="32"/>
          <w:u w:val="none" w:color="auto"/>
        </w:rPr>
      </w:pPr>
    </w:p>
    <w:p w14:paraId="45778255">
      <w:pPr>
        <w:adjustRightInd w:val="0"/>
        <w:snapToGrid w:val="0"/>
        <w:spacing w:line="288" w:lineRule="auto"/>
        <w:ind w:firstLine="1040"/>
        <w:rPr>
          <w:rFonts w:hint="default" w:ascii="Times New Roman" w:hAnsi="Times New Roman" w:eastAsia="仿宋_GB2312" w:cs="Times New Roman"/>
          <w:color w:val="auto"/>
          <w:sz w:val="32"/>
          <w:szCs w:val="32"/>
          <w:u w:val="none" w:color="auto"/>
        </w:rPr>
      </w:pPr>
    </w:p>
    <w:p w14:paraId="4BFC1364">
      <w:pPr>
        <w:adjustRightInd w:val="0"/>
        <w:snapToGrid w:val="0"/>
        <w:spacing w:line="288" w:lineRule="auto"/>
        <w:ind w:firstLine="1040"/>
        <w:rPr>
          <w:rFonts w:hint="default" w:ascii="Times New Roman" w:hAnsi="Times New Roman" w:eastAsia="仿宋_GB2312" w:cs="Times New Roman"/>
          <w:color w:val="auto"/>
          <w:sz w:val="32"/>
          <w:szCs w:val="32"/>
          <w:u w:val="none" w:color="auto"/>
        </w:rPr>
      </w:pPr>
    </w:p>
    <w:p w14:paraId="78CA2DA8">
      <w:pPr>
        <w:adjustRightInd w:val="0"/>
        <w:snapToGrid w:val="0"/>
        <w:spacing w:line="288" w:lineRule="auto"/>
        <w:ind w:firstLine="1040"/>
        <w:rPr>
          <w:rFonts w:hint="default" w:ascii="Times New Roman" w:hAnsi="Times New Roman" w:eastAsia="仿宋_GB2312" w:cs="Times New Roman"/>
          <w:color w:val="auto"/>
          <w:sz w:val="32"/>
          <w:szCs w:val="32"/>
          <w:u w:val="none" w:color="auto"/>
        </w:rPr>
      </w:pPr>
    </w:p>
    <w:p w14:paraId="5CEA123E">
      <w:pPr>
        <w:adjustRightInd w:val="0"/>
        <w:snapToGrid w:val="0"/>
        <w:spacing w:line="240" w:lineRule="auto"/>
        <w:ind w:firstLine="320" w:firstLineChars="100"/>
        <w:rPr>
          <w:rFonts w:hint="default" w:ascii="Times New Roman" w:hAnsi="Times New Roman" w:eastAsia="仿宋_GB2312" w:cs="Times New Roman"/>
          <w:color w:val="auto"/>
          <w:sz w:val="32"/>
          <w:szCs w:val="32"/>
          <w:u w:val="single" w:color="auto"/>
          <w:lang w:val="en-US"/>
        </w:rPr>
      </w:pPr>
      <w:r>
        <w:rPr>
          <w:rFonts w:hint="default" w:ascii="Times New Roman" w:hAnsi="Times New Roman" w:eastAsia="仿宋_GB2312" w:cs="Times New Roman"/>
          <w:color w:val="auto"/>
          <w:sz w:val="32"/>
          <w:szCs w:val="32"/>
          <w:u w:val="none" w:color="auto"/>
        </w:rPr>
        <w:t>项目名称</w:t>
      </w:r>
      <w:r>
        <w:rPr>
          <w:rFonts w:hint="eastAsia" w:ascii="Times New Roman" w:hAnsi="Times New Roman" w:eastAsia="仿宋_GB2312" w:cs="Times New Roman"/>
          <w:color w:val="auto"/>
          <w:sz w:val="32"/>
          <w:szCs w:val="32"/>
          <w:u w:val="none" w:color="auto"/>
          <w:lang w:eastAsia="zh-CN"/>
        </w:rPr>
        <w:t>：</w:t>
      </w:r>
      <w:r>
        <w:rPr>
          <w:rFonts w:hint="eastAsia" w:eastAsia="仿宋_GB2312" w:cs="Times New Roman"/>
          <w:color w:val="auto"/>
          <w:sz w:val="32"/>
          <w:szCs w:val="32"/>
          <w:u w:val="single" w:color="auto"/>
          <w:lang w:val="en-US" w:eastAsia="zh-CN"/>
        </w:rPr>
        <w:t>年产风扇、风罩3000台套、年处理高铁连接板8000件建设项目</w:t>
      </w:r>
      <w:r>
        <w:rPr>
          <w:rFonts w:hint="default" w:ascii="Times New Roman" w:hAnsi="Times New Roman" w:eastAsia="仿宋_GB2312" w:cs="Times New Roman"/>
          <w:color w:val="auto"/>
          <w:sz w:val="32"/>
          <w:szCs w:val="32"/>
          <w:u w:val="single" w:color="auto"/>
          <w:lang w:val="en-US" w:eastAsia="zh-CN"/>
        </w:rPr>
        <w:t xml:space="preserve">    </w:t>
      </w:r>
    </w:p>
    <w:p w14:paraId="717A1CE6">
      <w:pPr>
        <w:adjustRightInd w:val="0"/>
        <w:snapToGrid w:val="0"/>
        <w:spacing w:line="240" w:lineRule="auto"/>
        <w:ind w:firstLine="320" w:firstLineChars="100"/>
        <w:rPr>
          <w:rFonts w:hint="default" w:ascii="Times New Roman" w:hAnsi="Times New Roman" w:eastAsia="仿宋_GB2312" w:cs="Times New Roman"/>
          <w:color w:val="auto"/>
          <w:sz w:val="32"/>
          <w:szCs w:val="32"/>
          <w:u w:val="none" w:color="auto"/>
          <w:lang w:eastAsia="zh-CN"/>
        </w:rPr>
      </w:pPr>
      <w:r>
        <w:rPr>
          <w:rFonts w:hint="default" w:ascii="Times New Roman" w:hAnsi="Times New Roman" w:eastAsia="仿宋_GB2312" w:cs="Times New Roman"/>
          <w:color w:val="auto"/>
          <w:sz w:val="32"/>
          <w:szCs w:val="32"/>
          <w:u w:val="none" w:color="auto"/>
        </w:rPr>
        <w:t>建设单位（盖章）</w:t>
      </w:r>
      <w:r>
        <w:rPr>
          <w:rFonts w:hint="eastAsia" w:ascii="Times New Roman" w:hAnsi="Times New Roman" w:eastAsia="仿宋_GB2312" w:cs="Times New Roman"/>
          <w:color w:val="auto"/>
          <w:sz w:val="32"/>
          <w:szCs w:val="32"/>
          <w:u w:val="none" w:color="auto"/>
          <w:lang w:eastAsia="zh-CN"/>
        </w:rPr>
        <w:t>：</w:t>
      </w:r>
      <w:r>
        <w:rPr>
          <w:rFonts w:hint="default" w:ascii="Times New Roman" w:hAnsi="Times New Roman" w:eastAsia="仿宋_GB2312" w:cs="Times New Roman"/>
          <w:color w:val="auto"/>
          <w:sz w:val="32"/>
          <w:szCs w:val="32"/>
          <w:u w:val="single" w:color="auto"/>
        </w:rPr>
        <w:t xml:space="preserve"> </w:t>
      </w:r>
      <w:r>
        <w:rPr>
          <w:rFonts w:hint="default" w:ascii="Times New Roman" w:hAnsi="Times New Roman" w:eastAsia="仿宋_GB2312" w:cs="Times New Roman"/>
          <w:color w:val="auto"/>
          <w:sz w:val="32"/>
          <w:szCs w:val="32"/>
          <w:u w:val="single" w:color="auto"/>
          <w:lang w:val="en-US" w:eastAsia="zh-CN"/>
        </w:rPr>
        <w:t>湘潭海鑫金属节能制品有限公司</w:t>
      </w:r>
    </w:p>
    <w:p w14:paraId="38E10763">
      <w:pPr>
        <w:adjustRightInd w:val="0"/>
        <w:snapToGrid w:val="0"/>
        <w:spacing w:line="240" w:lineRule="auto"/>
        <w:ind w:firstLine="320" w:firstLineChars="100"/>
        <w:rPr>
          <w:rFonts w:hint="default" w:ascii="Times New Roman" w:hAnsi="Times New Roman" w:eastAsia="仿宋_GB2312" w:cs="Times New Roman"/>
          <w:color w:val="auto"/>
          <w:sz w:val="36"/>
          <w:szCs w:val="36"/>
          <w:u w:val="none" w:color="auto"/>
        </w:rPr>
      </w:pPr>
      <w:r>
        <w:rPr>
          <w:rFonts w:hint="default" w:ascii="Times New Roman" w:hAnsi="Times New Roman" w:eastAsia="仿宋_GB2312" w:cs="Times New Roman"/>
          <w:color w:val="auto"/>
          <w:sz w:val="32"/>
          <w:szCs w:val="32"/>
          <w:u w:val="none" w:color="auto"/>
        </w:rPr>
        <w:t>编制日期</w:t>
      </w:r>
      <w:r>
        <w:rPr>
          <w:rFonts w:hint="eastAsia" w:ascii="Times New Roman" w:hAnsi="Times New Roman" w:eastAsia="仿宋_GB2312" w:cs="Times New Roman"/>
          <w:color w:val="auto"/>
          <w:sz w:val="32"/>
          <w:szCs w:val="32"/>
          <w:u w:val="none" w:color="auto"/>
          <w:lang w:eastAsia="zh-CN"/>
        </w:rPr>
        <w:t>：</w:t>
      </w:r>
      <w:r>
        <w:rPr>
          <w:rFonts w:hint="default" w:ascii="Times New Roman" w:hAnsi="Times New Roman" w:eastAsia="仿宋_GB2312" w:cs="Times New Roman"/>
          <w:color w:val="auto"/>
          <w:sz w:val="32"/>
          <w:szCs w:val="32"/>
          <w:u w:val="single" w:color="auto"/>
        </w:rPr>
        <w:t xml:space="preserve">       202</w:t>
      </w:r>
      <w:r>
        <w:rPr>
          <w:rFonts w:hint="eastAsia" w:ascii="Times New Roman" w:hAnsi="Times New Roman" w:eastAsia="仿宋_GB2312" w:cs="Times New Roman"/>
          <w:color w:val="auto"/>
          <w:sz w:val="32"/>
          <w:szCs w:val="32"/>
          <w:u w:val="single" w:color="auto"/>
          <w:lang w:val="en-US" w:eastAsia="zh-CN"/>
        </w:rPr>
        <w:t>5</w:t>
      </w:r>
      <w:r>
        <w:rPr>
          <w:rFonts w:hint="default" w:ascii="Times New Roman" w:hAnsi="Times New Roman" w:eastAsia="仿宋_GB2312" w:cs="Times New Roman"/>
          <w:color w:val="auto"/>
          <w:sz w:val="32"/>
          <w:szCs w:val="32"/>
          <w:u w:val="single" w:color="auto"/>
        </w:rPr>
        <w:t>年</w:t>
      </w:r>
      <w:r>
        <w:rPr>
          <w:rFonts w:hint="eastAsia" w:eastAsia="仿宋_GB2312" w:cs="Times New Roman"/>
          <w:color w:val="auto"/>
          <w:sz w:val="32"/>
          <w:szCs w:val="32"/>
          <w:u w:val="single" w:color="auto"/>
          <w:lang w:val="en-US" w:eastAsia="zh-CN"/>
        </w:rPr>
        <w:t>7</w:t>
      </w:r>
      <w:r>
        <w:rPr>
          <w:rFonts w:hint="default" w:ascii="Times New Roman" w:hAnsi="Times New Roman" w:eastAsia="仿宋_GB2312" w:cs="Times New Roman"/>
          <w:color w:val="auto"/>
          <w:sz w:val="32"/>
          <w:szCs w:val="32"/>
          <w:u w:val="single" w:color="auto"/>
        </w:rPr>
        <w:t xml:space="preserve">月               </w:t>
      </w:r>
      <w:r>
        <w:rPr>
          <w:rFonts w:hint="default" w:ascii="Times New Roman" w:hAnsi="Times New Roman" w:eastAsia="仿宋_GB2312" w:cs="Times New Roman"/>
          <w:color w:val="auto"/>
          <w:sz w:val="32"/>
          <w:szCs w:val="32"/>
          <w:u w:val="none" w:color="auto"/>
        </w:rPr>
        <w:t xml:space="preserve"> </w:t>
      </w:r>
    </w:p>
    <w:p w14:paraId="2E4DB564">
      <w:pPr>
        <w:adjustRightInd w:val="0"/>
        <w:snapToGrid w:val="0"/>
        <w:spacing w:line="288" w:lineRule="auto"/>
        <w:ind w:firstLine="1040"/>
        <w:rPr>
          <w:rFonts w:hint="default" w:ascii="Times New Roman" w:hAnsi="Times New Roman" w:eastAsia="仿宋_GB2312" w:cs="Times New Roman"/>
          <w:color w:val="auto"/>
          <w:sz w:val="36"/>
          <w:szCs w:val="36"/>
          <w:u w:val="none" w:color="auto"/>
        </w:rPr>
      </w:pPr>
      <w:bookmarkStart w:id="0" w:name="_Hlk57884087"/>
    </w:p>
    <w:p w14:paraId="1DB1BF87">
      <w:pPr>
        <w:adjustRightInd w:val="0"/>
        <w:snapToGrid w:val="0"/>
        <w:spacing w:line="288" w:lineRule="auto"/>
        <w:ind w:firstLine="1040"/>
        <w:rPr>
          <w:rFonts w:hint="default" w:ascii="Times New Roman" w:hAnsi="Times New Roman" w:eastAsia="仿宋_GB2312" w:cs="Times New Roman"/>
          <w:color w:val="auto"/>
          <w:sz w:val="36"/>
          <w:szCs w:val="36"/>
          <w:u w:val="none" w:color="auto"/>
        </w:rPr>
      </w:pPr>
    </w:p>
    <w:p w14:paraId="6F3CE88B">
      <w:pPr>
        <w:adjustRightInd w:val="0"/>
        <w:snapToGrid w:val="0"/>
        <w:spacing w:line="288" w:lineRule="auto"/>
        <w:ind w:firstLine="1040"/>
        <w:rPr>
          <w:rFonts w:hint="default" w:ascii="Times New Roman" w:hAnsi="Times New Roman" w:eastAsia="仿宋_GB2312" w:cs="Times New Roman"/>
          <w:color w:val="auto"/>
          <w:sz w:val="36"/>
          <w:szCs w:val="36"/>
          <w:u w:val="none" w:color="auto"/>
        </w:rPr>
      </w:pPr>
    </w:p>
    <w:p w14:paraId="05AF61CA">
      <w:pPr>
        <w:adjustRightInd w:val="0"/>
        <w:snapToGrid w:val="0"/>
        <w:spacing w:line="288" w:lineRule="auto"/>
        <w:ind w:firstLine="1040"/>
        <w:rPr>
          <w:rFonts w:hint="default" w:ascii="Times New Roman" w:hAnsi="Times New Roman" w:eastAsia="仿宋_GB2312" w:cs="Times New Roman"/>
          <w:color w:val="auto"/>
          <w:sz w:val="36"/>
          <w:szCs w:val="36"/>
          <w:u w:val="none" w:color="auto"/>
        </w:rPr>
      </w:pPr>
    </w:p>
    <w:p w14:paraId="1416AFC8">
      <w:pPr>
        <w:adjustRightInd w:val="0"/>
        <w:snapToGrid w:val="0"/>
        <w:spacing w:line="288" w:lineRule="auto"/>
        <w:ind w:firstLine="1040"/>
        <w:rPr>
          <w:rFonts w:hint="default" w:ascii="Times New Roman" w:hAnsi="Times New Roman" w:eastAsia="仿宋_GB2312" w:cs="Times New Roman"/>
          <w:color w:val="auto"/>
          <w:sz w:val="36"/>
          <w:szCs w:val="36"/>
          <w:u w:val="none" w:color="auto"/>
        </w:rPr>
      </w:pPr>
    </w:p>
    <w:p w14:paraId="2991AB04">
      <w:pPr>
        <w:adjustRightInd w:val="0"/>
        <w:snapToGrid w:val="0"/>
        <w:spacing w:line="288" w:lineRule="auto"/>
        <w:ind w:firstLine="1040"/>
        <w:rPr>
          <w:rFonts w:hint="default" w:ascii="Times New Roman" w:hAnsi="Times New Roman" w:eastAsia="仿宋_GB2312" w:cs="Times New Roman"/>
          <w:color w:val="auto"/>
          <w:sz w:val="36"/>
          <w:szCs w:val="36"/>
          <w:u w:val="none" w:color="auto"/>
        </w:rPr>
      </w:pPr>
    </w:p>
    <w:bookmarkEnd w:id="0"/>
    <w:p w14:paraId="709C70A8">
      <w:pPr>
        <w:jc w:val="center"/>
        <w:rPr>
          <w:rFonts w:hint="default" w:ascii="Times New Roman" w:hAnsi="Times New Roman" w:eastAsia="楷体_GB2312" w:cs="Times New Roman"/>
          <w:b/>
          <w:color w:val="auto"/>
          <w:kern w:val="2"/>
          <w:sz w:val="36"/>
          <w:szCs w:val="36"/>
          <w:u w:val="none" w:color="auto"/>
          <w:lang w:val="en-US" w:eastAsia="zh-CN" w:bidi="ar-SA"/>
        </w:rPr>
      </w:pPr>
      <w:r>
        <w:rPr>
          <w:rFonts w:hint="default" w:ascii="Times New Roman" w:hAnsi="Times New Roman" w:eastAsia="楷体_GB2312" w:cs="Times New Roman"/>
          <w:b/>
          <w:color w:val="auto"/>
          <w:kern w:val="2"/>
          <w:sz w:val="36"/>
          <w:szCs w:val="36"/>
          <w:u w:val="none" w:color="auto"/>
          <w:lang w:val="en-US" w:eastAsia="zh-CN" w:bidi="ar-SA"/>
        </w:rPr>
        <w:t>中华人民共和国生态环境部制</w:t>
      </w:r>
    </w:p>
    <w:p w14:paraId="049FEBE6">
      <w:pPr>
        <w:rPr>
          <w:rFonts w:hint="default" w:ascii="Times New Roman" w:hAnsi="Times New Roman" w:eastAsia="楷体_GB2312" w:cs="Times New Roman"/>
          <w:b/>
          <w:color w:val="auto"/>
          <w:kern w:val="2"/>
          <w:sz w:val="36"/>
          <w:szCs w:val="36"/>
          <w:u w:val="none" w:color="auto"/>
          <w:lang w:val="en-US" w:eastAsia="zh-CN" w:bidi="ar-SA"/>
        </w:rPr>
      </w:pPr>
      <w:r>
        <w:rPr>
          <w:rFonts w:hint="default" w:ascii="Times New Roman" w:hAnsi="Times New Roman" w:eastAsia="楷体_GB2312" w:cs="Times New Roman"/>
          <w:b/>
          <w:color w:val="auto"/>
          <w:kern w:val="2"/>
          <w:sz w:val="36"/>
          <w:szCs w:val="36"/>
          <w:u w:val="none" w:color="auto"/>
          <w:lang w:val="en-US" w:eastAsia="zh-CN" w:bidi="ar-SA"/>
        </w:rPr>
        <w:br w:type="page"/>
      </w:r>
    </w:p>
    <w:p w14:paraId="224A49F4">
      <w:pPr>
        <w:keepNext w:val="0"/>
        <w:keepLines w:val="0"/>
        <w:pageBreakBefore w:val="0"/>
        <w:widowControl w:val="0"/>
        <w:kinsoku/>
        <w:wordWrap/>
        <w:overflowPunct/>
        <w:topLinePunct w:val="0"/>
        <w:autoSpaceDE/>
        <w:autoSpaceDN/>
        <w:bidi w:val="0"/>
        <w:adjustRightInd/>
        <w:snapToGrid/>
        <w:spacing w:before="0" w:beforeLines="0" w:after="157" w:afterLines="50" w:line="360" w:lineRule="auto"/>
        <w:ind w:left="0" w:leftChars="0" w:right="0" w:rightChars="0" w:firstLine="0" w:firstLineChars="0"/>
        <w:jc w:val="center"/>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目录</w:t>
      </w:r>
    </w:p>
    <w:p w14:paraId="30028F29">
      <w:pPr>
        <w:keepNext w:val="0"/>
        <w:keepLines w:val="0"/>
        <w:pageBreakBefore w:val="0"/>
        <w:widowControl w:val="0"/>
        <w:tabs>
          <w:tab w:val="right" w:leader="dot" w:pos="8844"/>
        </w:tabs>
        <w:kinsoku/>
        <w:wordWrap/>
        <w:overflowPunct/>
        <w:topLinePunct w:val="0"/>
        <w:autoSpaceDE/>
        <w:autoSpaceDN/>
        <w:bidi w:val="0"/>
        <w:adjustRightInd/>
        <w:snapToGrid/>
        <w:spacing w:line="360" w:lineRule="auto"/>
        <w:jc w:val="both"/>
        <w:textAlignment w:val="auto"/>
        <w:rPr>
          <w:rFonts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fldChar w:fldCharType="begin"/>
      </w:r>
      <w:r>
        <w:rPr>
          <w:rFonts w:hint="default" w:ascii="Times New Roman" w:hAnsi="Times New Roman" w:eastAsia="宋体" w:cs="Times New Roman"/>
          <w:color w:val="auto"/>
          <w:kern w:val="2"/>
          <w:sz w:val="28"/>
          <w:szCs w:val="28"/>
          <w:lang w:val="en-US" w:eastAsia="zh-CN" w:bidi="ar-SA"/>
        </w:rPr>
        <w:instrText xml:space="preserve">TOC \o "1-1" \h \u </w:instrText>
      </w:r>
      <w:r>
        <w:rPr>
          <w:rFonts w:hint="default" w:ascii="Times New Roman" w:hAnsi="Times New Roman" w:eastAsia="宋体" w:cs="Times New Roman"/>
          <w:color w:val="auto"/>
          <w:kern w:val="2"/>
          <w:sz w:val="28"/>
          <w:szCs w:val="28"/>
          <w:lang w:val="en-US" w:eastAsia="zh-CN" w:bidi="ar-SA"/>
        </w:rPr>
        <w:fldChar w:fldCharType="separate"/>
      </w:r>
      <w:r>
        <w:rPr>
          <w:rFonts w:hint="default" w:ascii="Times New Roman" w:hAnsi="Times New Roman" w:eastAsia="宋体" w:cs="Times New Roman"/>
          <w:color w:val="auto"/>
          <w:kern w:val="2"/>
          <w:sz w:val="28"/>
          <w:szCs w:val="28"/>
          <w:lang w:val="en-US" w:eastAsia="zh-CN" w:bidi="ar-SA"/>
        </w:rPr>
        <w:fldChar w:fldCharType="begin"/>
      </w:r>
      <w:r>
        <w:rPr>
          <w:rFonts w:hint="default" w:ascii="Times New Roman" w:hAnsi="Times New Roman" w:eastAsia="宋体" w:cs="Times New Roman"/>
          <w:color w:val="auto"/>
          <w:kern w:val="2"/>
          <w:sz w:val="28"/>
          <w:szCs w:val="28"/>
          <w:lang w:val="en-US" w:eastAsia="zh-CN" w:bidi="ar-SA"/>
        </w:rPr>
        <w:instrText xml:space="preserve"> HYPERLINK \l _Toc18076 </w:instrText>
      </w:r>
      <w:r>
        <w:rPr>
          <w:rFonts w:hint="default" w:ascii="Times New Roman" w:hAnsi="Times New Roman" w:eastAsia="宋体" w:cs="Times New Roman"/>
          <w:color w:val="auto"/>
          <w:kern w:val="2"/>
          <w:sz w:val="28"/>
          <w:szCs w:val="28"/>
          <w:lang w:val="en-US" w:eastAsia="zh-CN" w:bidi="ar-SA"/>
        </w:rPr>
        <w:fldChar w:fldCharType="separate"/>
      </w:r>
      <w:r>
        <w:rPr>
          <w:rFonts w:hint="default" w:ascii="Times New Roman" w:hAnsi="Times New Roman" w:eastAsia="宋体" w:cs="Times New Roman"/>
          <w:snapToGrid w:val="0"/>
          <w:color w:val="auto"/>
          <w:kern w:val="2"/>
          <w:sz w:val="28"/>
          <w:szCs w:val="28"/>
          <w:lang w:val="en-US" w:eastAsia="zh-CN" w:bidi="ar-SA"/>
        </w:rPr>
        <w:t>一、建设项目基本情况</w:t>
      </w:r>
      <w:r>
        <w:rPr>
          <w:rFonts w:ascii="Times New Roman" w:hAnsi="Times New Roman" w:eastAsia="宋体" w:cs="Times New Roman"/>
          <w:color w:val="auto"/>
          <w:kern w:val="2"/>
          <w:sz w:val="28"/>
          <w:szCs w:val="28"/>
          <w:lang w:val="en-US" w:eastAsia="zh-CN" w:bidi="ar-SA"/>
        </w:rPr>
        <w:tab/>
      </w:r>
      <w:r>
        <w:rPr>
          <w:rFonts w:ascii="Times New Roman" w:hAnsi="Times New Roman" w:eastAsia="宋体" w:cs="Times New Roman"/>
          <w:color w:val="auto"/>
          <w:kern w:val="2"/>
          <w:sz w:val="28"/>
          <w:szCs w:val="28"/>
          <w:lang w:val="en-US" w:eastAsia="zh-CN" w:bidi="ar-SA"/>
        </w:rPr>
        <w:fldChar w:fldCharType="begin"/>
      </w:r>
      <w:r>
        <w:rPr>
          <w:rFonts w:ascii="Times New Roman" w:hAnsi="Times New Roman" w:eastAsia="宋体" w:cs="Times New Roman"/>
          <w:color w:val="auto"/>
          <w:kern w:val="2"/>
          <w:sz w:val="28"/>
          <w:szCs w:val="28"/>
          <w:lang w:val="en-US" w:eastAsia="zh-CN" w:bidi="ar-SA"/>
        </w:rPr>
        <w:instrText xml:space="preserve"> PAGEREF _Toc18076 \h </w:instrText>
      </w:r>
      <w:r>
        <w:rPr>
          <w:rFonts w:ascii="Times New Roman" w:hAnsi="Times New Roman" w:eastAsia="宋体" w:cs="Times New Roman"/>
          <w:color w:val="auto"/>
          <w:kern w:val="2"/>
          <w:sz w:val="28"/>
          <w:szCs w:val="28"/>
          <w:lang w:val="en-US" w:eastAsia="zh-CN" w:bidi="ar-SA"/>
        </w:rPr>
        <w:fldChar w:fldCharType="separate"/>
      </w:r>
      <w:r>
        <w:rPr>
          <w:rFonts w:ascii="Times New Roman" w:hAnsi="Times New Roman" w:eastAsia="宋体" w:cs="Times New Roman"/>
          <w:color w:val="auto"/>
          <w:kern w:val="2"/>
          <w:sz w:val="28"/>
          <w:szCs w:val="28"/>
          <w:lang w:val="en-US" w:eastAsia="zh-CN" w:bidi="ar-SA"/>
        </w:rPr>
        <w:t>1</w:t>
      </w:r>
      <w:r>
        <w:rPr>
          <w:rFonts w:ascii="Times New Roman" w:hAnsi="Times New Roman" w:eastAsia="宋体" w:cs="Times New Roman"/>
          <w:color w:val="auto"/>
          <w:kern w:val="2"/>
          <w:sz w:val="28"/>
          <w:szCs w:val="28"/>
          <w:lang w:val="en-US" w:eastAsia="zh-CN" w:bidi="ar-SA"/>
        </w:rPr>
        <w:fldChar w:fldCharType="end"/>
      </w:r>
      <w:r>
        <w:rPr>
          <w:rFonts w:hint="default" w:ascii="Times New Roman" w:hAnsi="Times New Roman" w:eastAsia="宋体" w:cs="Times New Roman"/>
          <w:color w:val="auto"/>
          <w:kern w:val="2"/>
          <w:sz w:val="28"/>
          <w:szCs w:val="28"/>
          <w:lang w:val="en-US" w:eastAsia="zh-CN" w:bidi="ar-SA"/>
        </w:rPr>
        <w:fldChar w:fldCharType="end"/>
      </w:r>
    </w:p>
    <w:p w14:paraId="53C1E04F">
      <w:pPr>
        <w:keepNext w:val="0"/>
        <w:keepLines w:val="0"/>
        <w:pageBreakBefore w:val="0"/>
        <w:widowControl w:val="0"/>
        <w:tabs>
          <w:tab w:val="right" w:leader="dot" w:pos="8844"/>
        </w:tabs>
        <w:kinsoku/>
        <w:wordWrap/>
        <w:overflowPunct/>
        <w:topLinePunct w:val="0"/>
        <w:autoSpaceDE/>
        <w:autoSpaceDN/>
        <w:bidi w:val="0"/>
        <w:adjustRightInd/>
        <w:snapToGrid/>
        <w:spacing w:line="360" w:lineRule="auto"/>
        <w:jc w:val="both"/>
        <w:textAlignment w:val="auto"/>
        <w:rPr>
          <w:rFonts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fldChar w:fldCharType="begin"/>
      </w:r>
      <w:r>
        <w:rPr>
          <w:rFonts w:hint="default" w:ascii="Times New Roman" w:hAnsi="Times New Roman" w:eastAsia="宋体" w:cs="Times New Roman"/>
          <w:color w:val="auto"/>
          <w:kern w:val="2"/>
          <w:sz w:val="28"/>
          <w:szCs w:val="28"/>
          <w:lang w:val="en-US" w:eastAsia="zh-CN" w:bidi="ar-SA"/>
        </w:rPr>
        <w:instrText xml:space="preserve"> HYPERLINK \l _Toc21673 </w:instrText>
      </w:r>
      <w:r>
        <w:rPr>
          <w:rFonts w:hint="default" w:ascii="Times New Roman" w:hAnsi="Times New Roman" w:eastAsia="宋体" w:cs="Times New Roman"/>
          <w:color w:val="auto"/>
          <w:kern w:val="2"/>
          <w:sz w:val="28"/>
          <w:szCs w:val="28"/>
          <w:lang w:val="en-US" w:eastAsia="zh-CN" w:bidi="ar-SA"/>
        </w:rPr>
        <w:fldChar w:fldCharType="separate"/>
      </w:r>
      <w:r>
        <w:rPr>
          <w:rFonts w:hint="default" w:ascii="Times New Roman" w:hAnsi="Times New Roman" w:eastAsia="宋体" w:cs="Times New Roman"/>
          <w:snapToGrid w:val="0"/>
          <w:color w:val="auto"/>
          <w:kern w:val="2"/>
          <w:sz w:val="28"/>
          <w:szCs w:val="28"/>
          <w:lang w:val="en-US" w:eastAsia="zh-CN" w:bidi="ar-SA"/>
        </w:rPr>
        <w:t>二、建设项目工程分析</w:t>
      </w:r>
      <w:r>
        <w:rPr>
          <w:rFonts w:ascii="Times New Roman" w:hAnsi="Times New Roman" w:eastAsia="宋体" w:cs="Times New Roman"/>
          <w:color w:val="auto"/>
          <w:kern w:val="2"/>
          <w:sz w:val="28"/>
          <w:szCs w:val="28"/>
          <w:lang w:val="en-US" w:eastAsia="zh-CN" w:bidi="ar-SA"/>
        </w:rPr>
        <w:tab/>
      </w:r>
      <w:r>
        <w:rPr>
          <w:rFonts w:ascii="Times New Roman" w:hAnsi="Times New Roman" w:eastAsia="宋体" w:cs="Times New Roman"/>
          <w:color w:val="auto"/>
          <w:kern w:val="2"/>
          <w:sz w:val="28"/>
          <w:szCs w:val="28"/>
          <w:lang w:val="en-US" w:eastAsia="zh-CN" w:bidi="ar-SA"/>
        </w:rPr>
        <w:fldChar w:fldCharType="begin"/>
      </w:r>
      <w:r>
        <w:rPr>
          <w:rFonts w:ascii="Times New Roman" w:hAnsi="Times New Roman" w:eastAsia="宋体" w:cs="Times New Roman"/>
          <w:color w:val="auto"/>
          <w:kern w:val="2"/>
          <w:sz w:val="28"/>
          <w:szCs w:val="28"/>
          <w:lang w:val="en-US" w:eastAsia="zh-CN" w:bidi="ar-SA"/>
        </w:rPr>
        <w:instrText xml:space="preserve"> PAGEREF _Toc21673 \h </w:instrText>
      </w:r>
      <w:r>
        <w:rPr>
          <w:rFonts w:ascii="Times New Roman" w:hAnsi="Times New Roman" w:eastAsia="宋体" w:cs="Times New Roman"/>
          <w:color w:val="auto"/>
          <w:kern w:val="2"/>
          <w:sz w:val="28"/>
          <w:szCs w:val="28"/>
          <w:lang w:val="en-US" w:eastAsia="zh-CN" w:bidi="ar-SA"/>
        </w:rPr>
        <w:fldChar w:fldCharType="separate"/>
      </w:r>
      <w:r>
        <w:rPr>
          <w:rFonts w:ascii="Times New Roman" w:hAnsi="Times New Roman" w:eastAsia="宋体" w:cs="Times New Roman"/>
          <w:color w:val="auto"/>
          <w:kern w:val="2"/>
          <w:sz w:val="28"/>
          <w:szCs w:val="28"/>
          <w:lang w:val="en-US" w:eastAsia="zh-CN" w:bidi="ar-SA"/>
        </w:rPr>
        <w:t>25</w:t>
      </w:r>
      <w:r>
        <w:rPr>
          <w:rFonts w:ascii="Times New Roman" w:hAnsi="Times New Roman" w:eastAsia="宋体" w:cs="Times New Roman"/>
          <w:color w:val="auto"/>
          <w:kern w:val="2"/>
          <w:sz w:val="28"/>
          <w:szCs w:val="28"/>
          <w:lang w:val="en-US" w:eastAsia="zh-CN" w:bidi="ar-SA"/>
        </w:rPr>
        <w:fldChar w:fldCharType="end"/>
      </w:r>
      <w:r>
        <w:rPr>
          <w:rFonts w:hint="default" w:ascii="Times New Roman" w:hAnsi="Times New Roman" w:eastAsia="宋体" w:cs="Times New Roman"/>
          <w:color w:val="auto"/>
          <w:kern w:val="2"/>
          <w:sz w:val="28"/>
          <w:szCs w:val="28"/>
          <w:lang w:val="en-US" w:eastAsia="zh-CN" w:bidi="ar-SA"/>
        </w:rPr>
        <w:fldChar w:fldCharType="end"/>
      </w:r>
    </w:p>
    <w:p w14:paraId="2104953E">
      <w:pPr>
        <w:keepNext w:val="0"/>
        <w:keepLines w:val="0"/>
        <w:pageBreakBefore w:val="0"/>
        <w:widowControl w:val="0"/>
        <w:tabs>
          <w:tab w:val="right" w:leader="dot" w:pos="8844"/>
        </w:tabs>
        <w:kinsoku/>
        <w:wordWrap/>
        <w:overflowPunct/>
        <w:topLinePunct w:val="0"/>
        <w:autoSpaceDE/>
        <w:autoSpaceDN/>
        <w:bidi w:val="0"/>
        <w:adjustRightInd/>
        <w:snapToGrid/>
        <w:spacing w:line="360" w:lineRule="auto"/>
        <w:jc w:val="both"/>
        <w:textAlignment w:val="auto"/>
        <w:rPr>
          <w:rFonts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fldChar w:fldCharType="begin"/>
      </w:r>
      <w:r>
        <w:rPr>
          <w:rFonts w:hint="default" w:ascii="Times New Roman" w:hAnsi="Times New Roman" w:eastAsia="宋体" w:cs="Times New Roman"/>
          <w:color w:val="auto"/>
          <w:kern w:val="2"/>
          <w:sz w:val="28"/>
          <w:szCs w:val="28"/>
          <w:lang w:val="en-US" w:eastAsia="zh-CN" w:bidi="ar-SA"/>
        </w:rPr>
        <w:instrText xml:space="preserve"> HYPERLINK \l _Toc11317 </w:instrText>
      </w:r>
      <w:r>
        <w:rPr>
          <w:rFonts w:hint="default" w:ascii="Times New Roman" w:hAnsi="Times New Roman" w:eastAsia="宋体" w:cs="Times New Roman"/>
          <w:color w:val="auto"/>
          <w:kern w:val="2"/>
          <w:sz w:val="28"/>
          <w:szCs w:val="28"/>
          <w:lang w:val="en-US" w:eastAsia="zh-CN" w:bidi="ar-SA"/>
        </w:rPr>
        <w:fldChar w:fldCharType="separate"/>
      </w:r>
      <w:r>
        <w:rPr>
          <w:rFonts w:hint="default" w:ascii="Times New Roman" w:hAnsi="Times New Roman" w:eastAsia="宋体" w:cs="Times New Roman"/>
          <w:snapToGrid w:val="0"/>
          <w:color w:val="auto"/>
          <w:kern w:val="2"/>
          <w:sz w:val="28"/>
          <w:szCs w:val="28"/>
          <w:lang w:val="en-US" w:eastAsia="zh-CN" w:bidi="ar-SA"/>
        </w:rPr>
        <w:t>三、区域环境质量现状、环境保护目标及评价标准</w:t>
      </w:r>
      <w:r>
        <w:rPr>
          <w:rFonts w:ascii="Times New Roman" w:hAnsi="Times New Roman" w:eastAsia="宋体" w:cs="Times New Roman"/>
          <w:color w:val="auto"/>
          <w:kern w:val="2"/>
          <w:sz w:val="28"/>
          <w:szCs w:val="28"/>
          <w:lang w:val="en-US" w:eastAsia="zh-CN" w:bidi="ar-SA"/>
        </w:rPr>
        <w:tab/>
      </w:r>
      <w:r>
        <w:rPr>
          <w:rFonts w:ascii="Times New Roman" w:hAnsi="Times New Roman" w:eastAsia="宋体" w:cs="Times New Roman"/>
          <w:color w:val="auto"/>
          <w:kern w:val="2"/>
          <w:sz w:val="28"/>
          <w:szCs w:val="28"/>
          <w:lang w:val="en-US" w:eastAsia="zh-CN" w:bidi="ar-SA"/>
        </w:rPr>
        <w:fldChar w:fldCharType="begin"/>
      </w:r>
      <w:r>
        <w:rPr>
          <w:rFonts w:ascii="Times New Roman" w:hAnsi="Times New Roman" w:eastAsia="宋体" w:cs="Times New Roman"/>
          <w:color w:val="auto"/>
          <w:kern w:val="2"/>
          <w:sz w:val="28"/>
          <w:szCs w:val="28"/>
          <w:lang w:val="en-US" w:eastAsia="zh-CN" w:bidi="ar-SA"/>
        </w:rPr>
        <w:instrText xml:space="preserve"> PAGEREF _Toc11317 \h </w:instrText>
      </w:r>
      <w:r>
        <w:rPr>
          <w:rFonts w:ascii="Times New Roman" w:hAnsi="Times New Roman" w:eastAsia="宋体" w:cs="Times New Roman"/>
          <w:color w:val="auto"/>
          <w:kern w:val="2"/>
          <w:sz w:val="28"/>
          <w:szCs w:val="28"/>
          <w:lang w:val="en-US" w:eastAsia="zh-CN" w:bidi="ar-SA"/>
        </w:rPr>
        <w:fldChar w:fldCharType="separate"/>
      </w:r>
      <w:r>
        <w:rPr>
          <w:rFonts w:ascii="Times New Roman" w:hAnsi="Times New Roman" w:eastAsia="宋体" w:cs="Times New Roman"/>
          <w:color w:val="auto"/>
          <w:kern w:val="2"/>
          <w:sz w:val="28"/>
          <w:szCs w:val="28"/>
          <w:lang w:val="en-US" w:eastAsia="zh-CN" w:bidi="ar-SA"/>
        </w:rPr>
        <w:t>38</w:t>
      </w:r>
      <w:r>
        <w:rPr>
          <w:rFonts w:ascii="Times New Roman" w:hAnsi="Times New Roman" w:eastAsia="宋体" w:cs="Times New Roman"/>
          <w:color w:val="auto"/>
          <w:kern w:val="2"/>
          <w:sz w:val="28"/>
          <w:szCs w:val="28"/>
          <w:lang w:val="en-US" w:eastAsia="zh-CN" w:bidi="ar-SA"/>
        </w:rPr>
        <w:fldChar w:fldCharType="end"/>
      </w:r>
      <w:r>
        <w:rPr>
          <w:rFonts w:hint="default" w:ascii="Times New Roman" w:hAnsi="Times New Roman" w:eastAsia="宋体" w:cs="Times New Roman"/>
          <w:color w:val="auto"/>
          <w:kern w:val="2"/>
          <w:sz w:val="28"/>
          <w:szCs w:val="28"/>
          <w:lang w:val="en-US" w:eastAsia="zh-CN" w:bidi="ar-SA"/>
        </w:rPr>
        <w:fldChar w:fldCharType="end"/>
      </w:r>
    </w:p>
    <w:p w14:paraId="7C124521">
      <w:pPr>
        <w:keepNext w:val="0"/>
        <w:keepLines w:val="0"/>
        <w:pageBreakBefore w:val="0"/>
        <w:widowControl w:val="0"/>
        <w:tabs>
          <w:tab w:val="right" w:leader="dot" w:pos="8844"/>
        </w:tabs>
        <w:kinsoku/>
        <w:wordWrap/>
        <w:overflowPunct/>
        <w:topLinePunct w:val="0"/>
        <w:autoSpaceDE/>
        <w:autoSpaceDN/>
        <w:bidi w:val="0"/>
        <w:adjustRightInd/>
        <w:snapToGrid/>
        <w:spacing w:line="360" w:lineRule="auto"/>
        <w:jc w:val="both"/>
        <w:textAlignment w:val="auto"/>
        <w:rPr>
          <w:rFonts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fldChar w:fldCharType="begin"/>
      </w:r>
      <w:r>
        <w:rPr>
          <w:rFonts w:hint="default" w:ascii="Times New Roman" w:hAnsi="Times New Roman" w:eastAsia="宋体" w:cs="Times New Roman"/>
          <w:color w:val="auto"/>
          <w:kern w:val="2"/>
          <w:sz w:val="28"/>
          <w:szCs w:val="28"/>
          <w:lang w:val="en-US" w:eastAsia="zh-CN" w:bidi="ar-SA"/>
        </w:rPr>
        <w:instrText xml:space="preserve"> HYPERLINK \l _Toc30761 </w:instrText>
      </w:r>
      <w:r>
        <w:rPr>
          <w:rFonts w:hint="default" w:ascii="Times New Roman" w:hAnsi="Times New Roman" w:eastAsia="宋体" w:cs="Times New Roman"/>
          <w:color w:val="auto"/>
          <w:kern w:val="2"/>
          <w:sz w:val="28"/>
          <w:szCs w:val="28"/>
          <w:lang w:val="en-US" w:eastAsia="zh-CN" w:bidi="ar-SA"/>
        </w:rPr>
        <w:fldChar w:fldCharType="separate"/>
      </w:r>
      <w:r>
        <w:rPr>
          <w:rFonts w:hint="default" w:ascii="Times New Roman" w:hAnsi="Times New Roman" w:eastAsia="宋体" w:cs="Times New Roman"/>
          <w:snapToGrid w:val="0"/>
          <w:color w:val="auto"/>
          <w:kern w:val="2"/>
          <w:sz w:val="28"/>
          <w:szCs w:val="28"/>
          <w:lang w:val="en-US" w:eastAsia="zh-CN" w:bidi="ar-SA"/>
        </w:rPr>
        <w:t>四、主要环境影响和保护措施</w:t>
      </w:r>
      <w:r>
        <w:rPr>
          <w:rFonts w:ascii="Times New Roman" w:hAnsi="Times New Roman" w:eastAsia="宋体" w:cs="Times New Roman"/>
          <w:color w:val="auto"/>
          <w:kern w:val="2"/>
          <w:sz w:val="28"/>
          <w:szCs w:val="28"/>
          <w:lang w:val="en-US" w:eastAsia="zh-CN" w:bidi="ar-SA"/>
        </w:rPr>
        <w:tab/>
      </w:r>
      <w:r>
        <w:rPr>
          <w:rFonts w:ascii="Times New Roman" w:hAnsi="Times New Roman" w:eastAsia="宋体" w:cs="Times New Roman"/>
          <w:color w:val="auto"/>
          <w:kern w:val="2"/>
          <w:sz w:val="28"/>
          <w:szCs w:val="28"/>
          <w:lang w:val="en-US" w:eastAsia="zh-CN" w:bidi="ar-SA"/>
        </w:rPr>
        <w:fldChar w:fldCharType="begin"/>
      </w:r>
      <w:r>
        <w:rPr>
          <w:rFonts w:ascii="Times New Roman" w:hAnsi="Times New Roman" w:eastAsia="宋体" w:cs="Times New Roman"/>
          <w:color w:val="auto"/>
          <w:kern w:val="2"/>
          <w:sz w:val="28"/>
          <w:szCs w:val="28"/>
          <w:lang w:val="en-US" w:eastAsia="zh-CN" w:bidi="ar-SA"/>
        </w:rPr>
        <w:instrText xml:space="preserve"> PAGEREF _Toc30761 \h </w:instrText>
      </w:r>
      <w:r>
        <w:rPr>
          <w:rFonts w:ascii="Times New Roman" w:hAnsi="Times New Roman" w:eastAsia="宋体" w:cs="Times New Roman"/>
          <w:color w:val="auto"/>
          <w:kern w:val="2"/>
          <w:sz w:val="28"/>
          <w:szCs w:val="28"/>
          <w:lang w:val="en-US" w:eastAsia="zh-CN" w:bidi="ar-SA"/>
        </w:rPr>
        <w:fldChar w:fldCharType="separate"/>
      </w:r>
      <w:r>
        <w:rPr>
          <w:rFonts w:ascii="Times New Roman" w:hAnsi="Times New Roman" w:eastAsia="宋体" w:cs="Times New Roman"/>
          <w:color w:val="auto"/>
          <w:kern w:val="2"/>
          <w:sz w:val="28"/>
          <w:szCs w:val="28"/>
          <w:lang w:val="en-US" w:eastAsia="zh-CN" w:bidi="ar-SA"/>
        </w:rPr>
        <w:t>45</w:t>
      </w:r>
      <w:r>
        <w:rPr>
          <w:rFonts w:ascii="Times New Roman" w:hAnsi="Times New Roman" w:eastAsia="宋体" w:cs="Times New Roman"/>
          <w:color w:val="auto"/>
          <w:kern w:val="2"/>
          <w:sz w:val="28"/>
          <w:szCs w:val="28"/>
          <w:lang w:val="en-US" w:eastAsia="zh-CN" w:bidi="ar-SA"/>
        </w:rPr>
        <w:fldChar w:fldCharType="end"/>
      </w:r>
      <w:r>
        <w:rPr>
          <w:rFonts w:hint="default" w:ascii="Times New Roman" w:hAnsi="Times New Roman" w:eastAsia="宋体" w:cs="Times New Roman"/>
          <w:color w:val="auto"/>
          <w:kern w:val="2"/>
          <w:sz w:val="28"/>
          <w:szCs w:val="28"/>
          <w:lang w:val="en-US" w:eastAsia="zh-CN" w:bidi="ar-SA"/>
        </w:rPr>
        <w:fldChar w:fldCharType="end"/>
      </w:r>
    </w:p>
    <w:p w14:paraId="2122A6AD">
      <w:pPr>
        <w:keepNext w:val="0"/>
        <w:keepLines w:val="0"/>
        <w:pageBreakBefore w:val="0"/>
        <w:widowControl w:val="0"/>
        <w:tabs>
          <w:tab w:val="right" w:leader="dot" w:pos="8844"/>
        </w:tabs>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fldChar w:fldCharType="begin"/>
      </w:r>
      <w:r>
        <w:rPr>
          <w:rFonts w:hint="default" w:ascii="Times New Roman" w:hAnsi="Times New Roman" w:eastAsia="宋体" w:cs="Times New Roman"/>
          <w:color w:val="auto"/>
          <w:kern w:val="2"/>
          <w:sz w:val="28"/>
          <w:szCs w:val="28"/>
          <w:lang w:val="en-US" w:eastAsia="zh-CN" w:bidi="ar-SA"/>
        </w:rPr>
        <w:instrText xml:space="preserve"> HYPERLINK \l _Toc21873 </w:instrText>
      </w:r>
      <w:r>
        <w:rPr>
          <w:rFonts w:hint="default" w:ascii="Times New Roman" w:hAnsi="Times New Roman" w:eastAsia="宋体" w:cs="Times New Roman"/>
          <w:color w:val="auto"/>
          <w:kern w:val="2"/>
          <w:sz w:val="28"/>
          <w:szCs w:val="28"/>
          <w:lang w:val="en-US" w:eastAsia="zh-CN" w:bidi="ar-SA"/>
        </w:rPr>
        <w:fldChar w:fldCharType="separate"/>
      </w:r>
      <w:r>
        <w:rPr>
          <w:rFonts w:hint="default" w:ascii="Times New Roman" w:hAnsi="Times New Roman" w:eastAsia="宋体" w:cs="Times New Roman"/>
          <w:snapToGrid w:val="0"/>
          <w:color w:val="auto"/>
          <w:kern w:val="2"/>
          <w:sz w:val="28"/>
          <w:szCs w:val="28"/>
          <w:lang w:val="en-US" w:eastAsia="zh-CN" w:bidi="ar-SA"/>
        </w:rPr>
        <w:t>五、环境保护措施监督检查清单</w:t>
      </w:r>
      <w:r>
        <w:rPr>
          <w:rFonts w:ascii="Times New Roman" w:hAnsi="Times New Roman" w:eastAsia="宋体" w:cs="Times New Roman"/>
          <w:color w:val="auto"/>
          <w:kern w:val="2"/>
          <w:sz w:val="28"/>
          <w:szCs w:val="28"/>
          <w:lang w:val="en-US" w:eastAsia="zh-CN" w:bidi="ar-SA"/>
        </w:rPr>
        <w:tab/>
      </w:r>
      <w:r>
        <w:rPr>
          <w:rFonts w:hint="default" w:ascii="Times New Roman" w:hAnsi="Times New Roman" w:eastAsia="宋体" w:cs="Times New Roman"/>
          <w:color w:val="auto"/>
          <w:kern w:val="2"/>
          <w:sz w:val="28"/>
          <w:szCs w:val="28"/>
          <w:lang w:val="en-US" w:eastAsia="zh-CN" w:bidi="ar-SA"/>
        </w:rPr>
        <w:fldChar w:fldCharType="end"/>
      </w:r>
      <w:r>
        <w:rPr>
          <w:rFonts w:hint="eastAsia" w:cs="Times New Roman"/>
          <w:color w:val="auto"/>
          <w:kern w:val="2"/>
          <w:sz w:val="28"/>
          <w:szCs w:val="28"/>
          <w:lang w:val="en-US" w:eastAsia="zh-CN" w:bidi="ar-SA"/>
        </w:rPr>
        <w:t>72</w:t>
      </w:r>
    </w:p>
    <w:p w14:paraId="076187FC">
      <w:pPr>
        <w:keepNext w:val="0"/>
        <w:keepLines w:val="0"/>
        <w:pageBreakBefore w:val="0"/>
        <w:widowControl w:val="0"/>
        <w:tabs>
          <w:tab w:val="right" w:leader="dot" w:pos="8844"/>
        </w:tabs>
        <w:kinsoku/>
        <w:wordWrap/>
        <w:overflowPunct/>
        <w:topLinePunct w:val="0"/>
        <w:autoSpaceDE/>
        <w:autoSpaceDN/>
        <w:bidi w:val="0"/>
        <w:adjustRightInd/>
        <w:snapToGrid/>
        <w:spacing w:line="360" w:lineRule="auto"/>
        <w:jc w:val="both"/>
        <w:textAlignment w:val="auto"/>
        <w:rPr>
          <w:rFonts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fldChar w:fldCharType="begin"/>
      </w:r>
      <w:r>
        <w:rPr>
          <w:rFonts w:hint="default" w:ascii="Times New Roman" w:hAnsi="Times New Roman" w:eastAsia="宋体" w:cs="Times New Roman"/>
          <w:color w:val="auto"/>
          <w:kern w:val="2"/>
          <w:sz w:val="28"/>
          <w:szCs w:val="28"/>
          <w:lang w:val="en-US" w:eastAsia="zh-CN" w:bidi="ar-SA"/>
        </w:rPr>
        <w:instrText xml:space="preserve"> HYPERLINK \l _Toc3935 </w:instrText>
      </w:r>
      <w:r>
        <w:rPr>
          <w:rFonts w:hint="default" w:ascii="Times New Roman" w:hAnsi="Times New Roman" w:eastAsia="宋体" w:cs="Times New Roman"/>
          <w:color w:val="auto"/>
          <w:kern w:val="2"/>
          <w:sz w:val="28"/>
          <w:szCs w:val="28"/>
          <w:lang w:val="en-US" w:eastAsia="zh-CN" w:bidi="ar-SA"/>
        </w:rPr>
        <w:fldChar w:fldCharType="separate"/>
      </w:r>
      <w:r>
        <w:rPr>
          <w:rFonts w:hint="default" w:ascii="Times New Roman" w:hAnsi="Times New Roman" w:eastAsia="宋体" w:cs="Times New Roman"/>
          <w:snapToGrid w:val="0"/>
          <w:color w:val="auto"/>
          <w:kern w:val="2"/>
          <w:sz w:val="28"/>
          <w:szCs w:val="28"/>
          <w:lang w:val="en-US" w:eastAsia="zh-CN" w:bidi="ar-SA"/>
        </w:rPr>
        <w:t>六、结论</w:t>
      </w:r>
      <w:r>
        <w:rPr>
          <w:rFonts w:ascii="Times New Roman" w:hAnsi="Times New Roman" w:eastAsia="宋体" w:cs="Times New Roman"/>
          <w:color w:val="auto"/>
          <w:kern w:val="2"/>
          <w:sz w:val="28"/>
          <w:szCs w:val="28"/>
          <w:lang w:val="en-US" w:eastAsia="zh-CN" w:bidi="ar-SA"/>
        </w:rPr>
        <w:tab/>
      </w:r>
      <w:r>
        <w:rPr>
          <w:rFonts w:ascii="Times New Roman" w:hAnsi="Times New Roman" w:eastAsia="宋体" w:cs="Times New Roman"/>
          <w:color w:val="auto"/>
          <w:kern w:val="2"/>
          <w:sz w:val="28"/>
          <w:szCs w:val="28"/>
          <w:lang w:val="en-US" w:eastAsia="zh-CN" w:bidi="ar-SA"/>
        </w:rPr>
        <w:fldChar w:fldCharType="begin"/>
      </w:r>
      <w:r>
        <w:rPr>
          <w:rFonts w:ascii="Times New Roman" w:hAnsi="Times New Roman" w:eastAsia="宋体" w:cs="Times New Roman"/>
          <w:color w:val="auto"/>
          <w:kern w:val="2"/>
          <w:sz w:val="28"/>
          <w:szCs w:val="28"/>
          <w:lang w:val="en-US" w:eastAsia="zh-CN" w:bidi="ar-SA"/>
        </w:rPr>
        <w:instrText xml:space="preserve"> PAGEREF _Toc3935 \h </w:instrText>
      </w:r>
      <w:r>
        <w:rPr>
          <w:rFonts w:ascii="Times New Roman" w:hAnsi="Times New Roman" w:eastAsia="宋体" w:cs="Times New Roman"/>
          <w:color w:val="auto"/>
          <w:kern w:val="2"/>
          <w:sz w:val="28"/>
          <w:szCs w:val="28"/>
          <w:lang w:val="en-US" w:eastAsia="zh-CN" w:bidi="ar-SA"/>
        </w:rPr>
        <w:fldChar w:fldCharType="separate"/>
      </w:r>
      <w:r>
        <w:rPr>
          <w:rFonts w:ascii="Times New Roman" w:hAnsi="Times New Roman" w:eastAsia="宋体" w:cs="Times New Roman"/>
          <w:color w:val="auto"/>
          <w:kern w:val="2"/>
          <w:sz w:val="28"/>
          <w:szCs w:val="28"/>
          <w:lang w:val="en-US" w:eastAsia="zh-CN" w:bidi="ar-SA"/>
        </w:rPr>
        <w:t>85</w:t>
      </w:r>
      <w:r>
        <w:rPr>
          <w:rFonts w:ascii="Times New Roman" w:hAnsi="Times New Roman" w:eastAsia="宋体" w:cs="Times New Roman"/>
          <w:color w:val="auto"/>
          <w:kern w:val="2"/>
          <w:sz w:val="28"/>
          <w:szCs w:val="28"/>
          <w:lang w:val="en-US" w:eastAsia="zh-CN" w:bidi="ar-SA"/>
        </w:rPr>
        <w:fldChar w:fldCharType="end"/>
      </w:r>
      <w:r>
        <w:rPr>
          <w:rFonts w:hint="default" w:ascii="Times New Roman" w:hAnsi="Times New Roman" w:eastAsia="宋体" w:cs="Times New Roman"/>
          <w:color w:val="auto"/>
          <w:kern w:val="2"/>
          <w:sz w:val="28"/>
          <w:szCs w:val="28"/>
          <w:lang w:val="en-US" w:eastAsia="zh-CN" w:bidi="ar-SA"/>
        </w:rPr>
        <w:fldChar w:fldCharType="end"/>
      </w:r>
    </w:p>
    <w:p w14:paraId="2E1E1FC0">
      <w:pPr>
        <w:keepNext w:val="0"/>
        <w:keepLines w:val="0"/>
        <w:pageBreakBefore w:val="0"/>
        <w:widowControl w:val="0"/>
        <w:tabs>
          <w:tab w:val="right" w:leader="dot" w:pos="8844"/>
        </w:tabs>
        <w:kinsoku/>
        <w:wordWrap/>
        <w:overflowPunct/>
        <w:topLinePunct w:val="0"/>
        <w:autoSpaceDE/>
        <w:autoSpaceDN/>
        <w:bidi w:val="0"/>
        <w:adjustRightInd/>
        <w:snapToGrid/>
        <w:spacing w:line="360" w:lineRule="auto"/>
        <w:jc w:val="both"/>
        <w:textAlignment w:val="auto"/>
        <w:rPr>
          <w:rFonts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fldChar w:fldCharType="begin"/>
      </w:r>
      <w:r>
        <w:rPr>
          <w:rFonts w:hint="default" w:ascii="Times New Roman" w:hAnsi="Times New Roman" w:eastAsia="宋体" w:cs="Times New Roman"/>
          <w:color w:val="auto"/>
          <w:kern w:val="2"/>
          <w:sz w:val="28"/>
          <w:szCs w:val="28"/>
          <w:lang w:val="en-US" w:eastAsia="zh-CN" w:bidi="ar-SA"/>
        </w:rPr>
        <w:instrText xml:space="preserve"> HYPERLINK \l _Toc27828 </w:instrText>
      </w:r>
      <w:r>
        <w:rPr>
          <w:rFonts w:hint="default" w:ascii="Times New Roman" w:hAnsi="Times New Roman" w:eastAsia="宋体" w:cs="Times New Roman"/>
          <w:color w:val="auto"/>
          <w:kern w:val="2"/>
          <w:sz w:val="28"/>
          <w:szCs w:val="28"/>
          <w:lang w:val="en-US" w:eastAsia="zh-CN" w:bidi="ar-SA"/>
        </w:rPr>
        <w:fldChar w:fldCharType="separate"/>
      </w:r>
      <w:r>
        <w:rPr>
          <w:rFonts w:hint="default" w:ascii="Times New Roman" w:hAnsi="Times New Roman" w:eastAsia="宋体" w:cs="Times New Roman"/>
          <w:snapToGrid w:val="0"/>
          <w:color w:val="auto"/>
          <w:kern w:val="2"/>
          <w:sz w:val="28"/>
          <w:szCs w:val="28"/>
          <w:lang w:val="en-US" w:eastAsia="zh-CN" w:bidi="ar-SA"/>
        </w:rPr>
        <w:t>附表</w:t>
      </w:r>
      <w:r>
        <w:rPr>
          <w:rFonts w:ascii="Times New Roman" w:hAnsi="Times New Roman" w:eastAsia="宋体" w:cs="Times New Roman"/>
          <w:color w:val="auto"/>
          <w:kern w:val="2"/>
          <w:sz w:val="28"/>
          <w:szCs w:val="28"/>
          <w:lang w:val="en-US" w:eastAsia="zh-CN" w:bidi="ar-SA"/>
        </w:rPr>
        <w:tab/>
      </w:r>
      <w:r>
        <w:rPr>
          <w:rFonts w:ascii="Times New Roman" w:hAnsi="Times New Roman" w:eastAsia="宋体" w:cs="Times New Roman"/>
          <w:color w:val="auto"/>
          <w:kern w:val="2"/>
          <w:sz w:val="28"/>
          <w:szCs w:val="28"/>
          <w:lang w:val="en-US" w:eastAsia="zh-CN" w:bidi="ar-SA"/>
        </w:rPr>
        <w:fldChar w:fldCharType="begin"/>
      </w:r>
      <w:r>
        <w:rPr>
          <w:rFonts w:ascii="Times New Roman" w:hAnsi="Times New Roman" w:eastAsia="宋体" w:cs="Times New Roman"/>
          <w:color w:val="auto"/>
          <w:kern w:val="2"/>
          <w:sz w:val="28"/>
          <w:szCs w:val="28"/>
          <w:lang w:val="en-US" w:eastAsia="zh-CN" w:bidi="ar-SA"/>
        </w:rPr>
        <w:instrText xml:space="preserve"> PAGEREF _Toc27828 \h </w:instrText>
      </w:r>
      <w:r>
        <w:rPr>
          <w:rFonts w:ascii="Times New Roman" w:hAnsi="Times New Roman" w:eastAsia="宋体" w:cs="Times New Roman"/>
          <w:color w:val="auto"/>
          <w:kern w:val="2"/>
          <w:sz w:val="28"/>
          <w:szCs w:val="28"/>
          <w:lang w:val="en-US" w:eastAsia="zh-CN" w:bidi="ar-SA"/>
        </w:rPr>
        <w:fldChar w:fldCharType="separate"/>
      </w:r>
      <w:r>
        <w:rPr>
          <w:rFonts w:ascii="Times New Roman" w:hAnsi="Times New Roman" w:eastAsia="宋体" w:cs="Times New Roman"/>
          <w:color w:val="auto"/>
          <w:kern w:val="2"/>
          <w:sz w:val="28"/>
          <w:szCs w:val="28"/>
          <w:lang w:val="en-US" w:eastAsia="zh-CN" w:bidi="ar-SA"/>
        </w:rPr>
        <w:t>86</w:t>
      </w:r>
      <w:r>
        <w:rPr>
          <w:rFonts w:ascii="Times New Roman" w:hAnsi="Times New Roman" w:eastAsia="宋体" w:cs="Times New Roman"/>
          <w:color w:val="auto"/>
          <w:kern w:val="2"/>
          <w:sz w:val="28"/>
          <w:szCs w:val="28"/>
          <w:lang w:val="en-US" w:eastAsia="zh-CN" w:bidi="ar-SA"/>
        </w:rPr>
        <w:fldChar w:fldCharType="end"/>
      </w:r>
      <w:r>
        <w:rPr>
          <w:rFonts w:hint="default" w:ascii="Times New Roman" w:hAnsi="Times New Roman" w:eastAsia="宋体" w:cs="Times New Roman"/>
          <w:color w:val="auto"/>
          <w:kern w:val="2"/>
          <w:sz w:val="28"/>
          <w:szCs w:val="28"/>
          <w:lang w:val="en-US" w:eastAsia="zh-CN" w:bidi="ar-SA"/>
        </w:rPr>
        <w:fldChar w:fldCharType="end"/>
      </w:r>
    </w:p>
    <w:p w14:paraId="11A1404F">
      <w:pPr>
        <w:keepNext w:val="0"/>
        <w:keepLines w:val="0"/>
        <w:pageBreakBefore w:val="0"/>
        <w:widowControl w:val="0"/>
        <w:tabs>
          <w:tab w:val="right" w:leader="dot" w:pos="8844"/>
        </w:tabs>
        <w:kinsoku/>
        <w:wordWrap/>
        <w:overflowPunct/>
        <w:topLinePunct w:val="0"/>
        <w:autoSpaceDE/>
        <w:autoSpaceDN/>
        <w:bidi w:val="0"/>
        <w:adjustRightInd/>
        <w:snapToGrid/>
        <w:spacing w:line="360" w:lineRule="auto"/>
        <w:jc w:val="both"/>
        <w:textAlignment w:val="auto"/>
        <w:rPr>
          <w:rFonts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fldChar w:fldCharType="begin"/>
      </w:r>
      <w:r>
        <w:rPr>
          <w:rFonts w:hint="default" w:ascii="Times New Roman" w:hAnsi="Times New Roman" w:eastAsia="宋体" w:cs="Times New Roman"/>
          <w:color w:val="auto"/>
          <w:kern w:val="2"/>
          <w:sz w:val="28"/>
          <w:szCs w:val="28"/>
          <w:lang w:val="en-US" w:eastAsia="zh-CN" w:bidi="ar-SA"/>
        </w:rPr>
        <w:instrText xml:space="preserve"> HYPERLINK \l _Toc29191 </w:instrText>
      </w:r>
      <w:r>
        <w:rPr>
          <w:rFonts w:hint="default" w:ascii="Times New Roman" w:hAnsi="Times New Roman" w:eastAsia="宋体" w:cs="Times New Roman"/>
          <w:color w:val="auto"/>
          <w:kern w:val="2"/>
          <w:sz w:val="28"/>
          <w:szCs w:val="28"/>
          <w:lang w:val="en-US" w:eastAsia="zh-CN" w:bidi="ar-SA"/>
        </w:rPr>
        <w:fldChar w:fldCharType="separate"/>
      </w:r>
      <w:r>
        <w:rPr>
          <w:rFonts w:hint="default" w:ascii="Times New Roman" w:hAnsi="Times New Roman" w:eastAsia="宋体" w:cs="Times New Roman"/>
          <w:snapToGrid w:val="0"/>
          <w:color w:val="auto"/>
          <w:kern w:val="2"/>
          <w:sz w:val="28"/>
          <w:szCs w:val="28"/>
          <w:lang w:val="en-US" w:eastAsia="zh-CN" w:bidi="ar-SA"/>
        </w:rPr>
        <w:t>建设项目污染物排放量汇总表</w:t>
      </w:r>
      <w:r>
        <w:rPr>
          <w:rFonts w:ascii="Times New Roman" w:hAnsi="Times New Roman" w:eastAsia="宋体" w:cs="Times New Roman"/>
          <w:color w:val="auto"/>
          <w:kern w:val="2"/>
          <w:sz w:val="28"/>
          <w:szCs w:val="28"/>
          <w:lang w:val="en-US" w:eastAsia="zh-CN" w:bidi="ar-SA"/>
        </w:rPr>
        <w:tab/>
      </w:r>
      <w:r>
        <w:rPr>
          <w:rFonts w:ascii="Times New Roman" w:hAnsi="Times New Roman" w:eastAsia="宋体" w:cs="Times New Roman"/>
          <w:color w:val="auto"/>
          <w:kern w:val="2"/>
          <w:sz w:val="28"/>
          <w:szCs w:val="28"/>
          <w:lang w:val="en-US" w:eastAsia="zh-CN" w:bidi="ar-SA"/>
        </w:rPr>
        <w:fldChar w:fldCharType="begin"/>
      </w:r>
      <w:r>
        <w:rPr>
          <w:rFonts w:ascii="Times New Roman" w:hAnsi="Times New Roman" w:eastAsia="宋体" w:cs="Times New Roman"/>
          <w:color w:val="auto"/>
          <w:kern w:val="2"/>
          <w:sz w:val="28"/>
          <w:szCs w:val="28"/>
          <w:lang w:val="en-US" w:eastAsia="zh-CN" w:bidi="ar-SA"/>
        </w:rPr>
        <w:instrText xml:space="preserve"> PAGEREF _Toc29191 \h </w:instrText>
      </w:r>
      <w:r>
        <w:rPr>
          <w:rFonts w:ascii="Times New Roman" w:hAnsi="Times New Roman" w:eastAsia="宋体" w:cs="Times New Roman"/>
          <w:color w:val="auto"/>
          <w:kern w:val="2"/>
          <w:sz w:val="28"/>
          <w:szCs w:val="28"/>
          <w:lang w:val="en-US" w:eastAsia="zh-CN" w:bidi="ar-SA"/>
        </w:rPr>
        <w:fldChar w:fldCharType="separate"/>
      </w:r>
      <w:r>
        <w:rPr>
          <w:rFonts w:ascii="Times New Roman" w:hAnsi="Times New Roman" w:eastAsia="宋体" w:cs="Times New Roman"/>
          <w:color w:val="auto"/>
          <w:kern w:val="2"/>
          <w:sz w:val="28"/>
          <w:szCs w:val="28"/>
          <w:lang w:val="en-US" w:eastAsia="zh-CN" w:bidi="ar-SA"/>
        </w:rPr>
        <w:t>86</w:t>
      </w:r>
      <w:r>
        <w:rPr>
          <w:rFonts w:ascii="Times New Roman" w:hAnsi="Times New Roman" w:eastAsia="宋体" w:cs="Times New Roman"/>
          <w:color w:val="auto"/>
          <w:kern w:val="2"/>
          <w:sz w:val="28"/>
          <w:szCs w:val="28"/>
          <w:lang w:val="en-US" w:eastAsia="zh-CN" w:bidi="ar-SA"/>
        </w:rPr>
        <w:fldChar w:fldCharType="end"/>
      </w:r>
      <w:r>
        <w:rPr>
          <w:rFonts w:hint="default" w:ascii="Times New Roman" w:hAnsi="Times New Roman" w:eastAsia="宋体" w:cs="Times New Roman"/>
          <w:color w:val="auto"/>
          <w:kern w:val="2"/>
          <w:sz w:val="28"/>
          <w:szCs w:val="28"/>
          <w:lang w:val="en-US" w:eastAsia="zh-CN" w:bidi="ar-SA"/>
        </w:rPr>
        <w:fldChar w:fldCharType="end"/>
      </w:r>
    </w:p>
    <w:p w14:paraId="7B76244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sz w:val="28"/>
          <w:szCs w:val="28"/>
        </w:rPr>
        <w:fldChar w:fldCharType="end"/>
      </w:r>
      <w:r>
        <w:rPr>
          <w:rFonts w:hint="eastAsia" w:ascii="Times New Roman" w:hAnsi="Times New Roman" w:eastAsia="宋体" w:cs="Times New Roman"/>
          <w:color w:val="auto"/>
          <w:kern w:val="2"/>
          <w:sz w:val="28"/>
          <w:szCs w:val="28"/>
          <w:lang w:val="en-US" w:eastAsia="zh-CN" w:bidi="ar-SA"/>
        </w:rPr>
        <w:t>附图附件：</w:t>
      </w:r>
    </w:p>
    <w:p w14:paraId="620C0A36">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附图1  项目地理位置图</w:t>
      </w:r>
    </w:p>
    <w:p w14:paraId="63334B03">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 xml:space="preserve">附图2  </w:t>
      </w:r>
      <w:r>
        <w:rPr>
          <w:rFonts w:hint="eastAsia" w:ascii="Times New Roman" w:hAnsi="Times New Roman" w:eastAsia="宋体" w:cs="Times New Roman"/>
          <w:color w:val="auto"/>
          <w:kern w:val="2"/>
          <w:sz w:val="28"/>
          <w:szCs w:val="28"/>
          <w:lang w:val="en-US" w:eastAsia="zh-CN" w:bidi="ar-SA"/>
        </w:rPr>
        <w:t>厂区</w:t>
      </w:r>
      <w:r>
        <w:rPr>
          <w:rFonts w:hint="default" w:ascii="Times New Roman" w:hAnsi="Times New Roman" w:eastAsia="宋体" w:cs="Times New Roman"/>
          <w:color w:val="auto"/>
          <w:kern w:val="2"/>
          <w:sz w:val="28"/>
          <w:szCs w:val="28"/>
          <w:lang w:val="en-US" w:eastAsia="zh-CN" w:bidi="ar-SA"/>
        </w:rPr>
        <w:t>平面布置图</w:t>
      </w:r>
    </w:p>
    <w:p w14:paraId="15BA7CD5">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附图3  项目环境敏感目标分布图</w:t>
      </w:r>
    </w:p>
    <w:p w14:paraId="53B770F0">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附图4  项目</w:t>
      </w:r>
      <w:r>
        <w:rPr>
          <w:rFonts w:hint="eastAsia" w:ascii="Times New Roman" w:hAnsi="Times New Roman" w:eastAsia="宋体" w:cs="Times New Roman"/>
          <w:color w:val="auto"/>
          <w:kern w:val="2"/>
          <w:sz w:val="28"/>
          <w:szCs w:val="28"/>
          <w:lang w:val="en-US" w:eastAsia="zh-CN" w:bidi="ar-SA"/>
        </w:rPr>
        <w:t>现状</w:t>
      </w:r>
      <w:r>
        <w:rPr>
          <w:rFonts w:hint="default" w:ascii="Times New Roman" w:hAnsi="Times New Roman" w:eastAsia="宋体" w:cs="Times New Roman"/>
          <w:color w:val="auto"/>
          <w:kern w:val="2"/>
          <w:sz w:val="28"/>
          <w:szCs w:val="28"/>
          <w:lang w:val="en-US" w:eastAsia="zh-CN" w:bidi="ar-SA"/>
        </w:rPr>
        <w:t>监测点位</w:t>
      </w:r>
      <w:r>
        <w:rPr>
          <w:rFonts w:hint="eastAsia" w:ascii="Times New Roman" w:hAnsi="Times New Roman" w:eastAsia="宋体" w:cs="Times New Roman"/>
          <w:color w:val="auto"/>
          <w:kern w:val="2"/>
          <w:sz w:val="28"/>
          <w:szCs w:val="28"/>
          <w:lang w:val="en-US" w:eastAsia="zh-CN" w:bidi="ar-SA"/>
        </w:rPr>
        <w:t>与本项目位置关系</w:t>
      </w:r>
      <w:r>
        <w:rPr>
          <w:rFonts w:hint="default" w:ascii="Times New Roman" w:hAnsi="Times New Roman" w:eastAsia="宋体" w:cs="Times New Roman"/>
          <w:color w:val="auto"/>
          <w:kern w:val="2"/>
          <w:sz w:val="28"/>
          <w:szCs w:val="28"/>
          <w:lang w:val="en-US" w:eastAsia="zh-CN" w:bidi="ar-SA"/>
        </w:rPr>
        <w:t>图</w:t>
      </w:r>
    </w:p>
    <w:p w14:paraId="4091D056">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附图</w:t>
      </w:r>
      <w:r>
        <w:rPr>
          <w:rFonts w:hint="eastAsia" w:ascii="Times New Roman" w:hAnsi="Times New Roman" w:eastAsia="宋体" w:cs="Times New Roman"/>
          <w:color w:val="auto"/>
          <w:kern w:val="2"/>
          <w:sz w:val="28"/>
          <w:szCs w:val="28"/>
          <w:lang w:val="en-US" w:eastAsia="zh-CN" w:bidi="ar-SA"/>
        </w:rPr>
        <w:t>5</w:t>
      </w:r>
      <w:r>
        <w:rPr>
          <w:rFonts w:hint="default" w:ascii="Times New Roman" w:hAnsi="Times New Roman" w:eastAsia="宋体" w:cs="Times New Roman"/>
          <w:color w:val="auto"/>
          <w:kern w:val="2"/>
          <w:sz w:val="28"/>
          <w:szCs w:val="28"/>
          <w:lang w:val="en-US" w:eastAsia="zh-CN" w:bidi="ar-SA"/>
        </w:rPr>
        <w:t xml:space="preserve">  长株潭城市群生态绿心地区</w:t>
      </w:r>
      <w:r>
        <w:rPr>
          <w:rFonts w:hint="eastAsia" w:ascii="Times New Roman" w:hAnsi="Times New Roman" w:eastAsia="宋体" w:cs="Times New Roman"/>
          <w:color w:val="auto"/>
          <w:kern w:val="2"/>
          <w:sz w:val="28"/>
          <w:szCs w:val="28"/>
          <w:lang w:val="en-US" w:eastAsia="zh-CN" w:bidi="ar-SA"/>
        </w:rPr>
        <w:t>规划范围示意图</w:t>
      </w:r>
    </w:p>
    <w:p w14:paraId="2949A8EC">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 xml:space="preserve">附图6 </w:t>
      </w:r>
      <w:r>
        <w:rPr>
          <w:rFonts w:hint="default" w:ascii="Times New Roman" w:hAnsi="Times New Roman" w:eastAsia="宋体" w:cs="Times New Roman"/>
          <w:color w:val="auto"/>
          <w:kern w:val="2"/>
          <w:sz w:val="28"/>
          <w:szCs w:val="28"/>
          <w:lang w:val="en-US" w:eastAsia="zh-CN" w:bidi="ar-SA"/>
        </w:rPr>
        <w:t>湘潭市环境管控单元</w:t>
      </w:r>
      <w:r>
        <w:rPr>
          <w:rFonts w:hint="eastAsia" w:ascii="Times New Roman" w:hAnsi="Times New Roman" w:eastAsia="宋体" w:cs="Times New Roman"/>
          <w:color w:val="auto"/>
          <w:kern w:val="2"/>
          <w:sz w:val="28"/>
          <w:szCs w:val="28"/>
          <w:lang w:val="en-US" w:eastAsia="zh-CN" w:bidi="ar-SA"/>
        </w:rPr>
        <w:t>图</w:t>
      </w:r>
    </w:p>
    <w:p w14:paraId="6C5CD850">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color w:val="auto"/>
          <w:kern w:val="2"/>
          <w:sz w:val="28"/>
          <w:szCs w:val="28"/>
          <w:lang w:val="zh-CN" w:eastAsia="zh-CN" w:bidi="ar-SA"/>
        </w:rPr>
      </w:pPr>
      <w:r>
        <w:rPr>
          <w:rFonts w:hint="eastAsia" w:ascii="Times New Roman" w:hAnsi="Times New Roman" w:eastAsia="宋体" w:cs="Times New Roman"/>
          <w:color w:val="auto"/>
          <w:kern w:val="2"/>
          <w:sz w:val="28"/>
          <w:szCs w:val="28"/>
          <w:lang w:val="zh-CN" w:eastAsia="zh-CN" w:bidi="ar-SA"/>
        </w:rPr>
        <w:t>附图7 项目分区防渗图</w:t>
      </w:r>
    </w:p>
    <w:p w14:paraId="0E4B0DCA">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color w:val="auto"/>
          <w:kern w:val="2"/>
          <w:sz w:val="28"/>
          <w:szCs w:val="28"/>
          <w:lang w:val="zh-CN" w:eastAsia="zh-CN" w:bidi="ar-SA"/>
        </w:rPr>
      </w:pPr>
      <w:r>
        <w:rPr>
          <w:rFonts w:hint="eastAsia" w:ascii="Times New Roman" w:hAnsi="Times New Roman" w:eastAsia="宋体" w:cs="Times New Roman"/>
          <w:color w:val="auto"/>
          <w:kern w:val="2"/>
          <w:sz w:val="28"/>
          <w:szCs w:val="28"/>
          <w:lang w:val="zh-CN" w:eastAsia="zh-CN" w:bidi="ar-SA"/>
        </w:rPr>
        <w:t>附图8 项目集气设施分布图</w:t>
      </w:r>
    </w:p>
    <w:p w14:paraId="78A97B15">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zh-CN" w:eastAsia="zh-CN" w:bidi="ar-SA"/>
        </w:rPr>
        <w:t>附件1</w:t>
      </w:r>
      <w:r>
        <w:rPr>
          <w:rFonts w:hint="eastAsia" w:ascii="Times New Roman" w:hAnsi="Times New Roman" w:eastAsia="宋体" w:cs="Times New Roman"/>
          <w:color w:val="auto"/>
          <w:kern w:val="2"/>
          <w:sz w:val="28"/>
          <w:szCs w:val="28"/>
          <w:lang w:val="en-US" w:eastAsia="zh-CN" w:bidi="ar-SA"/>
        </w:rPr>
        <w:t xml:space="preserve"> </w:t>
      </w:r>
      <w:r>
        <w:rPr>
          <w:rFonts w:hint="eastAsia" w:ascii="Times New Roman" w:hAnsi="Times New Roman" w:eastAsia="宋体" w:cs="Times New Roman"/>
          <w:color w:val="auto"/>
          <w:kern w:val="2"/>
          <w:sz w:val="28"/>
          <w:szCs w:val="28"/>
          <w:lang w:val="zh-CN" w:eastAsia="zh-CN" w:bidi="ar-SA"/>
        </w:rPr>
        <w:t>环评</w:t>
      </w:r>
      <w:r>
        <w:rPr>
          <w:rFonts w:hint="eastAsia" w:ascii="Times New Roman" w:hAnsi="Times New Roman" w:eastAsia="宋体" w:cs="Times New Roman"/>
          <w:color w:val="auto"/>
          <w:kern w:val="2"/>
          <w:sz w:val="28"/>
          <w:szCs w:val="28"/>
          <w:lang w:val="en-US" w:eastAsia="zh-CN" w:bidi="ar-SA"/>
        </w:rPr>
        <w:t>委托书</w:t>
      </w:r>
    </w:p>
    <w:p w14:paraId="79D7FE52">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color w:val="auto"/>
          <w:kern w:val="2"/>
          <w:sz w:val="28"/>
          <w:szCs w:val="28"/>
          <w:lang w:val="zh-CN" w:eastAsia="zh-CN" w:bidi="ar-SA"/>
        </w:rPr>
      </w:pPr>
      <w:r>
        <w:rPr>
          <w:rFonts w:hint="eastAsia" w:ascii="Times New Roman" w:hAnsi="Times New Roman" w:eastAsia="宋体" w:cs="Times New Roman"/>
          <w:color w:val="auto"/>
          <w:kern w:val="2"/>
          <w:sz w:val="28"/>
          <w:szCs w:val="28"/>
          <w:lang w:val="zh-CN" w:eastAsia="zh-CN" w:bidi="ar-SA"/>
        </w:rPr>
        <w:t>附件2 企业营业执照</w:t>
      </w:r>
    </w:p>
    <w:p w14:paraId="1DCE3B4D">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zh-CN" w:eastAsia="zh-CN" w:bidi="ar-SA"/>
        </w:rPr>
        <w:t>附件</w:t>
      </w:r>
      <w:r>
        <w:rPr>
          <w:rFonts w:hint="eastAsia" w:ascii="Times New Roman" w:hAnsi="Times New Roman" w:eastAsia="宋体" w:cs="Times New Roman"/>
          <w:color w:val="auto"/>
          <w:kern w:val="2"/>
          <w:sz w:val="28"/>
          <w:szCs w:val="28"/>
          <w:lang w:val="en-US" w:eastAsia="zh-CN" w:bidi="ar-SA"/>
        </w:rPr>
        <w:t>3</w:t>
      </w:r>
      <w:r>
        <w:rPr>
          <w:rFonts w:hint="eastAsia" w:ascii="Times New Roman" w:hAnsi="Times New Roman" w:eastAsia="宋体" w:cs="Times New Roman"/>
          <w:color w:val="auto"/>
          <w:kern w:val="2"/>
          <w:sz w:val="28"/>
          <w:szCs w:val="28"/>
          <w:lang w:val="zh-CN" w:eastAsia="zh-CN" w:bidi="ar-SA"/>
        </w:rPr>
        <w:t xml:space="preserve"> </w:t>
      </w:r>
      <w:r>
        <w:rPr>
          <w:rFonts w:hint="eastAsia" w:ascii="Times New Roman" w:hAnsi="Times New Roman" w:eastAsia="宋体" w:cs="Times New Roman"/>
          <w:color w:val="auto"/>
          <w:kern w:val="2"/>
          <w:sz w:val="28"/>
          <w:szCs w:val="28"/>
          <w:lang w:val="en-US" w:eastAsia="zh-CN" w:bidi="ar-SA"/>
        </w:rPr>
        <w:t>厂房租赁合同</w:t>
      </w:r>
    </w:p>
    <w:p w14:paraId="446D2C76">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zh-CN" w:eastAsia="zh-CN" w:bidi="ar-SA"/>
        </w:rPr>
        <w:t>附件</w:t>
      </w:r>
      <w:r>
        <w:rPr>
          <w:rFonts w:hint="eastAsia" w:ascii="Times New Roman" w:hAnsi="Times New Roman" w:eastAsia="宋体" w:cs="Times New Roman"/>
          <w:color w:val="auto"/>
          <w:kern w:val="2"/>
          <w:sz w:val="28"/>
          <w:szCs w:val="28"/>
          <w:lang w:val="en-US" w:eastAsia="zh-CN" w:bidi="ar-SA"/>
        </w:rPr>
        <w:t xml:space="preserve">4 </w:t>
      </w:r>
      <w:r>
        <w:rPr>
          <w:rFonts w:hint="eastAsia" w:ascii="Times New Roman" w:hAnsi="Times New Roman" w:eastAsia="宋体" w:cs="Times New Roman"/>
          <w:color w:val="auto"/>
          <w:kern w:val="2"/>
          <w:sz w:val="28"/>
          <w:szCs w:val="28"/>
          <w:lang w:val="zh-CN" w:eastAsia="zh-CN" w:bidi="ar-SA"/>
        </w:rPr>
        <w:t xml:space="preserve"> </w:t>
      </w:r>
      <w:r>
        <w:rPr>
          <w:rFonts w:hint="eastAsia" w:ascii="Times New Roman" w:hAnsi="Times New Roman" w:eastAsia="宋体" w:cs="Times New Roman"/>
          <w:color w:val="auto"/>
          <w:kern w:val="2"/>
          <w:sz w:val="28"/>
          <w:szCs w:val="28"/>
          <w:lang w:val="en-US" w:eastAsia="zh-CN" w:bidi="ar-SA"/>
        </w:rPr>
        <w:t>土地使用权证</w:t>
      </w:r>
    </w:p>
    <w:p w14:paraId="1D301773">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color w:val="auto"/>
          <w:kern w:val="2"/>
          <w:sz w:val="28"/>
          <w:szCs w:val="28"/>
          <w:lang w:val="zh-CN" w:eastAsia="zh-CN" w:bidi="ar-SA"/>
        </w:rPr>
      </w:pPr>
      <w:r>
        <w:rPr>
          <w:rFonts w:hint="eastAsia" w:ascii="Times New Roman" w:hAnsi="Times New Roman" w:eastAsia="宋体" w:cs="Times New Roman"/>
          <w:color w:val="auto"/>
          <w:kern w:val="2"/>
          <w:sz w:val="28"/>
          <w:szCs w:val="28"/>
          <w:lang w:val="zh-CN" w:eastAsia="zh-CN" w:bidi="ar-SA"/>
        </w:rPr>
        <w:t>附件</w:t>
      </w:r>
      <w:r>
        <w:rPr>
          <w:rFonts w:hint="eastAsia" w:ascii="Times New Roman" w:hAnsi="Times New Roman" w:eastAsia="宋体" w:cs="Times New Roman"/>
          <w:color w:val="auto"/>
          <w:kern w:val="2"/>
          <w:sz w:val="28"/>
          <w:szCs w:val="28"/>
          <w:lang w:val="en-US" w:eastAsia="zh-CN" w:bidi="ar-SA"/>
        </w:rPr>
        <w:t>5</w:t>
      </w:r>
      <w:r>
        <w:rPr>
          <w:rFonts w:hint="eastAsia" w:ascii="Times New Roman" w:hAnsi="Times New Roman" w:eastAsia="宋体" w:cs="Times New Roman"/>
          <w:color w:val="auto"/>
          <w:kern w:val="2"/>
          <w:sz w:val="28"/>
          <w:szCs w:val="28"/>
          <w:lang w:val="zh-CN" w:eastAsia="zh-CN" w:bidi="ar-SA"/>
        </w:rPr>
        <w:t xml:space="preserve"> 建设项目选址说明</w:t>
      </w:r>
    </w:p>
    <w:p w14:paraId="76BB3C92">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 xml:space="preserve">附件6 </w:t>
      </w:r>
      <w:r>
        <w:rPr>
          <w:rFonts w:hint="eastAsia" w:ascii="Times New Roman" w:hAnsi="Times New Roman" w:eastAsia="宋体" w:cs="Times New Roman"/>
          <w:color w:val="auto"/>
          <w:kern w:val="2"/>
          <w:sz w:val="28"/>
          <w:szCs w:val="28"/>
          <w:lang w:val="zh-CN" w:eastAsia="zh-CN" w:bidi="ar-SA"/>
        </w:rPr>
        <w:t>环境质量现状</w:t>
      </w:r>
      <w:r>
        <w:rPr>
          <w:rFonts w:hint="eastAsia" w:ascii="Times New Roman" w:hAnsi="Times New Roman" w:eastAsia="宋体" w:cs="Times New Roman"/>
          <w:color w:val="auto"/>
          <w:kern w:val="2"/>
          <w:sz w:val="28"/>
          <w:szCs w:val="28"/>
          <w:lang w:val="en-US" w:eastAsia="zh-CN" w:bidi="ar-SA"/>
        </w:rPr>
        <w:t>检测报告及质保单</w:t>
      </w:r>
    </w:p>
    <w:p w14:paraId="7136DA4C">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 xml:space="preserve">附件7 建设项目备案证明 </w:t>
      </w:r>
    </w:p>
    <w:p w14:paraId="386A6D66">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附件8现有工程环保手续</w:t>
      </w:r>
    </w:p>
    <w:p w14:paraId="5E50E8E6">
      <w:pPr>
        <w:keepNext w:val="0"/>
        <w:keepLines w:val="0"/>
        <w:pageBreakBefore w:val="0"/>
        <w:widowControl w:val="0"/>
        <w:tabs>
          <w:tab w:val="right" w:leader="dot" w:pos="8844"/>
        </w:tabs>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附件</w:t>
      </w:r>
      <w:r>
        <w:rPr>
          <w:rFonts w:hint="eastAsia" w:cs="Times New Roman"/>
          <w:color w:val="auto"/>
          <w:kern w:val="2"/>
          <w:sz w:val="28"/>
          <w:szCs w:val="28"/>
          <w:lang w:val="en-US" w:eastAsia="zh-CN" w:bidi="ar-SA"/>
        </w:rPr>
        <w:t>9</w:t>
      </w:r>
      <w:r>
        <w:rPr>
          <w:rFonts w:hint="eastAsia" w:ascii="Times New Roman" w:hAnsi="Times New Roman" w:eastAsia="宋体" w:cs="Times New Roman"/>
          <w:color w:val="auto"/>
          <w:kern w:val="2"/>
          <w:sz w:val="28"/>
          <w:szCs w:val="28"/>
          <w:lang w:val="en-US" w:eastAsia="zh-CN" w:bidi="ar-SA"/>
        </w:rPr>
        <w:t xml:space="preserve"> 原辅材料MSDS</w:t>
      </w:r>
    </w:p>
    <w:p w14:paraId="1CCD3936">
      <w:pPr>
        <w:pStyle w:val="4"/>
        <w:rPr>
          <w:rFonts w:hint="default"/>
          <w:lang w:val="en-US" w:eastAsia="zh-CN"/>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fmt="decimal" w:start="3"/>
          <w:cols w:space="720" w:num="1"/>
          <w:docGrid w:linePitch="312" w:charSpace="0"/>
        </w:sectPr>
      </w:pPr>
    </w:p>
    <w:p w14:paraId="4B169550">
      <w:pPr>
        <w:widowControl/>
        <w:spacing w:before="100" w:beforeAutospacing="1" w:after="100" w:afterAutospacing="1"/>
        <w:ind w:firstLine="600" w:firstLineChars="200"/>
        <w:jc w:val="center"/>
        <w:outlineLvl w:val="0"/>
        <w:rPr>
          <w:rFonts w:hint="default" w:ascii="Times New Roman" w:hAnsi="Times New Roman" w:eastAsia="宋体" w:cs="Times New Roman"/>
          <w:snapToGrid w:val="0"/>
          <w:color w:val="auto"/>
          <w:kern w:val="0"/>
          <w:sz w:val="30"/>
          <w:szCs w:val="30"/>
          <w:highlight w:val="none"/>
          <w:lang w:val="en-US" w:eastAsia="zh-CN" w:bidi="ar-SA"/>
        </w:rPr>
      </w:pPr>
      <w:bookmarkStart w:id="1" w:name="_Toc14884"/>
      <w:bookmarkStart w:id="2" w:name="_Toc12980"/>
      <w:bookmarkStart w:id="3" w:name="_Toc18076"/>
      <w:r>
        <w:rPr>
          <w:rFonts w:hint="default" w:ascii="Times New Roman" w:hAnsi="Times New Roman" w:eastAsia="宋体" w:cs="Times New Roman"/>
          <w:snapToGrid w:val="0"/>
          <w:color w:val="auto"/>
          <w:kern w:val="0"/>
          <w:sz w:val="30"/>
          <w:szCs w:val="30"/>
          <w:highlight w:val="none"/>
          <w:lang w:val="en-US" w:eastAsia="zh-CN" w:bidi="ar-SA"/>
        </w:rPr>
        <w:t>一、建设项目基本情况</w:t>
      </w:r>
      <w:bookmarkEnd w:id="1"/>
      <w:bookmarkEnd w:id="2"/>
      <w:bookmarkEnd w:id="3"/>
    </w:p>
    <w:tbl>
      <w:tblPr>
        <w:tblStyle w:val="31"/>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905"/>
        <w:gridCol w:w="1860"/>
        <w:gridCol w:w="1964"/>
        <w:gridCol w:w="3368"/>
      </w:tblGrid>
      <w:tr w14:paraId="750384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05" w:type="dxa"/>
            <w:noWrap w:val="0"/>
            <w:tcMar>
              <w:top w:w="16" w:type="dxa"/>
              <w:left w:w="16" w:type="dxa"/>
              <w:right w:w="16" w:type="dxa"/>
            </w:tcMar>
            <w:vAlign w:val="center"/>
          </w:tcPr>
          <w:p w14:paraId="66B5B851">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建设项目名称</w:t>
            </w:r>
          </w:p>
        </w:tc>
        <w:tc>
          <w:tcPr>
            <w:tcW w:w="7192" w:type="dxa"/>
            <w:gridSpan w:val="3"/>
            <w:noWrap w:val="0"/>
            <w:vAlign w:val="center"/>
          </w:tcPr>
          <w:p w14:paraId="489C09D8">
            <w:pPr>
              <w:adjustRightInd w:val="0"/>
              <w:snapToGrid w:val="0"/>
              <w:jc w:val="center"/>
              <w:rPr>
                <w:rFonts w:hint="default" w:ascii="Times New Roman" w:hAnsi="Times New Roman" w:eastAsia="宋体" w:cs="Times New Roman"/>
                <w:color w:val="auto"/>
                <w:sz w:val="21"/>
                <w:szCs w:val="21"/>
                <w:highlight w:val="yellow"/>
                <w:u w:val="none" w:color="auto"/>
                <w:lang w:val="en-US" w:eastAsia="zh-CN"/>
              </w:rPr>
            </w:pPr>
            <w:r>
              <w:rPr>
                <w:rFonts w:hint="eastAsia" w:cs="Times New Roman"/>
                <w:color w:val="auto"/>
                <w:sz w:val="21"/>
                <w:szCs w:val="21"/>
                <w:highlight w:val="none"/>
                <w:u w:val="none" w:color="auto"/>
                <w:lang w:val="en-US" w:eastAsia="zh-CN"/>
              </w:rPr>
              <w:t>年产风扇、风罩3000台套、年处理高铁连接板8000件建设项目</w:t>
            </w:r>
          </w:p>
        </w:tc>
      </w:tr>
      <w:tr w14:paraId="4F0554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05" w:type="dxa"/>
            <w:noWrap w:val="0"/>
            <w:tcMar>
              <w:top w:w="16" w:type="dxa"/>
              <w:left w:w="16" w:type="dxa"/>
              <w:right w:w="16" w:type="dxa"/>
            </w:tcMar>
            <w:vAlign w:val="center"/>
          </w:tcPr>
          <w:p w14:paraId="041C5030">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项目代码</w:t>
            </w:r>
          </w:p>
        </w:tc>
        <w:tc>
          <w:tcPr>
            <w:tcW w:w="7192" w:type="dxa"/>
            <w:gridSpan w:val="3"/>
            <w:noWrap w:val="0"/>
            <w:vAlign w:val="center"/>
          </w:tcPr>
          <w:p w14:paraId="4E23025E">
            <w:pPr>
              <w:adjustRightInd w:val="0"/>
              <w:snapToGrid w:val="0"/>
              <w:jc w:val="center"/>
              <w:rPr>
                <w:rFonts w:hint="default" w:cs="Times New Roman"/>
                <w:color w:val="auto"/>
                <w:sz w:val="21"/>
                <w:szCs w:val="21"/>
                <w:highlight w:val="none"/>
                <w:u w:val="none" w:color="auto"/>
                <w:lang w:val="en-US" w:eastAsia="zh-CN"/>
              </w:rPr>
            </w:pPr>
            <w:r>
              <w:rPr>
                <w:rFonts w:hint="default" w:cs="Times New Roman"/>
                <w:color w:val="auto"/>
                <w:sz w:val="21"/>
                <w:szCs w:val="21"/>
                <w:highlight w:val="none"/>
                <w:u w:val="none" w:color="auto"/>
                <w:lang w:val="en-US" w:eastAsia="zh-CN"/>
              </w:rPr>
              <w:t>2506-430321-04-01-437171</w:t>
            </w:r>
          </w:p>
        </w:tc>
      </w:tr>
      <w:tr w14:paraId="66720D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05" w:type="dxa"/>
            <w:noWrap w:val="0"/>
            <w:tcMar>
              <w:top w:w="16" w:type="dxa"/>
              <w:left w:w="16" w:type="dxa"/>
              <w:right w:w="16" w:type="dxa"/>
            </w:tcMar>
            <w:vAlign w:val="center"/>
          </w:tcPr>
          <w:p w14:paraId="5D9BDB41">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建设单位联系人</w:t>
            </w:r>
          </w:p>
        </w:tc>
        <w:tc>
          <w:tcPr>
            <w:tcW w:w="1860" w:type="dxa"/>
            <w:noWrap w:val="0"/>
            <w:vAlign w:val="center"/>
          </w:tcPr>
          <w:p w14:paraId="15470AEF">
            <w:pPr>
              <w:adjustRightInd w:val="0"/>
              <w:snapToGrid w:val="0"/>
              <w:jc w:val="center"/>
              <w:rPr>
                <w:rFonts w:hint="default"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胡海强</w:t>
            </w:r>
          </w:p>
        </w:tc>
        <w:tc>
          <w:tcPr>
            <w:tcW w:w="1964" w:type="dxa"/>
            <w:noWrap w:val="0"/>
            <w:vAlign w:val="center"/>
          </w:tcPr>
          <w:p w14:paraId="4C9BD9CC">
            <w:pPr>
              <w:adjustRightInd w:val="0"/>
              <w:snapToGrid w:val="0"/>
              <w:jc w:val="center"/>
              <w:rPr>
                <w:rFonts w:hint="default" w:cs="Times New Roman"/>
                <w:color w:val="auto"/>
                <w:sz w:val="21"/>
                <w:szCs w:val="21"/>
                <w:highlight w:val="none"/>
                <w:u w:val="none" w:color="auto"/>
                <w:lang w:val="en-US" w:eastAsia="zh-CN"/>
              </w:rPr>
            </w:pPr>
            <w:r>
              <w:rPr>
                <w:rFonts w:hint="default" w:cs="Times New Roman"/>
                <w:color w:val="auto"/>
                <w:sz w:val="21"/>
                <w:szCs w:val="21"/>
                <w:highlight w:val="none"/>
                <w:u w:val="none" w:color="auto"/>
                <w:lang w:val="en-US" w:eastAsia="zh-CN"/>
              </w:rPr>
              <w:t>联系方式</w:t>
            </w:r>
          </w:p>
        </w:tc>
        <w:tc>
          <w:tcPr>
            <w:tcW w:w="3368" w:type="dxa"/>
            <w:noWrap w:val="0"/>
            <w:vAlign w:val="center"/>
          </w:tcPr>
          <w:p w14:paraId="3CF80C33">
            <w:pPr>
              <w:adjustRightInd w:val="0"/>
              <w:snapToGrid w:val="0"/>
              <w:jc w:val="center"/>
              <w:rPr>
                <w:rFonts w:hint="default"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13507320701</w:t>
            </w:r>
          </w:p>
        </w:tc>
      </w:tr>
      <w:tr w14:paraId="10036F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4" w:hRule="atLeast"/>
          <w:jc w:val="center"/>
        </w:trPr>
        <w:tc>
          <w:tcPr>
            <w:tcW w:w="1905" w:type="dxa"/>
            <w:noWrap w:val="0"/>
            <w:tcMar>
              <w:top w:w="16" w:type="dxa"/>
              <w:left w:w="16" w:type="dxa"/>
              <w:right w:w="16" w:type="dxa"/>
            </w:tcMar>
            <w:vAlign w:val="center"/>
          </w:tcPr>
          <w:p w14:paraId="3BBD5E4A">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建设地点</w:t>
            </w:r>
          </w:p>
        </w:tc>
        <w:tc>
          <w:tcPr>
            <w:tcW w:w="7192" w:type="dxa"/>
            <w:gridSpan w:val="3"/>
            <w:noWrap w:val="0"/>
            <w:vAlign w:val="center"/>
          </w:tcPr>
          <w:p w14:paraId="50D4ACFB">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湘潭县易俗河镇飞龙村龙大组</w:t>
            </w:r>
          </w:p>
        </w:tc>
      </w:tr>
      <w:tr w14:paraId="470CBE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43" w:hRule="atLeast"/>
          <w:jc w:val="center"/>
        </w:trPr>
        <w:tc>
          <w:tcPr>
            <w:tcW w:w="1905" w:type="dxa"/>
            <w:noWrap w:val="0"/>
            <w:tcMar>
              <w:top w:w="16" w:type="dxa"/>
              <w:left w:w="16" w:type="dxa"/>
              <w:right w:w="16" w:type="dxa"/>
            </w:tcMar>
            <w:vAlign w:val="center"/>
          </w:tcPr>
          <w:p w14:paraId="55D199A0">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地理坐标</w:t>
            </w:r>
          </w:p>
        </w:tc>
        <w:tc>
          <w:tcPr>
            <w:tcW w:w="7192" w:type="dxa"/>
            <w:gridSpan w:val="3"/>
            <w:noWrap w:val="0"/>
            <w:vAlign w:val="center"/>
          </w:tcPr>
          <w:p w14:paraId="07B567BB">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E</w:t>
            </w:r>
            <w:r>
              <w:rPr>
                <w:rFonts w:hint="default" w:ascii="Times New Roman" w:hAnsi="Times New Roman" w:eastAsia="宋体" w:cs="Times New Roman"/>
                <w:color w:val="auto"/>
                <w:sz w:val="21"/>
                <w:szCs w:val="21"/>
                <w:highlight w:val="none"/>
                <w:u w:val="none" w:color="auto"/>
                <w:lang w:val="en-US" w:eastAsia="zh-CN"/>
              </w:rPr>
              <w:t>112.935222489</w:t>
            </w:r>
            <w:r>
              <w:rPr>
                <w:rFonts w:hint="eastAsia" w:cs="Times New Roman"/>
                <w:color w:val="auto"/>
                <w:sz w:val="21"/>
                <w:szCs w:val="21"/>
                <w:highlight w:val="none"/>
                <w:u w:val="none" w:color="auto"/>
                <w:lang w:val="en-US" w:eastAsia="zh-CN"/>
              </w:rPr>
              <w:t>，N</w:t>
            </w:r>
            <w:r>
              <w:rPr>
                <w:rFonts w:hint="default" w:ascii="Times New Roman" w:hAnsi="Times New Roman" w:eastAsia="宋体" w:cs="Times New Roman"/>
                <w:color w:val="auto"/>
                <w:sz w:val="21"/>
                <w:szCs w:val="21"/>
                <w:highlight w:val="none"/>
                <w:u w:val="none" w:color="auto"/>
                <w:lang w:val="en-US" w:eastAsia="zh-CN"/>
              </w:rPr>
              <w:t>27.740434869</w:t>
            </w:r>
          </w:p>
        </w:tc>
      </w:tr>
      <w:tr w14:paraId="029719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905" w:type="dxa"/>
            <w:noWrap w:val="0"/>
            <w:tcMar>
              <w:top w:w="16" w:type="dxa"/>
              <w:left w:w="16" w:type="dxa"/>
              <w:right w:w="16" w:type="dxa"/>
            </w:tcMar>
            <w:vAlign w:val="center"/>
          </w:tcPr>
          <w:p w14:paraId="58EA1E43">
            <w:pPr>
              <w:adjustRightInd w:val="0"/>
              <w:snapToGrid w:val="0"/>
              <w:jc w:val="both"/>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国民经济行业类别</w:t>
            </w:r>
          </w:p>
        </w:tc>
        <w:tc>
          <w:tcPr>
            <w:tcW w:w="1860" w:type="dxa"/>
            <w:noWrap w:val="0"/>
            <w:vAlign w:val="center"/>
          </w:tcPr>
          <w:p w14:paraId="7522D4D4">
            <w:pPr>
              <w:adjustRightInd w:val="0"/>
              <w:snapToGrid w:val="0"/>
              <w:jc w:val="both"/>
              <w:rPr>
                <w:rFonts w:hint="default"/>
                <w:color w:val="auto"/>
                <w:highlight w:val="none"/>
                <w:u w:val="none" w:color="auto"/>
                <w:lang w:val="en-US" w:eastAsia="zh-CN"/>
              </w:rPr>
            </w:pPr>
            <w:r>
              <w:rPr>
                <w:rFonts w:hint="default"/>
                <w:color w:val="auto"/>
                <w:highlight w:val="none"/>
                <w:u w:val="none" w:color="auto"/>
                <w:lang w:val="en-US" w:eastAsia="zh-CN"/>
              </w:rPr>
              <w:t>C3714高铁设备、配件制造；C3462风机、风扇制造</w:t>
            </w:r>
          </w:p>
        </w:tc>
        <w:tc>
          <w:tcPr>
            <w:tcW w:w="1964" w:type="dxa"/>
            <w:noWrap w:val="0"/>
            <w:vAlign w:val="center"/>
          </w:tcPr>
          <w:p w14:paraId="36962287">
            <w:pPr>
              <w:adjustRightInd w:val="0"/>
              <w:snapToGrid w:val="0"/>
              <w:jc w:val="center"/>
              <w:rPr>
                <w:rFonts w:hint="default" w:ascii="Times New Roman" w:hAnsi="Times New Roman" w:eastAsia="宋体" w:cs="Times New Roman"/>
                <w:color w:val="auto"/>
                <w:sz w:val="21"/>
                <w:szCs w:val="21"/>
                <w:highlight w:val="none"/>
                <w:u w:val="none" w:color="auto"/>
              </w:rPr>
            </w:pPr>
            <w:bookmarkStart w:id="4" w:name="_Hlk49843745"/>
            <w:r>
              <w:rPr>
                <w:rFonts w:hint="default" w:ascii="Times New Roman" w:hAnsi="Times New Roman" w:eastAsia="宋体" w:cs="Times New Roman"/>
                <w:color w:val="auto"/>
                <w:sz w:val="21"/>
                <w:szCs w:val="21"/>
                <w:highlight w:val="none"/>
                <w:u w:val="none" w:color="auto"/>
              </w:rPr>
              <w:t>建设项目行业类别</w:t>
            </w:r>
            <w:bookmarkEnd w:id="4"/>
          </w:p>
        </w:tc>
        <w:tc>
          <w:tcPr>
            <w:tcW w:w="3368" w:type="dxa"/>
            <w:noWrap w:val="0"/>
            <w:vAlign w:val="center"/>
          </w:tcPr>
          <w:p w14:paraId="527580EB">
            <w:pPr>
              <w:adjustRightInd w:val="0"/>
              <w:snapToGrid w:val="0"/>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三十一、通用设备制造业 烘炉、风机、包装等设备制造346；三十四、铁路、船舶、航空航天和其他运输设备制造业 铁路运输设备 制造371</w:t>
            </w:r>
          </w:p>
        </w:tc>
      </w:tr>
      <w:tr w14:paraId="4A9391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905" w:type="dxa"/>
            <w:noWrap w:val="0"/>
            <w:tcMar>
              <w:top w:w="16" w:type="dxa"/>
              <w:left w:w="16" w:type="dxa"/>
              <w:right w:w="16" w:type="dxa"/>
            </w:tcMar>
            <w:vAlign w:val="center"/>
          </w:tcPr>
          <w:p w14:paraId="4322E03B">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建设性质</w:t>
            </w:r>
          </w:p>
        </w:tc>
        <w:tc>
          <w:tcPr>
            <w:tcW w:w="1860" w:type="dxa"/>
            <w:noWrap w:val="0"/>
            <w:vAlign w:val="center"/>
          </w:tcPr>
          <w:p w14:paraId="71383384">
            <w:pPr>
              <w:ind w:firstLine="420" w:firstLineChars="200"/>
              <w:jc w:val="left"/>
              <w:rPr>
                <w:rFonts w:hint="default" w:ascii="Times New Roman" w:hAnsi="Times New Roman" w:eastAsia="宋体" w:cs="Times New Roman"/>
                <w:color w:val="auto"/>
                <w:sz w:val="21"/>
                <w:szCs w:val="21"/>
                <w:highlight w:val="none"/>
                <w:u w:val="single" w:color="auto"/>
              </w:rPr>
            </w:pPr>
            <w:r>
              <w:rPr>
                <w:rFonts w:hint="eastAsia" w:ascii="Times New Roman" w:hAnsi="Times New Roman" w:eastAsia="宋体" w:cs="Times New Roman"/>
                <w:color w:val="auto"/>
                <w:sz w:val="21"/>
                <w:szCs w:val="21"/>
                <w:highlight w:val="none"/>
                <w:u w:val="single" w:color="auto"/>
                <w:lang w:eastAsia="zh-CN"/>
              </w:rPr>
              <w:sym w:font="Wingdings 2" w:char="0052"/>
            </w:r>
            <w:r>
              <w:rPr>
                <w:rFonts w:hint="default" w:ascii="Times New Roman" w:hAnsi="Times New Roman" w:eastAsia="宋体" w:cs="Times New Roman"/>
                <w:color w:val="auto"/>
                <w:sz w:val="21"/>
                <w:szCs w:val="21"/>
                <w:highlight w:val="none"/>
                <w:u w:val="single" w:color="auto"/>
              </w:rPr>
              <w:t>新建（迁建）</w:t>
            </w:r>
          </w:p>
          <w:p w14:paraId="5C370151">
            <w:pPr>
              <w:ind w:firstLine="420" w:firstLineChars="200"/>
              <w:jc w:val="left"/>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lang w:eastAsia="zh-CN"/>
              </w:rPr>
              <w:t>□</w:t>
            </w:r>
            <w:r>
              <w:rPr>
                <w:rFonts w:hint="default" w:ascii="Times New Roman" w:hAnsi="Times New Roman" w:eastAsia="宋体" w:cs="Times New Roman"/>
                <w:color w:val="auto"/>
                <w:sz w:val="21"/>
                <w:szCs w:val="21"/>
                <w:highlight w:val="none"/>
                <w:u w:val="single" w:color="auto"/>
              </w:rPr>
              <w:t>改建</w:t>
            </w:r>
          </w:p>
          <w:p w14:paraId="360C9F45">
            <w:pPr>
              <w:ind w:firstLine="420" w:firstLineChars="200"/>
              <w:jc w:val="left"/>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lang w:eastAsia="zh-CN"/>
              </w:rPr>
              <w:t>□</w:t>
            </w:r>
            <w:r>
              <w:rPr>
                <w:rFonts w:hint="default" w:ascii="Times New Roman" w:hAnsi="Times New Roman" w:eastAsia="宋体" w:cs="Times New Roman"/>
                <w:color w:val="auto"/>
                <w:sz w:val="21"/>
                <w:szCs w:val="21"/>
                <w:highlight w:val="none"/>
                <w:u w:val="single" w:color="auto"/>
              </w:rPr>
              <w:t>扩建</w:t>
            </w:r>
          </w:p>
          <w:p w14:paraId="2ED0DE27">
            <w:pPr>
              <w:ind w:firstLine="420" w:firstLineChars="200"/>
              <w:jc w:val="left"/>
              <w:rPr>
                <w:rFonts w:hint="default" w:ascii="Times New Roman" w:hAnsi="Times New Roman" w:eastAsia="宋体" w:cs="Times New Roman"/>
                <w:color w:val="auto"/>
                <w:sz w:val="21"/>
                <w:szCs w:val="21"/>
                <w:highlight w:val="yellow"/>
                <w:u w:val="none" w:color="auto"/>
              </w:rPr>
            </w:pPr>
            <w:r>
              <w:rPr>
                <w:rFonts w:hint="default" w:ascii="Times New Roman" w:hAnsi="Times New Roman" w:eastAsia="宋体" w:cs="Times New Roman"/>
                <w:color w:val="auto"/>
                <w:sz w:val="21"/>
                <w:szCs w:val="21"/>
                <w:highlight w:val="none"/>
                <w:u w:val="single" w:color="auto"/>
                <w:lang w:eastAsia="zh-CN"/>
              </w:rPr>
              <w:t>□</w:t>
            </w:r>
            <w:r>
              <w:rPr>
                <w:rFonts w:hint="default" w:ascii="Times New Roman" w:hAnsi="Times New Roman" w:eastAsia="宋体" w:cs="Times New Roman"/>
                <w:color w:val="auto"/>
                <w:sz w:val="21"/>
                <w:szCs w:val="21"/>
                <w:highlight w:val="none"/>
                <w:u w:val="single" w:color="auto"/>
              </w:rPr>
              <w:t>技术改造</w:t>
            </w:r>
          </w:p>
        </w:tc>
        <w:tc>
          <w:tcPr>
            <w:tcW w:w="1964" w:type="dxa"/>
            <w:noWrap w:val="0"/>
            <w:vAlign w:val="center"/>
          </w:tcPr>
          <w:p w14:paraId="13746D5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建设项目</w:t>
            </w:r>
          </w:p>
          <w:p w14:paraId="5192C40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申报情形</w:t>
            </w:r>
          </w:p>
        </w:tc>
        <w:tc>
          <w:tcPr>
            <w:tcW w:w="3368" w:type="dxa"/>
            <w:noWrap w:val="0"/>
            <w:vAlign w:val="center"/>
          </w:tcPr>
          <w:p w14:paraId="14DCF5FA">
            <w:pPr>
              <w:jc w:val="left"/>
              <w:rPr>
                <w:rFonts w:hint="default" w:ascii="Times New Roman" w:hAnsi="Times New Roman" w:eastAsia="宋体" w:cs="Times New Roman"/>
                <w:color w:val="auto"/>
                <w:sz w:val="21"/>
                <w:szCs w:val="21"/>
                <w:highlight w:val="none"/>
                <w:u w:val="none" w:color="auto"/>
              </w:rPr>
            </w:pPr>
            <w:r>
              <w:rPr>
                <w:rFonts w:hint="eastAsia" w:ascii="Times New Roman" w:hAnsi="Times New Roman" w:eastAsia="宋体" w:cs="Times New Roman"/>
                <w:color w:val="auto"/>
                <w:sz w:val="21"/>
                <w:szCs w:val="21"/>
                <w:highlight w:val="none"/>
                <w:u w:val="none" w:color="auto"/>
                <w:lang w:eastAsia="zh-CN"/>
              </w:rPr>
              <w:sym w:font="Wingdings 2" w:char="0052"/>
            </w:r>
            <w:r>
              <w:rPr>
                <w:rFonts w:hint="default" w:ascii="Times New Roman" w:hAnsi="Times New Roman" w:eastAsia="宋体" w:cs="Times New Roman"/>
                <w:color w:val="auto"/>
                <w:sz w:val="21"/>
                <w:szCs w:val="21"/>
                <w:highlight w:val="none"/>
                <w:u w:val="none" w:color="auto"/>
              </w:rPr>
              <w:t>首次申报项目</w:t>
            </w:r>
          </w:p>
          <w:p w14:paraId="69B3D84C">
            <w:pPr>
              <w:jc w:val="left"/>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lang w:eastAsia="zh-CN"/>
              </w:rPr>
              <w:t>□</w:t>
            </w:r>
            <w:r>
              <w:rPr>
                <w:rFonts w:hint="default" w:ascii="Times New Roman" w:hAnsi="Times New Roman" w:eastAsia="宋体" w:cs="Times New Roman"/>
                <w:color w:val="auto"/>
                <w:sz w:val="21"/>
                <w:szCs w:val="21"/>
                <w:highlight w:val="none"/>
                <w:u w:val="none" w:color="auto"/>
              </w:rPr>
              <w:t>不予批准后再次申报项目</w:t>
            </w:r>
          </w:p>
          <w:p w14:paraId="7AF320C4">
            <w:pPr>
              <w:jc w:val="left"/>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lang w:eastAsia="zh-CN"/>
              </w:rPr>
              <w:t>□</w:t>
            </w:r>
            <w:r>
              <w:rPr>
                <w:rFonts w:hint="default" w:ascii="Times New Roman" w:hAnsi="Times New Roman" w:eastAsia="宋体" w:cs="Times New Roman"/>
                <w:color w:val="auto"/>
                <w:sz w:val="21"/>
                <w:szCs w:val="21"/>
                <w:highlight w:val="none"/>
                <w:u w:val="none" w:color="auto"/>
              </w:rPr>
              <w:t>超五年重新审核项目</w:t>
            </w:r>
          </w:p>
          <w:p w14:paraId="3BB7CF45">
            <w:pPr>
              <w:jc w:val="left"/>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lang w:eastAsia="zh-CN"/>
              </w:rPr>
              <w:t>□</w:t>
            </w:r>
            <w:r>
              <w:rPr>
                <w:rFonts w:hint="default" w:ascii="Times New Roman" w:hAnsi="Times New Roman" w:eastAsia="宋体" w:cs="Times New Roman"/>
                <w:color w:val="auto"/>
                <w:sz w:val="21"/>
                <w:szCs w:val="21"/>
                <w:highlight w:val="none"/>
                <w:u w:val="none" w:color="auto"/>
              </w:rPr>
              <w:t>重大变动重新报批项目</w:t>
            </w:r>
          </w:p>
        </w:tc>
      </w:tr>
      <w:tr w14:paraId="2F4874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905" w:type="dxa"/>
            <w:noWrap w:val="0"/>
            <w:tcMar>
              <w:top w:w="16" w:type="dxa"/>
              <w:left w:w="16" w:type="dxa"/>
              <w:right w:w="16" w:type="dxa"/>
            </w:tcMar>
            <w:vAlign w:val="center"/>
          </w:tcPr>
          <w:p w14:paraId="5E5B4B3E">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项目审批（核准/备案）部门（选填）</w:t>
            </w:r>
          </w:p>
        </w:tc>
        <w:tc>
          <w:tcPr>
            <w:tcW w:w="1860" w:type="dxa"/>
            <w:noWrap w:val="0"/>
            <w:vAlign w:val="center"/>
          </w:tcPr>
          <w:p w14:paraId="7AAE2A0B">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湘潭县发展和改革局</w:t>
            </w:r>
          </w:p>
        </w:tc>
        <w:tc>
          <w:tcPr>
            <w:tcW w:w="1964" w:type="dxa"/>
            <w:noWrap w:val="0"/>
            <w:vAlign w:val="center"/>
          </w:tcPr>
          <w:p w14:paraId="6BE99F39">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项目审批（核准/</w:t>
            </w:r>
          </w:p>
          <w:p w14:paraId="6B1E297F">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备案）文号（选填）</w:t>
            </w:r>
          </w:p>
        </w:tc>
        <w:tc>
          <w:tcPr>
            <w:tcW w:w="3368" w:type="dxa"/>
            <w:noWrap w:val="0"/>
            <w:vAlign w:val="center"/>
          </w:tcPr>
          <w:p w14:paraId="10110FD8">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潭县发改备〔2025〕337号</w:t>
            </w:r>
          </w:p>
        </w:tc>
      </w:tr>
      <w:tr w14:paraId="41DD81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05" w:type="dxa"/>
            <w:noWrap w:val="0"/>
            <w:tcMar>
              <w:top w:w="16" w:type="dxa"/>
              <w:left w:w="16" w:type="dxa"/>
              <w:right w:w="16" w:type="dxa"/>
            </w:tcMar>
            <w:vAlign w:val="center"/>
          </w:tcPr>
          <w:p w14:paraId="73FD4232">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总投资（万元）</w:t>
            </w:r>
          </w:p>
        </w:tc>
        <w:tc>
          <w:tcPr>
            <w:tcW w:w="1860" w:type="dxa"/>
            <w:noWrap w:val="0"/>
            <w:vAlign w:val="center"/>
          </w:tcPr>
          <w:p w14:paraId="789886E4">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450</w:t>
            </w:r>
          </w:p>
        </w:tc>
        <w:tc>
          <w:tcPr>
            <w:tcW w:w="1964" w:type="dxa"/>
            <w:noWrap w:val="0"/>
            <w:tcMar>
              <w:top w:w="16" w:type="dxa"/>
              <w:left w:w="16" w:type="dxa"/>
              <w:right w:w="16" w:type="dxa"/>
            </w:tcMar>
            <w:vAlign w:val="center"/>
          </w:tcPr>
          <w:p w14:paraId="13B54310">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环保投资（万元）</w:t>
            </w:r>
          </w:p>
        </w:tc>
        <w:tc>
          <w:tcPr>
            <w:tcW w:w="3368" w:type="dxa"/>
            <w:noWrap w:val="0"/>
            <w:vAlign w:val="center"/>
          </w:tcPr>
          <w:p w14:paraId="13EF4DDB">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48.5</w:t>
            </w:r>
          </w:p>
        </w:tc>
      </w:tr>
      <w:tr w14:paraId="2C330A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05" w:type="dxa"/>
            <w:noWrap w:val="0"/>
            <w:tcMar>
              <w:top w:w="16" w:type="dxa"/>
              <w:left w:w="16" w:type="dxa"/>
              <w:right w:w="16" w:type="dxa"/>
            </w:tcMar>
            <w:vAlign w:val="center"/>
          </w:tcPr>
          <w:p w14:paraId="32B0DA50">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环保投资占比（%）</w:t>
            </w:r>
          </w:p>
        </w:tc>
        <w:tc>
          <w:tcPr>
            <w:tcW w:w="1860" w:type="dxa"/>
            <w:noWrap w:val="0"/>
            <w:vAlign w:val="center"/>
          </w:tcPr>
          <w:p w14:paraId="7DE33CF4">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10.78</w:t>
            </w:r>
          </w:p>
        </w:tc>
        <w:tc>
          <w:tcPr>
            <w:tcW w:w="1964" w:type="dxa"/>
            <w:noWrap w:val="0"/>
            <w:tcMar>
              <w:top w:w="16" w:type="dxa"/>
              <w:left w:w="16" w:type="dxa"/>
              <w:right w:w="16" w:type="dxa"/>
            </w:tcMar>
            <w:vAlign w:val="center"/>
          </w:tcPr>
          <w:p w14:paraId="0226D514">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施工工期</w:t>
            </w:r>
          </w:p>
        </w:tc>
        <w:tc>
          <w:tcPr>
            <w:tcW w:w="3368" w:type="dxa"/>
            <w:noWrap w:val="0"/>
            <w:vAlign w:val="center"/>
          </w:tcPr>
          <w:p w14:paraId="27F21058">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1</w:t>
            </w:r>
            <w:r>
              <w:rPr>
                <w:rFonts w:hint="default" w:ascii="Times New Roman" w:hAnsi="Times New Roman" w:eastAsia="宋体" w:cs="Times New Roman"/>
                <w:color w:val="auto"/>
                <w:sz w:val="21"/>
                <w:szCs w:val="21"/>
                <w:highlight w:val="none"/>
                <w:u w:val="none" w:color="auto"/>
                <w:lang w:val="en-US" w:eastAsia="zh-CN"/>
              </w:rPr>
              <w:t>个月</w:t>
            </w:r>
          </w:p>
        </w:tc>
      </w:tr>
      <w:tr w14:paraId="62B438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05" w:type="dxa"/>
            <w:noWrap w:val="0"/>
            <w:tcMar>
              <w:top w:w="16" w:type="dxa"/>
              <w:left w:w="16" w:type="dxa"/>
              <w:right w:w="16" w:type="dxa"/>
            </w:tcMar>
            <w:vAlign w:val="center"/>
          </w:tcPr>
          <w:p w14:paraId="712A55D8">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是否开工建设</w:t>
            </w:r>
          </w:p>
        </w:tc>
        <w:tc>
          <w:tcPr>
            <w:tcW w:w="1860" w:type="dxa"/>
            <w:noWrap w:val="0"/>
            <w:vAlign w:val="center"/>
          </w:tcPr>
          <w:p w14:paraId="11ED1B40">
            <w:pPr>
              <w:adjustRightInd w:val="0"/>
              <w:snapToGrid w:val="0"/>
              <w:ind w:firstLine="420" w:firstLineChars="200"/>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lang w:eastAsia="zh-CN"/>
              </w:rPr>
              <w:t>☑</w:t>
            </w:r>
            <w:r>
              <w:rPr>
                <w:rFonts w:hint="default" w:ascii="Times New Roman" w:hAnsi="Times New Roman" w:eastAsia="宋体" w:cs="Times New Roman"/>
                <w:color w:val="auto"/>
                <w:sz w:val="21"/>
                <w:szCs w:val="21"/>
                <w:highlight w:val="none"/>
                <w:u w:val="none" w:color="auto"/>
              </w:rPr>
              <w:t>否</w:t>
            </w:r>
          </w:p>
          <w:p w14:paraId="238D66A4">
            <w:pPr>
              <w:adjustRightInd w:val="0"/>
              <w:snapToGrid w:val="0"/>
              <w:ind w:firstLine="420" w:firstLineChars="200"/>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lang w:eastAsia="zh-CN"/>
              </w:rPr>
              <w:sym w:font="Wingdings 2" w:char="00A3"/>
            </w:r>
            <w:r>
              <w:rPr>
                <w:rFonts w:hint="default" w:ascii="Times New Roman" w:hAnsi="Times New Roman" w:eastAsia="宋体" w:cs="Times New Roman"/>
                <w:color w:val="auto"/>
                <w:sz w:val="21"/>
                <w:szCs w:val="21"/>
                <w:highlight w:val="none"/>
                <w:u w:val="none" w:color="auto"/>
              </w:rPr>
              <w:t xml:space="preserve">是：             </w:t>
            </w:r>
          </w:p>
        </w:tc>
        <w:tc>
          <w:tcPr>
            <w:tcW w:w="1964" w:type="dxa"/>
            <w:noWrap w:val="0"/>
            <w:tcMar>
              <w:top w:w="16" w:type="dxa"/>
              <w:left w:w="16" w:type="dxa"/>
              <w:right w:w="16" w:type="dxa"/>
            </w:tcMar>
            <w:vAlign w:val="center"/>
          </w:tcPr>
          <w:p w14:paraId="4487A244">
            <w:pPr>
              <w:adjustRightInd w:val="0"/>
              <w:snapToGrid w:val="0"/>
              <w:jc w:val="center"/>
              <w:rPr>
                <w:rFonts w:hint="default" w:ascii="Times New Roman" w:hAnsi="Times New Roman" w:eastAsia="宋体" w:cs="Times New Roman"/>
                <w:color w:val="auto"/>
                <w:spacing w:val="-6"/>
                <w:sz w:val="21"/>
                <w:szCs w:val="21"/>
                <w:highlight w:val="none"/>
                <w:u w:val="none" w:color="auto"/>
              </w:rPr>
            </w:pPr>
            <w:r>
              <w:rPr>
                <w:rFonts w:hint="default" w:ascii="Times New Roman" w:hAnsi="Times New Roman" w:eastAsia="宋体" w:cs="Times New Roman"/>
                <w:color w:val="auto"/>
                <w:spacing w:val="-6"/>
                <w:sz w:val="21"/>
                <w:szCs w:val="21"/>
                <w:highlight w:val="none"/>
                <w:u w:val="none" w:color="auto"/>
              </w:rPr>
              <w:t>用地（用海）</w:t>
            </w:r>
          </w:p>
          <w:p w14:paraId="1426C48F">
            <w:pPr>
              <w:adjustRightInd w:val="0"/>
              <w:snapToGrid w:val="0"/>
              <w:jc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pacing w:val="-6"/>
                <w:sz w:val="21"/>
                <w:szCs w:val="21"/>
                <w:highlight w:val="none"/>
                <w:u w:val="none" w:color="auto"/>
              </w:rPr>
              <w:t>面积（m</w:t>
            </w:r>
            <w:r>
              <w:rPr>
                <w:rFonts w:hint="default" w:ascii="Times New Roman" w:hAnsi="Times New Roman" w:eastAsia="宋体" w:cs="Times New Roman"/>
                <w:color w:val="auto"/>
                <w:spacing w:val="-6"/>
                <w:sz w:val="21"/>
                <w:szCs w:val="21"/>
                <w:highlight w:val="none"/>
                <w:u w:val="none" w:color="auto"/>
                <w:vertAlign w:val="superscript"/>
              </w:rPr>
              <w:t>2</w:t>
            </w:r>
            <w:r>
              <w:rPr>
                <w:rFonts w:hint="default" w:ascii="Times New Roman" w:hAnsi="Times New Roman" w:eastAsia="宋体" w:cs="Times New Roman"/>
                <w:color w:val="auto"/>
                <w:spacing w:val="-6"/>
                <w:sz w:val="21"/>
                <w:szCs w:val="21"/>
                <w:highlight w:val="none"/>
                <w:u w:val="none" w:color="auto"/>
              </w:rPr>
              <w:t>）</w:t>
            </w:r>
          </w:p>
        </w:tc>
        <w:tc>
          <w:tcPr>
            <w:tcW w:w="3368" w:type="dxa"/>
            <w:noWrap w:val="0"/>
            <w:vAlign w:val="center"/>
          </w:tcPr>
          <w:p w14:paraId="27700F1C">
            <w:pPr>
              <w:jc w:val="center"/>
              <w:rPr>
                <w:rFonts w:hint="default" w:ascii="Times New Roman" w:hAnsi="Times New Roman" w:eastAsia="宋体" w:cs="Times New Roman"/>
                <w:color w:val="auto"/>
                <w:sz w:val="21"/>
                <w:szCs w:val="21"/>
                <w:highlight w:val="yellow"/>
                <w:u w:val="none" w:color="auto"/>
                <w:lang w:val="en-US" w:eastAsia="zh-CN"/>
              </w:rPr>
            </w:pPr>
            <w:r>
              <w:rPr>
                <w:rFonts w:hint="eastAsia" w:cs="Times New Roman"/>
                <w:color w:val="auto"/>
                <w:sz w:val="21"/>
                <w:szCs w:val="21"/>
                <w:highlight w:val="none"/>
                <w:u w:val="single" w:color="auto"/>
                <w:lang w:val="en-US" w:eastAsia="zh-CN"/>
              </w:rPr>
              <w:t>6667</w:t>
            </w:r>
          </w:p>
        </w:tc>
      </w:tr>
      <w:tr w14:paraId="509037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1905" w:type="dxa"/>
            <w:noWrap w:val="0"/>
            <w:vAlign w:val="center"/>
          </w:tcPr>
          <w:p w14:paraId="38ADB4E4">
            <w:pPr>
              <w:autoSpaceDE w:val="0"/>
              <w:autoSpaceDN w:val="0"/>
              <w:adjustRightInd w:val="0"/>
              <w:snapToGrid w:val="0"/>
              <w:jc w:val="center"/>
              <w:rPr>
                <w:rFonts w:hint="default" w:ascii="Times New Roman" w:hAnsi="Times New Roman" w:eastAsia="宋体" w:cs="Times New Roman"/>
                <w:color w:val="auto"/>
                <w:kern w:val="0"/>
                <w:sz w:val="21"/>
                <w:szCs w:val="21"/>
                <w:highlight w:val="none"/>
                <w:u w:val="none" w:color="auto"/>
              </w:rPr>
            </w:pPr>
            <w:r>
              <w:rPr>
                <w:rFonts w:hint="default" w:ascii="Times New Roman" w:hAnsi="Times New Roman" w:eastAsia="宋体" w:cs="Times New Roman"/>
                <w:color w:val="auto"/>
                <w:kern w:val="0"/>
                <w:sz w:val="21"/>
                <w:szCs w:val="21"/>
                <w:highlight w:val="none"/>
                <w:u w:val="none" w:color="auto"/>
              </w:rPr>
              <w:t>专项评价设置情况</w:t>
            </w:r>
          </w:p>
        </w:tc>
        <w:tc>
          <w:tcPr>
            <w:tcW w:w="7192" w:type="dxa"/>
            <w:gridSpan w:val="3"/>
            <w:noWrap w:val="0"/>
            <w:vAlign w:val="center"/>
          </w:tcPr>
          <w:p w14:paraId="73834AE1">
            <w:pPr>
              <w:keepNext w:val="0"/>
              <w:keepLines w:val="0"/>
              <w:pageBreakBefore w:val="0"/>
              <w:widowControl w:val="0"/>
              <w:kinsoku/>
              <w:wordWrap/>
              <w:overflowPunct/>
              <w:topLinePunct w:val="0"/>
              <w:autoSpaceDE w:val="0"/>
              <w:autoSpaceDN w:val="0"/>
              <w:bidi w:val="0"/>
              <w:adjustRightInd w:val="0"/>
              <w:snapToGrid w:val="0"/>
              <w:spacing w:line="480" w:lineRule="exact"/>
              <w:ind w:firstLine="480" w:firstLineChars="200"/>
              <w:jc w:val="left"/>
              <w:textAlignment w:val="auto"/>
              <w:rPr>
                <w:rFonts w:ascii="宋体" w:hAnsi="宋体" w:cs="宋体"/>
                <w:color w:val="auto"/>
                <w:kern w:val="0"/>
                <w:sz w:val="24"/>
                <w:u w:val="none" w:color="auto"/>
              </w:rPr>
            </w:pPr>
            <w:r>
              <w:rPr>
                <w:rFonts w:hint="eastAsia" w:ascii="宋体" w:hAnsi="宋体" w:cs="宋体"/>
                <w:color w:val="auto"/>
                <w:kern w:val="0"/>
                <w:sz w:val="24"/>
                <w:u w:val="none" w:color="auto"/>
              </w:rPr>
              <w:t>根据</w:t>
            </w:r>
            <w:r>
              <w:rPr>
                <w:color w:val="auto"/>
                <w:sz w:val="24"/>
                <w:u w:val="none" w:color="auto"/>
                <w:lang w:val="zh-CN"/>
              </w:rPr>
              <w:t>《</w:t>
            </w:r>
            <w:r>
              <w:rPr>
                <w:color w:val="auto"/>
                <w:u w:val="none" w:color="auto"/>
              </w:rPr>
              <w:fldChar w:fldCharType="begin"/>
            </w:r>
            <w:r>
              <w:rPr>
                <w:color w:val="auto"/>
                <w:u w:val="none" w:color="auto"/>
              </w:rPr>
              <w:instrText xml:space="preserve"> HYPERLINK "http://www.gepresearch.com/uploads/soft/210104/1_1746581341.pdf" </w:instrText>
            </w:r>
            <w:r>
              <w:rPr>
                <w:color w:val="auto"/>
                <w:u w:val="none" w:color="auto"/>
              </w:rPr>
              <w:fldChar w:fldCharType="separate"/>
            </w:r>
            <w:r>
              <w:rPr>
                <w:color w:val="auto"/>
                <w:sz w:val="24"/>
                <w:u w:val="none" w:color="auto"/>
                <w:lang w:val="zh-CN"/>
              </w:rPr>
              <w:t>建设项目环境影响报告表编制技术指南（污染影响类）（试行）</w:t>
            </w:r>
            <w:r>
              <w:rPr>
                <w:color w:val="auto"/>
                <w:sz w:val="24"/>
                <w:u w:val="none" w:color="auto"/>
                <w:lang w:val="zh-CN"/>
              </w:rPr>
              <w:fldChar w:fldCharType="end"/>
            </w:r>
            <w:r>
              <w:rPr>
                <w:color w:val="auto"/>
                <w:sz w:val="24"/>
                <w:u w:val="none" w:color="auto"/>
                <w:lang w:val="zh-CN"/>
              </w:rPr>
              <w:t>》</w:t>
            </w:r>
            <w:r>
              <w:rPr>
                <w:rFonts w:hint="eastAsia" w:ascii="Calibri"/>
                <w:color w:val="auto"/>
                <w:sz w:val="24"/>
                <w:u w:val="none" w:color="auto"/>
                <w:lang w:val="zh-CN"/>
              </w:rPr>
              <w:t>专项评价设置原则表，本项目不涉及专项评价。</w:t>
            </w:r>
          </w:p>
          <w:p w14:paraId="30558124">
            <w:pPr>
              <w:autoSpaceDE w:val="0"/>
              <w:autoSpaceDN w:val="0"/>
              <w:adjustRightInd w:val="0"/>
              <w:snapToGrid w:val="0"/>
              <w:jc w:val="center"/>
              <w:rPr>
                <w:b/>
                <w:color w:val="auto"/>
                <w:szCs w:val="21"/>
                <w:u w:val="none" w:color="auto"/>
              </w:rPr>
            </w:pPr>
            <w:r>
              <w:rPr>
                <w:rFonts w:hint="eastAsia"/>
                <w:b/>
                <w:color w:val="auto"/>
                <w:szCs w:val="21"/>
                <w:u w:val="none" w:color="auto"/>
              </w:rPr>
              <w:t>表</w:t>
            </w:r>
            <w:r>
              <w:rPr>
                <w:rFonts w:hint="eastAsia"/>
                <w:b/>
                <w:color w:val="auto"/>
                <w:szCs w:val="21"/>
                <w:u w:val="none" w:color="auto"/>
                <w:lang w:val="en-US" w:eastAsia="zh-CN"/>
              </w:rPr>
              <w:t>1-1</w:t>
            </w:r>
            <w:r>
              <w:rPr>
                <w:rFonts w:hint="eastAsia" w:ascii="Calibri" w:eastAsia="宋体"/>
                <w:b/>
                <w:color w:val="auto"/>
                <w:szCs w:val="21"/>
                <w:u w:val="none" w:color="auto"/>
                <w:lang w:val="en-US" w:eastAsia="zh-CN"/>
              </w:rPr>
              <w:t xml:space="preserve">  </w:t>
            </w:r>
            <w:r>
              <w:rPr>
                <w:rFonts w:hint="eastAsia"/>
                <w:b/>
                <w:color w:val="auto"/>
                <w:szCs w:val="21"/>
                <w:u w:val="none" w:color="auto"/>
              </w:rPr>
              <w:t>专项评价设置原则表</w:t>
            </w:r>
          </w:p>
          <w:tbl>
            <w:tblPr>
              <w:tblStyle w:val="32"/>
              <w:tblW w:w="69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6"/>
              <w:gridCol w:w="1065"/>
              <w:gridCol w:w="3165"/>
              <w:gridCol w:w="1634"/>
              <w:gridCol w:w="661"/>
            </w:tblGrid>
            <w:tr w14:paraId="05AD7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6" w:type="dxa"/>
                  <w:noWrap w:val="0"/>
                  <w:vAlign w:val="center"/>
                </w:tcPr>
                <w:p w14:paraId="73EC2B5C">
                  <w:pPr>
                    <w:autoSpaceDE w:val="0"/>
                    <w:autoSpaceDN w:val="0"/>
                    <w:adjustRightInd w:val="0"/>
                    <w:snapToGrid w:val="0"/>
                    <w:jc w:val="center"/>
                    <w:rPr>
                      <w:color w:val="auto"/>
                      <w:kern w:val="0"/>
                      <w:szCs w:val="21"/>
                      <w:u w:val="none" w:color="auto"/>
                    </w:rPr>
                  </w:pPr>
                  <w:r>
                    <w:rPr>
                      <w:rFonts w:hAnsi="宋体"/>
                      <w:color w:val="auto"/>
                      <w:kern w:val="0"/>
                      <w:szCs w:val="21"/>
                      <w:u w:val="none" w:color="auto"/>
                    </w:rPr>
                    <w:t>序号</w:t>
                  </w:r>
                </w:p>
              </w:tc>
              <w:tc>
                <w:tcPr>
                  <w:tcW w:w="1065" w:type="dxa"/>
                  <w:noWrap w:val="0"/>
                  <w:vAlign w:val="center"/>
                </w:tcPr>
                <w:p w14:paraId="6115C7BB">
                  <w:pPr>
                    <w:autoSpaceDE w:val="0"/>
                    <w:autoSpaceDN w:val="0"/>
                    <w:adjustRightInd w:val="0"/>
                    <w:snapToGrid w:val="0"/>
                    <w:jc w:val="center"/>
                    <w:rPr>
                      <w:color w:val="auto"/>
                      <w:kern w:val="0"/>
                      <w:szCs w:val="21"/>
                      <w:u w:val="none" w:color="auto"/>
                    </w:rPr>
                  </w:pPr>
                  <w:r>
                    <w:rPr>
                      <w:rFonts w:hint="eastAsia"/>
                      <w:color w:val="auto"/>
                      <w:kern w:val="0"/>
                      <w:szCs w:val="21"/>
                      <w:u w:val="none" w:color="auto"/>
                    </w:rPr>
                    <w:t>专项评价的类别</w:t>
                  </w:r>
                </w:p>
              </w:tc>
              <w:tc>
                <w:tcPr>
                  <w:tcW w:w="3165" w:type="dxa"/>
                  <w:noWrap w:val="0"/>
                  <w:vAlign w:val="center"/>
                </w:tcPr>
                <w:p w14:paraId="6F3600C0">
                  <w:pPr>
                    <w:autoSpaceDE w:val="0"/>
                    <w:autoSpaceDN w:val="0"/>
                    <w:adjustRightInd w:val="0"/>
                    <w:snapToGrid w:val="0"/>
                    <w:jc w:val="center"/>
                    <w:rPr>
                      <w:color w:val="auto"/>
                      <w:kern w:val="0"/>
                      <w:szCs w:val="21"/>
                      <w:u w:val="none" w:color="auto"/>
                    </w:rPr>
                  </w:pPr>
                  <w:r>
                    <w:rPr>
                      <w:rFonts w:hint="eastAsia"/>
                      <w:color w:val="auto"/>
                      <w:kern w:val="0"/>
                      <w:szCs w:val="21"/>
                      <w:u w:val="none" w:color="auto"/>
                    </w:rPr>
                    <w:t>设置原则</w:t>
                  </w:r>
                </w:p>
              </w:tc>
              <w:tc>
                <w:tcPr>
                  <w:tcW w:w="1634" w:type="dxa"/>
                  <w:noWrap w:val="0"/>
                  <w:vAlign w:val="center"/>
                </w:tcPr>
                <w:p w14:paraId="0E132591">
                  <w:pPr>
                    <w:autoSpaceDE w:val="0"/>
                    <w:autoSpaceDN w:val="0"/>
                    <w:adjustRightInd w:val="0"/>
                    <w:snapToGrid w:val="0"/>
                    <w:jc w:val="center"/>
                    <w:rPr>
                      <w:color w:val="auto"/>
                      <w:kern w:val="0"/>
                      <w:szCs w:val="21"/>
                      <w:u w:val="none" w:color="auto"/>
                    </w:rPr>
                  </w:pPr>
                  <w:r>
                    <w:rPr>
                      <w:rFonts w:hint="eastAsia"/>
                      <w:color w:val="auto"/>
                      <w:kern w:val="0"/>
                      <w:szCs w:val="21"/>
                      <w:u w:val="none" w:color="auto"/>
                    </w:rPr>
                    <w:t>项目情况</w:t>
                  </w:r>
                </w:p>
              </w:tc>
              <w:tc>
                <w:tcPr>
                  <w:tcW w:w="661" w:type="dxa"/>
                  <w:noWrap w:val="0"/>
                  <w:vAlign w:val="center"/>
                </w:tcPr>
                <w:p w14:paraId="4CFB1490">
                  <w:pPr>
                    <w:autoSpaceDE w:val="0"/>
                    <w:autoSpaceDN w:val="0"/>
                    <w:adjustRightInd w:val="0"/>
                    <w:snapToGrid w:val="0"/>
                    <w:jc w:val="center"/>
                    <w:rPr>
                      <w:color w:val="auto"/>
                      <w:kern w:val="0"/>
                      <w:szCs w:val="21"/>
                      <w:u w:val="none" w:color="auto"/>
                    </w:rPr>
                  </w:pPr>
                  <w:r>
                    <w:rPr>
                      <w:rFonts w:hint="eastAsia"/>
                      <w:color w:val="auto"/>
                      <w:kern w:val="0"/>
                      <w:szCs w:val="21"/>
                      <w:u w:val="none" w:color="auto"/>
                    </w:rPr>
                    <w:t>是否设置</w:t>
                  </w:r>
                </w:p>
              </w:tc>
            </w:tr>
            <w:tr w14:paraId="04A70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6" w:type="dxa"/>
                  <w:noWrap w:val="0"/>
                  <w:vAlign w:val="center"/>
                </w:tcPr>
                <w:p w14:paraId="056873F0">
                  <w:pPr>
                    <w:autoSpaceDE w:val="0"/>
                    <w:autoSpaceDN w:val="0"/>
                    <w:adjustRightInd w:val="0"/>
                    <w:snapToGrid w:val="0"/>
                    <w:jc w:val="center"/>
                    <w:rPr>
                      <w:color w:val="auto"/>
                      <w:kern w:val="0"/>
                      <w:szCs w:val="21"/>
                      <w:u w:val="none" w:color="auto"/>
                    </w:rPr>
                  </w:pPr>
                  <w:r>
                    <w:rPr>
                      <w:color w:val="auto"/>
                      <w:kern w:val="0"/>
                      <w:szCs w:val="21"/>
                      <w:u w:val="none" w:color="auto"/>
                    </w:rPr>
                    <w:t>1</w:t>
                  </w:r>
                </w:p>
              </w:tc>
              <w:tc>
                <w:tcPr>
                  <w:tcW w:w="1065" w:type="dxa"/>
                  <w:noWrap w:val="0"/>
                  <w:vAlign w:val="center"/>
                </w:tcPr>
                <w:p w14:paraId="654667A7">
                  <w:pPr>
                    <w:autoSpaceDE w:val="0"/>
                    <w:autoSpaceDN w:val="0"/>
                    <w:adjustRightInd w:val="0"/>
                    <w:snapToGrid w:val="0"/>
                    <w:jc w:val="center"/>
                    <w:rPr>
                      <w:color w:val="auto"/>
                      <w:kern w:val="0"/>
                      <w:szCs w:val="21"/>
                      <w:u w:val="none" w:color="auto"/>
                    </w:rPr>
                  </w:pPr>
                  <w:r>
                    <w:rPr>
                      <w:rFonts w:hint="eastAsia"/>
                      <w:color w:val="auto"/>
                      <w:kern w:val="0"/>
                      <w:szCs w:val="21"/>
                      <w:u w:val="none" w:color="auto"/>
                    </w:rPr>
                    <w:t>大气</w:t>
                  </w:r>
                </w:p>
              </w:tc>
              <w:tc>
                <w:tcPr>
                  <w:tcW w:w="3165" w:type="dxa"/>
                  <w:noWrap w:val="0"/>
                  <w:vAlign w:val="center"/>
                </w:tcPr>
                <w:p w14:paraId="71A799F9">
                  <w:pPr>
                    <w:autoSpaceDE w:val="0"/>
                    <w:autoSpaceDN w:val="0"/>
                    <w:adjustRightInd w:val="0"/>
                    <w:snapToGrid w:val="0"/>
                    <w:jc w:val="left"/>
                    <w:rPr>
                      <w:color w:val="auto"/>
                      <w:kern w:val="0"/>
                      <w:szCs w:val="21"/>
                      <w:u w:val="none" w:color="auto"/>
                    </w:rPr>
                  </w:pPr>
                  <w:r>
                    <w:rPr>
                      <w:rFonts w:hint="eastAsia"/>
                      <w:color w:val="auto"/>
                      <w:kern w:val="0"/>
                      <w:szCs w:val="21"/>
                      <w:u w:val="none" w:color="auto"/>
                    </w:rPr>
                    <w:t>排放废气含有毒有害污染物</w:t>
                  </w:r>
                  <w:r>
                    <w:rPr>
                      <w:rFonts w:hint="eastAsia"/>
                      <w:color w:val="auto"/>
                      <w:kern w:val="0"/>
                      <w:szCs w:val="21"/>
                      <w:u w:val="none" w:color="auto"/>
                      <w:vertAlign w:val="superscript"/>
                    </w:rPr>
                    <w:t>1</w:t>
                  </w:r>
                  <w:r>
                    <w:rPr>
                      <w:rFonts w:hint="eastAsia"/>
                      <w:color w:val="auto"/>
                      <w:kern w:val="0"/>
                      <w:szCs w:val="21"/>
                      <w:u w:val="none" w:color="auto"/>
                    </w:rPr>
                    <w:t>、二噁英、苯并[a]芘、氰化物、氯气且厂界外500米范围内有环境空气保护目标</w:t>
                  </w:r>
                  <w:r>
                    <w:rPr>
                      <w:rFonts w:hint="eastAsia"/>
                      <w:color w:val="auto"/>
                      <w:kern w:val="0"/>
                      <w:szCs w:val="21"/>
                      <w:u w:val="none" w:color="auto"/>
                      <w:vertAlign w:val="superscript"/>
                    </w:rPr>
                    <w:t>2</w:t>
                  </w:r>
                  <w:r>
                    <w:rPr>
                      <w:rFonts w:hint="eastAsia"/>
                      <w:color w:val="auto"/>
                      <w:kern w:val="0"/>
                      <w:szCs w:val="21"/>
                      <w:u w:val="none" w:color="auto"/>
                    </w:rPr>
                    <w:t>的建设项目</w:t>
                  </w:r>
                </w:p>
              </w:tc>
              <w:tc>
                <w:tcPr>
                  <w:tcW w:w="1634" w:type="dxa"/>
                  <w:noWrap w:val="0"/>
                  <w:vAlign w:val="center"/>
                </w:tcPr>
                <w:p w14:paraId="5210FD41">
                  <w:pPr>
                    <w:autoSpaceDE w:val="0"/>
                    <w:autoSpaceDN w:val="0"/>
                    <w:adjustRightInd w:val="0"/>
                    <w:snapToGrid w:val="0"/>
                    <w:jc w:val="center"/>
                    <w:rPr>
                      <w:color w:val="auto"/>
                      <w:kern w:val="0"/>
                      <w:szCs w:val="21"/>
                      <w:u w:val="none" w:color="auto"/>
                    </w:rPr>
                  </w:pPr>
                  <w:r>
                    <w:rPr>
                      <w:rFonts w:hint="eastAsia"/>
                      <w:color w:val="auto"/>
                      <w:kern w:val="0"/>
                      <w:szCs w:val="21"/>
                      <w:u w:val="none" w:color="auto"/>
                    </w:rPr>
                    <w:t>不涉及</w:t>
                  </w:r>
                </w:p>
              </w:tc>
              <w:tc>
                <w:tcPr>
                  <w:tcW w:w="661" w:type="dxa"/>
                  <w:noWrap w:val="0"/>
                  <w:vAlign w:val="center"/>
                </w:tcPr>
                <w:p w14:paraId="57191D87">
                  <w:pPr>
                    <w:autoSpaceDE w:val="0"/>
                    <w:autoSpaceDN w:val="0"/>
                    <w:adjustRightInd w:val="0"/>
                    <w:snapToGrid w:val="0"/>
                    <w:jc w:val="center"/>
                    <w:rPr>
                      <w:color w:val="auto"/>
                      <w:kern w:val="0"/>
                      <w:szCs w:val="21"/>
                      <w:u w:val="none" w:color="auto"/>
                    </w:rPr>
                  </w:pPr>
                  <w:r>
                    <w:rPr>
                      <w:rFonts w:hint="eastAsia"/>
                      <w:color w:val="auto"/>
                      <w:kern w:val="0"/>
                      <w:szCs w:val="21"/>
                      <w:u w:val="none" w:color="auto"/>
                    </w:rPr>
                    <w:t>否</w:t>
                  </w:r>
                </w:p>
              </w:tc>
            </w:tr>
            <w:tr w14:paraId="212A6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6" w:type="dxa"/>
                  <w:noWrap w:val="0"/>
                  <w:vAlign w:val="center"/>
                </w:tcPr>
                <w:p w14:paraId="6BB1F447">
                  <w:pPr>
                    <w:autoSpaceDE w:val="0"/>
                    <w:autoSpaceDN w:val="0"/>
                    <w:adjustRightInd w:val="0"/>
                    <w:snapToGrid w:val="0"/>
                    <w:jc w:val="center"/>
                    <w:rPr>
                      <w:color w:val="auto"/>
                      <w:kern w:val="0"/>
                      <w:szCs w:val="21"/>
                      <w:u w:val="none" w:color="auto"/>
                    </w:rPr>
                  </w:pPr>
                  <w:r>
                    <w:rPr>
                      <w:color w:val="auto"/>
                      <w:kern w:val="0"/>
                      <w:szCs w:val="21"/>
                      <w:u w:val="none" w:color="auto"/>
                    </w:rPr>
                    <w:t>2</w:t>
                  </w:r>
                </w:p>
              </w:tc>
              <w:tc>
                <w:tcPr>
                  <w:tcW w:w="1065" w:type="dxa"/>
                  <w:noWrap w:val="0"/>
                  <w:vAlign w:val="center"/>
                </w:tcPr>
                <w:p w14:paraId="6674454E">
                  <w:pPr>
                    <w:autoSpaceDE w:val="0"/>
                    <w:autoSpaceDN w:val="0"/>
                    <w:adjustRightInd w:val="0"/>
                    <w:snapToGrid w:val="0"/>
                    <w:jc w:val="center"/>
                    <w:rPr>
                      <w:color w:val="auto"/>
                      <w:kern w:val="0"/>
                      <w:szCs w:val="21"/>
                      <w:u w:val="none" w:color="auto"/>
                    </w:rPr>
                  </w:pPr>
                  <w:r>
                    <w:rPr>
                      <w:rFonts w:hint="eastAsia"/>
                      <w:color w:val="auto"/>
                      <w:kern w:val="0"/>
                      <w:szCs w:val="21"/>
                      <w:u w:val="none" w:color="auto"/>
                    </w:rPr>
                    <w:t>地表水</w:t>
                  </w:r>
                </w:p>
              </w:tc>
              <w:tc>
                <w:tcPr>
                  <w:tcW w:w="3165" w:type="dxa"/>
                  <w:noWrap w:val="0"/>
                  <w:vAlign w:val="center"/>
                </w:tcPr>
                <w:p w14:paraId="762F61F6">
                  <w:pPr>
                    <w:autoSpaceDE w:val="0"/>
                    <w:autoSpaceDN w:val="0"/>
                    <w:adjustRightInd w:val="0"/>
                    <w:snapToGrid w:val="0"/>
                    <w:jc w:val="left"/>
                    <w:rPr>
                      <w:color w:val="auto"/>
                      <w:kern w:val="0"/>
                      <w:szCs w:val="21"/>
                      <w:u w:val="none" w:color="auto"/>
                    </w:rPr>
                  </w:pPr>
                  <w:r>
                    <w:rPr>
                      <w:rFonts w:hint="eastAsia"/>
                      <w:color w:val="auto"/>
                      <w:kern w:val="0"/>
                      <w:szCs w:val="21"/>
                      <w:u w:val="none" w:color="auto"/>
                    </w:rPr>
                    <w:t>新增工业废水直排建设项目（槽罐车外送污水处理厂的除外）；新增废水直排的污水集中处理厂</w:t>
                  </w:r>
                </w:p>
              </w:tc>
              <w:tc>
                <w:tcPr>
                  <w:tcW w:w="1634" w:type="dxa"/>
                  <w:noWrap w:val="0"/>
                  <w:vAlign w:val="center"/>
                </w:tcPr>
                <w:p w14:paraId="1C769BC0">
                  <w:pPr>
                    <w:autoSpaceDE w:val="0"/>
                    <w:autoSpaceDN w:val="0"/>
                    <w:adjustRightInd w:val="0"/>
                    <w:snapToGrid w:val="0"/>
                    <w:jc w:val="center"/>
                    <w:rPr>
                      <w:color w:val="auto"/>
                      <w:kern w:val="0"/>
                      <w:szCs w:val="21"/>
                      <w:u w:val="none" w:color="auto"/>
                    </w:rPr>
                  </w:pPr>
                  <w:r>
                    <w:rPr>
                      <w:rFonts w:hint="eastAsia"/>
                      <w:color w:val="auto"/>
                      <w:kern w:val="0"/>
                      <w:szCs w:val="21"/>
                      <w:u w:val="none" w:color="auto"/>
                    </w:rPr>
                    <w:t>间接排放</w:t>
                  </w:r>
                </w:p>
              </w:tc>
              <w:tc>
                <w:tcPr>
                  <w:tcW w:w="661" w:type="dxa"/>
                  <w:noWrap w:val="0"/>
                  <w:vAlign w:val="center"/>
                </w:tcPr>
                <w:p w14:paraId="0F625701">
                  <w:pPr>
                    <w:autoSpaceDE w:val="0"/>
                    <w:autoSpaceDN w:val="0"/>
                    <w:adjustRightInd w:val="0"/>
                    <w:snapToGrid w:val="0"/>
                    <w:jc w:val="center"/>
                    <w:rPr>
                      <w:color w:val="auto"/>
                      <w:kern w:val="0"/>
                      <w:szCs w:val="21"/>
                      <w:u w:val="none" w:color="auto"/>
                    </w:rPr>
                  </w:pPr>
                  <w:r>
                    <w:rPr>
                      <w:rFonts w:hint="eastAsia"/>
                      <w:color w:val="auto"/>
                      <w:kern w:val="0"/>
                      <w:szCs w:val="21"/>
                      <w:u w:val="none" w:color="auto"/>
                    </w:rPr>
                    <w:t>否</w:t>
                  </w:r>
                </w:p>
              </w:tc>
            </w:tr>
            <w:tr w14:paraId="510A2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6" w:type="dxa"/>
                  <w:noWrap w:val="0"/>
                  <w:vAlign w:val="center"/>
                </w:tcPr>
                <w:p w14:paraId="09ED05E9">
                  <w:pPr>
                    <w:autoSpaceDE w:val="0"/>
                    <w:autoSpaceDN w:val="0"/>
                    <w:adjustRightInd w:val="0"/>
                    <w:snapToGrid w:val="0"/>
                    <w:jc w:val="center"/>
                    <w:rPr>
                      <w:color w:val="auto"/>
                      <w:kern w:val="0"/>
                      <w:szCs w:val="21"/>
                      <w:u w:val="none" w:color="auto"/>
                    </w:rPr>
                  </w:pPr>
                  <w:r>
                    <w:rPr>
                      <w:color w:val="auto"/>
                      <w:kern w:val="0"/>
                      <w:szCs w:val="21"/>
                      <w:u w:val="none" w:color="auto"/>
                    </w:rPr>
                    <w:t>3</w:t>
                  </w:r>
                </w:p>
              </w:tc>
              <w:tc>
                <w:tcPr>
                  <w:tcW w:w="1065" w:type="dxa"/>
                  <w:noWrap w:val="0"/>
                  <w:vAlign w:val="center"/>
                </w:tcPr>
                <w:p w14:paraId="7FFEE870">
                  <w:pPr>
                    <w:autoSpaceDE w:val="0"/>
                    <w:autoSpaceDN w:val="0"/>
                    <w:adjustRightInd w:val="0"/>
                    <w:snapToGrid w:val="0"/>
                    <w:jc w:val="center"/>
                    <w:rPr>
                      <w:color w:val="auto"/>
                      <w:kern w:val="0"/>
                      <w:szCs w:val="21"/>
                      <w:u w:val="none" w:color="auto"/>
                    </w:rPr>
                  </w:pPr>
                  <w:r>
                    <w:rPr>
                      <w:rFonts w:hint="eastAsia"/>
                      <w:color w:val="auto"/>
                      <w:kern w:val="0"/>
                      <w:szCs w:val="21"/>
                      <w:u w:val="none" w:color="auto"/>
                    </w:rPr>
                    <w:t>环境风险</w:t>
                  </w:r>
                </w:p>
              </w:tc>
              <w:tc>
                <w:tcPr>
                  <w:tcW w:w="3165" w:type="dxa"/>
                  <w:noWrap w:val="0"/>
                  <w:vAlign w:val="center"/>
                </w:tcPr>
                <w:p w14:paraId="6E61465C">
                  <w:pPr>
                    <w:autoSpaceDE w:val="0"/>
                    <w:autoSpaceDN w:val="0"/>
                    <w:adjustRightInd w:val="0"/>
                    <w:snapToGrid w:val="0"/>
                    <w:jc w:val="left"/>
                    <w:rPr>
                      <w:color w:val="auto"/>
                      <w:kern w:val="0"/>
                      <w:szCs w:val="21"/>
                      <w:u w:val="none" w:color="auto"/>
                    </w:rPr>
                  </w:pPr>
                  <w:r>
                    <w:rPr>
                      <w:rFonts w:hint="eastAsia"/>
                      <w:color w:val="auto"/>
                      <w:kern w:val="0"/>
                      <w:szCs w:val="21"/>
                      <w:u w:val="none" w:color="auto"/>
                    </w:rPr>
                    <w:t>有毒有害和易燃易爆危险物质存储量超过临界量的建设项目</w:t>
                  </w:r>
                </w:p>
              </w:tc>
              <w:tc>
                <w:tcPr>
                  <w:tcW w:w="1634" w:type="dxa"/>
                  <w:noWrap w:val="0"/>
                  <w:vAlign w:val="center"/>
                </w:tcPr>
                <w:p w14:paraId="58D95FB5">
                  <w:pPr>
                    <w:autoSpaceDE w:val="0"/>
                    <w:autoSpaceDN w:val="0"/>
                    <w:adjustRightInd w:val="0"/>
                    <w:snapToGrid w:val="0"/>
                    <w:jc w:val="center"/>
                    <w:rPr>
                      <w:color w:val="auto"/>
                      <w:kern w:val="0"/>
                      <w:szCs w:val="21"/>
                      <w:u w:val="none" w:color="auto"/>
                    </w:rPr>
                  </w:pPr>
                  <w:r>
                    <w:rPr>
                      <w:rFonts w:hint="eastAsia"/>
                      <w:color w:val="auto"/>
                      <w:kern w:val="0"/>
                      <w:szCs w:val="21"/>
                      <w:u w:val="none" w:color="auto"/>
                    </w:rPr>
                    <w:t>油漆、稀释剂、</w:t>
                  </w:r>
                  <w:r>
                    <w:rPr>
                      <w:rFonts w:hint="eastAsia"/>
                      <w:color w:val="auto"/>
                      <w:kern w:val="0"/>
                      <w:szCs w:val="21"/>
                      <w:u w:val="none" w:color="auto"/>
                      <w:lang w:val="en-US" w:eastAsia="zh-CN"/>
                    </w:rPr>
                    <w:t>固化剂、</w:t>
                  </w:r>
                  <w:r>
                    <w:rPr>
                      <w:rFonts w:hint="eastAsia"/>
                      <w:color w:val="auto"/>
                      <w:kern w:val="0"/>
                      <w:szCs w:val="21"/>
                      <w:u w:val="none" w:color="auto"/>
                    </w:rPr>
                    <w:t>危险废物</w:t>
                  </w:r>
                  <w:r>
                    <w:rPr>
                      <w:rFonts w:hint="eastAsia"/>
                      <w:color w:val="auto"/>
                      <w:kern w:val="0"/>
                      <w:szCs w:val="21"/>
                      <w:u w:val="none" w:color="auto"/>
                      <w:lang w:eastAsia="zh-CN"/>
                    </w:rPr>
                    <w:t>、</w:t>
                  </w:r>
                  <w:r>
                    <w:rPr>
                      <w:rFonts w:hint="eastAsia"/>
                      <w:color w:val="auto"/>
                      <w:kern w:val="0"/>
                      <w:szCs w:val="21"/>
                      <w:u w:val="none" w:color="auto"/>
                      <w:lang w:val="en-US" w:eastAsia="zh-CN"/>
                    </w:rPr>
                    <w:t>润滑油、液化石油气</w:t>
                  </w:r>
                  <w:r>
                    <w:rPr>
                      <w:rFonts w:hint="eastAsia"/>
                      <w:color w:val="auto"/>
                      <w:kern w:val="0"/>
                      <w:szCs w:val="21"/>
                      <w:u w:val="none" w:color="auto"/>
                    </w:rPr>
                    <w:t>等，远低于临界量</w:t>
                  </w:r>
                </w:p>
              </w:tc>
              <w:tc>
                <w:tcPr>
                  <w:tcW w:w="661" w:type="dxa"/>
                  <w:noWrap w:val="0"/>
                  <w:vAlign w:val="center"/>
                </w:tcPr>
                <w:p w14:paraId="6550F897">
                  <w:pPr>
                    <w:autoSpaceDE w:val="0"/>
                    <w:autoSpaceDN w:val="0"/>
                    <w:adjustRightInd w:val="0"/>
                    <w:snapToGrid w:val="0"/>
                    <w:jc w:val="center"/>
                    <w:rPr>
                      <w:color w:val="auto"/>
                      <w:kern w:val="0"/>
                      <w:szCs w:val="21"/>
                      <w:u w:val="none" w:color="auto"/>
                    </w:rPr>
                  </w:pPr>
                  <w:r>
                    <w:rPr>
                      <w:rFonts w:hint="eastAsia"/>
                      <w:color w:val="auto"/>
                      <w:kern w:val="0"/>
                      <w:szCs w:val="21"/>
                      <w:u w:val="none" w:color="auto"/>
                    </w:rPr>
                    <w:t>否</w:t>
                  </w:r>
                </w:p>
              </w:tc>
            </w:tr>
            <w:tr w14:paraId="22B5F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6" w:type="dxa"/>
                  <w:noWrap w:val="0"/>
                  <w:vAlign w:val="center"/>
                </w:tcPr>
                <w:p w14:paraId="27C268B1">
                  <w:pPr>
                    <w:autoSpaceDE w:val="0"/>
                    <w:autoSpaceDN w:val="0"/>
                    <w:adjustRightInd w:val="0"/>
                    <w:snapToGrid w:val="0"/>
                    <w:jc w:val="center"/>
                    <w:rPr>
                      <w:color w:val="auto"/>
                      <w:kern w:val="0"/>
                      <w:szCs w:val="21"/>
                      <w:u w:val="none" w:color="auto"/>
                    </w:rPr>
                  </w:pPr>
                  <w:r>
                    <w:rPr>
                      <w:rFonts w:hint="eastAsia"/>
                      <w:color w:val="auto"/>
                      <w:kern w:val="0"/>
                      <w:szCs w:val="21"/>
                      <w:u w:val="none" w:color="auto"/>
                    </w:rPr>
                    <w:t>4</w:t>
                  </w:r>
                </w:p>
              </w:tc>
              <w:tc>
                <w:tcPr>
                  <w:tcW w:w="1065" w:type="dxa"/>
                  <w:noWrap w:val="0"/>
                  <w:vAlign w:val="center"/>
                </w:tcPr>
                <w:p w14:paraId="4BD75C73">
                  <w:pPr>
                    <w:autoSpaceDE w:val="0"/>
                    <w:autoSpaceDN w:val="0"/>
                    <w:adjustRightInd w:val="0"/>
                    <w:snapToGrid w:val="0"/>
                    <w:jc w:val="center"/>
                    <w:rPr>
                      <w:color w:val="auto"/>
                      <w:kern w:val="0"/>
                      <w:szCs w:val="21"/>
                      <w:u w:val="none" w:color="auto"/>
                    </w:rPr>
                  </w:pPr>
                  <w:r>
                    <w:rPr>
                      <w:rFonts w:hint="eastAsia"/>
                      <w:color w:val="auto"/>
                      <w:kern w:val="0"/>
                      <w:szCs w:val="21"/>
                      <w:u w:val="none" w:color="auto"/>
                    </w:rPr>
                    <w:t>生态</w:t>
                  </w:r>
                </w:p>
              </w:tc>
              <w:tc>
                <w:tcPr>
                  <w:tcW w:w="3165" w:type="dxa"/>
                  <w:noWrap w:val="0"/>
                  <w:vAlign w:val="center"/>
                </w:tcPr>
                <w:p w14:paraId="2DED59F4">
                  <w:pPr>
                    <w:autoSpaceDE w:val="0"/>
                    <w:autoSpaceDN w:val="0"/>
                    <w:adjustRightInd w:val="0"/>
                    <w:snapToGrid w:val="0"/>
                    <w:jc w:val="left"/>
                    <w:rPr>
                      <w:color w:val="auto"/>
                      <w:kern w:val="0"/>
                      <w:szCs w:val="21"/>
                      <w:u w:val="none" w:color="auto"/>
                    </w:rPr>
                  </w:pPr>
                  <w:r>
                    <w:rPr>
                      <w:rFonts w:hint="eastAsia"/>
                      <w:color w:val="auto"/>
                      <w:kern w:val="0"/>
                      <w:szCs w:val="21"/>
                      <w:u w:val="none" w:color="auto"/>
                    </w:rPr>
                    <w:t>取水口下游500米范围内有重要水生生物的自然产卵场、索饵场、越冬场和洄游通道的新增河道取水的污染类建设项目</w:t>
                  </w:r>
                </w:p>
              </w:tc>
              <w:tc>
                <w:tcPr>
                  <w:tcW w:w="1634" w:type="dxa"/>
                  <w:noWrap w:val="0"/>
                  <w:vAlign w:val="center"/>
                </w:tcPr>
                <w:p w14:paraId="53A6802E">
                  <w:pPr>
                    <w:autoSpaceDE w:val="0"/>
                    <w:autoSpaceDN w:val="0"/>
                    <w:adjustRightInd w:val="0"/>
                    <w:snapToGrid w:val="0"/>
                    <w:jc w:val="center"/>
                    <w:rPr>
                      <w:color w:val="auto"/>
                      <w:kern w:val="0"/>
                      <w:szCs w:val="21"/>
                      <w:u w:val="none" w:color="auto"/>
                    </w:rPr>
                  </w:pPr>
                  <w:r>
                    <w:rPr>
                      <w:rFonts w:hint="eastAsia"/>
                      <w:color w:val="auto"/>
                      <w:kern w:val="0"/>
                      <w:szCs w:val="21"/>
                      <w:u w:val="none" w:color="auto"/>
                    </w:rPr>
                    <w:t>不涉及</w:t>
                  </w:r>
                </w:p>
              </w:tc>
              <w:tc>
                <w:tcPr>
                  <w:tcW w:w="661" w:type="dxa"/>
                  <w:noWrap w:val="0"/>
                  <w:vAlign w:val="center"/>
                </w:tcPr>
                <w:p w14:paraId="5C2DDE73">
                  <w:pPr>
                    <w:autoSpaceDE w:val="0"/>
                    <w:autoSpaceDN w:val="0"/>
                    <w:adjustRightInd w:val="0"/>
                    <w:snapToGrid w:val="0"/>
                    <w:jc w:val="center"/>
                    <w:rPr>
                      <w:color w:val="auto"/>
                      <w:kern w:val="0"/>
                      <w:szCs w:val="21"/>
                      <w:u w:val="none" w:color="auto"/>
                    </w:rPr>
                  </w:pPr>
                  <w:r>
                    <w:rPr>
                      <w:rFonts w:hint="eastAsia"/>
                      <w:color w:val="auto"/>
                      <w:kern w:val="0"/>
                      <w:szCs w:val="21"/>
                      <w:u w:val="none" w:color="auto"/>
                    </w:rPr>
                    <w:t>否</w:t>
                  </w:r>
                </w:p>
              </w:tc>
            </w:tr>
            <w:tr w14:paraId="7F30D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6" w:type="dxa"/>
                  <w:noWrap w:val="0"/>
                  <w:vAlign w:val="center"/>
                </w:tcPr>
                <w:p w14:paraId="41A271F6">
                  <w:pPr>
                    <w:autoSpaceDE w:val="0"/>
                    <w:autoSpaceDN w:val="0"/>
                    <w:adjustRightInd w:val="0"/>
                    <w:snapToGrid w:val="0"/>
                    <w:jc w:val="center"/>
                    <w:rPr>
                      <w:color w:val="auto"/>
                      <w:kern w:val="0"/>
                      <w:szCs w:val="21"/>
                      <w:u w:val="none" w:color="auto"/>
                    </w:rPr>
                  </w:pPr>
                  <w:r>
                    <w:rPr>
                      <w:rFonts w:hint="eastAsia"/>
                      <w:color w:val="auto"/>
                      <w:kern w:val="0"/>
                      <w:szCs w:val="21"/>
                      <w:u w:val="none" w:color="auto"/>
                    </w:rPr>
                    <w:t>5</w:t>
                  </w:r>
                </w:p>
              </w:tc>
              <w:tc>
                <w:tcPr>
                  <w:tcW w:w="1065" w:type="dxa"/>
                  <w:noWrap w:val="0"/>
                  <w:vAlign w:val="center"/>
                </w:tcPr>
                <w:p w14:paraId="5110A8F4">
                  <w:pPr>
                    <w:autoSpaceDE w:val="0"/>
                    <w:autoSpaceDN w:val="0"/>
                    <w:adjustRightInd w:val="0"/>
                    <w:snapToGrid w:val="0"/>
                    <w:jc w:val="center"/>
                    <w:rPr>
                      <w:color w:val="auto"/>
                      <w:kern w:val="0"/>
                      <w:szCs w:val="21"/>
                      <w:u w:val="none" w:color="auto"/>
                    </w:rPr>
                  </w:pPr>
                  <w:r>
                    <w:rPr>
                      <w:rFonts w:hint="eastAsia"/>
                      <w:color w:val="auto"/>
                      <w:kern w:val="0"/>
                      <w:szCs w:val="21"/>
                      <w:u w:val="none" w:color="auto"/>
                    </w:rPr>
                    <w:t>海洋</w:t>
                  </w:r>
                </w:p>
              </w:tc>
              <w:tc>
                <w:tcPr>
                  <w:tcW w:w="3165" w:type="dxa"/>
                  <w:noWrap w:val="0"/>
                  <w:vAlign w:val="center"/>
                </w:tcPr>
                <w:p w14:paraId="7617B185">
                  <w:pPr>
                    <w:autoSpaceDE w:val="0"/>
                    <w:autoSpaceDN w:val="0"/>
                    <w:adjustRightInd w:val="0"/>
                    <w:snapToGrid w:val="0"/>
                    <w:jc w:val="left"/>
                    <w:rPr>
                      <w:color w:val="auto"/>
                      <w:kern w:val="0"/>
                      <w:szCs w:val="21"/>
                      <w:u w:val="none" w:color="auto"/>
                    </w:rPr>
                  </w:pPr>
                  <w:r>
                    <w:rPr>
                      <w:rFonts w:hint="eastAsia"/>
                      <w:color w:val="auto"/>
                      <w:kern w:val="0"/>
                      <w:szCs w:val="21"/>
                      <w:u w:val="none" w:color="auto"/>
                    </w:rPr>
                    <w:t>直接向海排放污染物的海洋工程建设项目</w:t>
                  </w:r>
                </w:p>
              </w:tc>
              <w:tc>
                <w:tcPr>
                  <w:tcW w:w="1634" w:type="dxa"/>
                  <w:noWrap w:val="0"/>
                  <w:vAlign w:val="center"/>
                </w:tcPr>
                <w:p w14:paraId="40384E3C">
                  <w:pPr>
                    <w:autoSpaceDE w:val="0"/>
                    <w:autoSpaceDN w:val="0"/>
                    <w:adjustRightInd w:val="0"/>
                    <w:snapToGrid w:val="0"/>
                    <w:jc w:val="center"/>
                    <w:rPr>
                      <w:color w:val="auto"/>
                      <w:kern w:val="0"/>
                      <w:szCs w:val="21"/>
                      <w:u w:val="none" w:color="auto"/>
                    </w:rPr>
                  </w:pPr>
                  <w:r>
                    <w:rPr>
                      <w:rFonts w:hint="eastAsia"/>
                      <w:color w:val="auto"/>
                      <w:kern w:val="0"/>
                      <w:szCs w:val="21"/>
                      <w:u w:val="none" w:color="auto"/>
                    </w:rPr>
                    <w:t>不涉及</w:t>
                  </w:r>
                </w:p>
              </w:tc>
              <w:tc>
                <w:tcPr>
                  <w:tcW w:w="661" w:type="dxa"/>
                  <w:noWrap w:val="0"/>
                  <w:vAlign w:val="center"/>
                </w:tcPr>
                <w:p w14:paraId="488BEB80">
                  <w:pPr>
                    <w:autoSpaceDE w:val="0"/>
                    <w:autoSpaceDN w:val="0"/>
                    <w:adjustRightInd w:val="0"/>
                    <w:snapToGrid w:val="0"/>
                    <w:jc w:val="center"/>
                    <w:rPr>
                      <w:color w:val="auto"/>
                      <w:kern w:val="0"/>
                      <w:szCs w:val="21"/>
                      <w:u w:val="none" w:color="auto"/>
                    </w:rPr>
                  </w:pPr>
                  <w:r>
                    <w:rPr>
                      <w:rFonts w:hint="eastAsia"/>
                      <w:color w:val="auto"/>
                      <w:kern w:val="0"/>
                      <w:szCs w:val="21"/>
                      <w:u w:val="none" w:color="auto"/>
                    </w:rPr>
                    <w:t>否</w:t>
                  </w:r>
                </w:p>
              </w:tc>
            </w:tr>
          </w:tbl>
          <w:p w14:paraId="64242E8F">
            <w:pPr>
              <w:autoSpaceDE w:val="0"/>
              <w:autoSpaceDN w:val="0"/>
              <w:adjustRightInd w:val="0"/>
              <w:snapToGrid w:val="0"/>
              <w:jc w:val="center"/>
              <w:rPr>
                <w:rFonts w:hint="default" w:ascii="Times New Roman" w:hAnsi="Times New Roman" w:eastAsia="宋体" w:cs="Times New Roman"/>
                <w:color w:val="auto"/>
                <w:kern w:val="0"/>
                <w:sz w:val="21"/>
                <w:szCs w:val="21"/>
                <w:highlight w:val="yellow"/>
                <w:u w:val="none" w:color="auto"/>
                <w:lang w:val="en-US" w:eastAsia="zh-CN"/>
              </w:rPr>
            </w:pPr>
          </w:p>
        </w:tc>
      </w:tr>
      <w:tr w14:paraId="57D5FA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1905" w:type="dxa"/>
            <w:noWrap w:val="0"/>
            <w:vAlign w:val="center"/>
          </w:tcPr>
          <w:p w14:paraId="3CE0F209">
            <w:pPr>
              <w:autoSpaceDE w:val="0"/>
              <w:autoSpaceDN w:val="0"/>
              <w:adjustRightInd w:val="0"/>
              <w:snapToGrid w:val="0"/>
              <w:jc w:val="center"/>
              <w:rPr>
                <w:rFonts w:hint="default" w:ascii="Times New Roman" w:hAnsi="Times New Roman" w:eastAsia="宋体" w:cs="Times New Roman"/>
                <w:color w:val="auto"/>
                <w:kern w:val="0"/>
                <w:sz w:val="21"/>
                <w:szCs w:val="21"/>
                <w:highlight w:val="none"/>
                <w:u w:val="none" w:color="auto"/>
              </w:rPr>
            </w:pPr>
            <w:r>
              <w:rPr>
                <w:rFonts w:hint="default" w:ascii="Times New Roman" w:hAnsi="Times New Roman" w:eastAsia="宋体" w:cs="Times New Roman"/>
                <w:color w:val="auto"/>
                <w:sz w:val="21"/>
                <w:szCs w:val="21"/>
                <w:highlight w:val="none"/>
                <w:u w:val="none" w:color="auto"/>
              </w:rPr>
              <w:t>规划情况</w:t>
            </w:r>
          </w:p>
        </w:tc>
        <w:tc>
          <w:tcPr>
            <w:tcW w:w="7192" w:type="dxa"/>
            <w:gridSpan w:val="3"/>
            <w:noWrap w:val="0"/>
            <w:vAlign w:val="center"/>
          </w:tcPr>
          <w:p w14:paraId="43966652">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color w:val="auto"/>
                <w:kern w:val="0"/>
                <w:sz w:val="21"/>
                <w:szCs w:val="21"/>
                <w:highlight w:val="yellow"/>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w:t>
            </w:r>
          </w:p>
        </w:tc>
      </w:tr>
      <w:tr w14:paraId="7486E1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05" w:type="dxa"/>
            <w:noWrap w:val="0"/>
            <w:vAlign w:val="center"/>
          </w:tcPr>
          <w:p w14:paraId="24D280DB">
            <w:pPr>
              <w:adjustRightInd w:val="0"/>
              <w:snapToGrid w:val="0"/>
              <w:jc w:val="center"/>
              <w:rPr>
                <w:rFonts w:hint="default" w:ascii="Times New Roman" w:hAnsi="Times New Roman" w:eastAsia="宋体" w:cs="Times New Roman"/>
                <w:color w:val="auto"/>
                <w:kern w:val="0"/>
                <w:sz w:val="21"/>
                <w:szCs w:val="21"/>
                <w:highlight w:val="none"/>
                <w:u w:val="none" w:color="auto"/>
              </w:rPr>
            </w:pPr>
            <w:r>
              <w:rPr>
                <w:rFonts w:hint="default" w:ascii="Times New Roman" w:hAnsi="Times New Roman" w:eastAsia="宋体" w:cs="Times New Roman"/>
                <w:color w:val="auto"/>
                <w:sz w:val="21"/>
                <w:szCs w:val="21"/>
                <w:highlight w:val="none"/>
                <w:u w:val="none" w:color="auto"/>
              </w:rPr>
              <w:t>规划环境影响评价情况</w:t>
            </w:r>
          </w:p>
        </w:tc>
        <w:tc>
          <w:tcPr>
            <w:tcW w:w="7192" w:type="dxa"/>
            <w:gridSpan w:val="3"/>
            <w:noWrap w:val="0"/>
            <w:vAlign w:val="center"/>
          </w:tcPr>
          <w:p w14:paraId="15DCFF9B">
            <w:pPr>
              <w:keepNext w:val="0"/>
              <w:keepLines w:val="0"/>
              <w:pageBreakBefore w:val="0"/>
              <w:widowControl/>
              <w:suppressLineNumbers w:val="0"/>
              <w:kinsoku/>
              <w:wordWrap/>
              <w:overflowPunct/>
              <w:topLinePunct w:val="0"/>
              <w:autoSpaceDE/>
              <w:autoSpaceDN/>
              <w:bidi w:val="0"/>
              <w:adjustRightInd/>
              <w:snapToGrid/>
              <w:spacing w:line="440" w:lineRule="exact"/>
              <w:ind w:right="0" w:firstLine="480" w:firstLineChars="200"/>
              <w:jc w:val="left"/>
              <w:textAlignment w:val="auto"/>
              <w:rPr>
                <w:rFonts w:hint="default"/>
                <w:color w:val="auto"/>
                <w:highlight w:val="yellow"/>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w:t>
            </w:r>
          </w:p>
        </w:tc>
      </w:tr>
      <w:tr w14:paraId="087B43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05" w:type="dxa"/>
            <w:noWrap w:val="0"/>
            <w:vAlign w:val="center"/>
          </w:tcPr>
          <w:p w14:paraId="58786002">
            <w:pPr>
              <w:autoSpaceDE w:val="0"/>
              <w:autoSpaceDN w:val="0"/>
              <w:adjustRightInd w:val="0"/>
              <w:snapToGrid w:val="0"/>
              <w:jc w:val="center"/>
              <w:rPr>
                <w:rFonts w:hint="default" w:ascii="Times New Roman" w:hAnsi="Times New Roman" w:eastAsia="宋体" w:cs="Times New Roman"/>
                <w:color w:val="auto"/>
                <w:kern w:val="0"/>
                <w:sz w:val="21"/>
                <w:szCs w:val="21"/>
                <w:highlight w:val="none"/>
                <w:u w:val="none" w:color="auto"/>
              </w:rPr>
            </w:pPr>
            <w:r>
              <w:rPr>
                <w:rFonts w:hint="default" w:ascii="Times New Roman" w:hAnsi="Times New Roman" w:eastAsia="宋体" w:cs="Times New Roman"/>
                <w:color w:val="auto"/>
                <w:kern w:val="0"/>
                <w:sz w:val="21"/>
                <w:szCs w:val="21"/>
                <w:highlight w:val="none"/>
                <w:u w:val="none" w:color="auto"/>
              </w:rPr>
              <w:t>规划及规划环境影响评价符合性分析</w:t>
            </w:r>
          </w:p>
        </w:tc>
        <w:tc>
          <w:tcPr>
            <w:tcW w:w="7192" w:type="dxa"/>
            <w:gridSpan w:val="3"/>
            <w:noWrap w:val="0"/>
            <w:vAlign w:val="center"/>
          </w:tcPr>
          <w:p w14:paraId="59E7FC25">
            <w:pPr>
              <w:rPr>
                <w:rFonts w:hint="default"/>
                <w:color w:val="auto"/>
                <w:u w:val="none" w:color="auto"/>
                <w:lang w:val="en-US" w:eastAsia="zh-CN"/>
              </w:rPr>
            </w:pPr>
            <w:r>
              <w:rPr>
                <w:rFonts w:hint="eastAsia" w:ascii="Times New Roman" w:hAnsi="Times New Roman" w:cs="Times New Roman"/>
                <w:b w:val="0"/>
                <w:bCs w:val="0"/>
                <w:color w:val="auto"/>
                <w:sz w:val="24"/>
                <w:szCs w:val="32"/>
                <w:highlight w:val="none"/>
                <w:u w:val="none" w:color="auto"/>
                <w:lang w:val="en-US" w:eastAsia="zh-CN"/>
              </w:rPr>
              <w:t>/</w:t>
            </w:r>
          </w:p>
          <w:p w14:paraId="612DEEC9">
            <w:pPr>
              <w:widowControl w:val="0"/>
              <w:ind w:left="0" w:leftChars="0" w:firstLine="0" w:firstLineChars="0"/>
              <w:jc w:val="both"/>
              <w:rPr>
                <w:rFonts w:hint="default" w:ascii="宋体" w:hAnsi="宋体" w:eastAsia="宋体" w:cs="Times New Roman"/>
                <w:b/>
                <w:color w:val="auto"/>
                <w:kern w:val="2"/>
                <w:sz w:val="21"/>
                <w:szCs w:val="24"/>
                <w:u w:val="none" w:color="auto"/>
                <w:lang w:val="en-US" w:eastAsia="zh-CN" w:bidi="ar-SA"/>
              </w:rPr>
            </w:pPr>
          </w:p>
        </w:tc>
      </w:tr>
      <w:tr w14:paraId="13E3D6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05" w:type="dxa"/>
            <w:noWrap w:val="0"/>
            <w:vAlign w:val="center"/>
          </w:tcPr>
          <w:p w14:paraId="50B8B757">
            <w:pPr>
              <w:autoSpaceDE w:val="0"/>
              <w:autoSpaceDN w:val="0"/>
              <w:adjustRightInd w:val="0"/>
              <w:snapToGrid w:val="0"/>
              <w:jc w:val="center"/>
              <w:rPr>
                <w:rFonts w:hint="default" w:ascii="Times New Roman" w:hAnsi="Times New Roman" w:eastAsia="宋体" w:cs="Times New Roman"/>
                <w:color w:val="auto"/>
                <w:kern w:val="0"/>
                <w:sz w:val="21"/>
                <w:szCs w:val="21"/>
                <w:highlight w:val="yellow"/>
                <w:u w:val="none" w:color="auto"/>
              </w:rPr>
            </w:pPr>
            <w:r>
              <w:rPr>
                <w:rFonts w:hint="default" w:ascii="Times New Roman" w:hAnsi="Times New Roman" w:eastAsia="宋体" w:cs="Times New Roman"/>
                <w:color w:val="auto"/>
                <w:kern w:val="0"/>
                <w:sz w:val="21"/>
                <w:szCs w:val="21"/>
                <w:highlight w:val="none"/>
                <w:u w:val="none" w:color="auto"/>
              </w:rPr>
              <w:t>其他符合性分析</w:t>
            </w:r>
          </w:p>
        </w:tc>
        <w:tc>
          <w:tcPr>
            <w:tcW w:w="7192" w:type="dxa"/>
            <w:gridSpan w:val="3"/>
            <w:noWrap w:val="0"/>
            <w:vAlign w:val="center"/>
          </w:tcPr>
          <w:p w14:paraId="52626653">
            <w:pPr>
              <w:autoSpaceDE w:val="0"/>
              <w:autoSpaceDN w:val="0"/>
              <w:adjustRightInd w:val="0"/>
              <w:snapToGrid w:val="0"/>
              <w:spacing w:line="360" w:lineRule="auto"/>
              <w:ind w:firstLine="482" w:firstLineChars="200"/>
              <w:rPr>
                <w:b/>
                <w:bCs/>
                <w:color w:val="auto"/>
                <w:kern w:val="0"/>
                <w:sz w:val="24"/>
                <w:szCs w:val="24"/>
                <w:u w:val="none" w:color="auto"/>
              </w:rPr>
            </w:pPr>
            <w:r>
              <w:rPr>
                <w:rFonts w:hint="default" w:ascii="Times New Roman" w:hAnsi="Times New Roman" w:cs="Times New Roman"/>
                <w:b/>
                <w:bCs/>
                <w:color w:val="auto"/>
                <w:kern w:val="0"/>
                <w:sz w:val="24"/>
                <w:szCs w:val="24"/>
                <w:u w:val="none" w:color="auto"/>
              </w:rPr>
              <w:t>1、</w:t>
            </w:r>
            <w:r>
              <w:rPr>
                <w:rFonts w:ascii="Times New Roman" w:hAnsi="Times New Roman" w:cs="Times New Roman"/>
                <w:b/>
                <w:bCs/>
                <w:color w:val="auto"/>
                <w:kern w:val="0"/>
                <w:sz w:val="24"/>
                <w:szCs w:val="24"/>
                <w:u w:val="none" w:color="auto"/>
              </w:rPr>
              <w:t>产</w:t>
            </w:r>
            <w:r>
              <w:rPr>
                <w:b/>
                <w:bCs/>
                <w:color w:val="auto"/>
                <w:kern w:val="0"/>
                <w:sz w:val="24"/>
                <w:szCs w:val="24"/>
                <w:u w:val="none" w:color="auto"/>
              </w:rPr>
              <w:t>业政策符合性分析</w:t>
            </w:r>
          </w:p>
          <w:p w14:paraId="3597929E">
            <w:pPr>
              <w:autoSpaceDE w:val="0"/>
              <w:autoSpaceDN w:val="0"/>
              <w:adjustRightInd w:val="0"/>
              <w:snapToGrid w:val="0"/>
              <w:spacing w:line="360" w:lineRule="auto"/>
              <w:ind w:firstLine="480" w:firstLineChars="200"/>
              <w:rPr>
                <w:rFonts w:ascii="Times New Roman" w:hAnsi="Times New Roman" w:cs="Times New Roman"/>
                <w:color w:val="auto"/>
                <w:sz w:val="24"/>
                <w:szCs w:val="24"/>
                <w:u w:val="none" w:color="auto"/>
              </w:rPr>
            </w:pPr>
            <w:r>
              <w:rPr>
                <w:color w:val="auto"/>
                <w:sz w:val="24"/>
                <w:szCs w:val="24"/>
                <w:u w:val="none" w:color="auto"/>
              </w:rPr>
              <w:t>本项目主要</w:t>
            </w:r>
            <w:r>
              <w:rPr>
                <w:rFonts w:hint="eastAsia"/>
                <w:color w:val="auto"/>
                <w:sz w:val="24"/>
                <w:szCs w:val="24"/>
                <w:u w:val="none" w:color="auto"/>
                <w:lang w:val="en-US" w:eastAsia="zh-CN"/>
              </w:rPr>
              <w:t>生产风扇、风罩和高铁连接板</w:t>
            </w:r>
            <w:r>
              <w:rPr>
                <w:rFonts w:hint="eastAsia" w:eastAsia="宋体"/>
                <w:color w:val="auto"/>
                <w:sz w:val="24"/>
                <w:szCs w:val="24"/>
                <w:u w:val="none" w:color="auto"/>
                <w:lang w:eastAsia="zh-CN"/>
              </w:rPr>
              <w:t>，</w:t>
            </w:r>
            <w:r>
              <w:rPr>
                <w:color w:val="auto"/>
                <w:sz w:val="24"/>
                <w:szCs w:val="24"/>
                <w:u w:val="none" w:color="auto"/>
              </w:rPr>
              <w:t>根据</w:t>
            </w:r>
            <w:r>
              <w:rPr>
                <w:rFonts w:hint="eastAsia"/>
                <w:color w:val="auto"/>
                <w:sz w:val="24"/>
                <w:szCs w:val="24"/>
                <w:u w:val="none" w:color="auto"/>
                <w:lang w:eastAsia="zh-CN"/>
              </w:rPr>
              <w:t>《产业结构调整指导目录》（2024年本）</w:t>
            </w:r>
            <w:r>
              <w:rPr>
                <w:color w:val="auto"/>
                <w:sz w:val="24"/>
                <w:szCs w:val="24"/>
                <w:u w:val="none" w:color="auto"/>
              </w:rPr>
              <w:t>，本项目</w:t>
            </w:r>
            <w:r>
              <w:rPr>
                <w:rFonts w:hint="eastAsia"/>
                <w:color w:val="auto"/>
                <w:sz w:val="24"/>
                <w:szCs w:val="24"/>
                <w:u w:val="none" w:color="auto"/>
                <w:lang w:eastAsia="zh-CN"/>
              </w:rPr>
              <w:t>不属于淘汰类、限制类项目</w:t>
            </w:r>
            <w:r>
              <w:rPr>
                <w:rFonts w:ascii="Times New Roman" w:hAnsi="Times New Roman" w:cs="Times New Roman"/>
                <w:color w:val="auto"/>
                <w:sz w:val="24"/>
                <w:szCs w:val="24"/>
                <w:u w:val="none" w:color="auto"/>
              </w:rPr>
              <w:t>，</w:t>
            </w:r>
            <w:r>
              <w:rPr>
                <w:rFonts w:hint="eastAsia" w:ascii="Times New Roman" w:hAnsi="Times New Roman" w:cs="Times New Roman"/>
                <w:color w:val="auto"/>
                <w:sz w:val="24"/>
                <w:szCs w:val="24"/>
                <w:u w:val="none" w:color="auto"/>
                <w:lang w:val="en-US" w:eastAsia="zh-CN"/>
              </w:rPr>
              <w:t>属于允许类，</w:t>
            </w:r>
            <w:r>
              <w:rPr>
                <w:rFonts w:ascii="Times New Roman" w:hAnsi="Times New Roman" w:cs="Times New Roman"/>
                <w:color w:val="auto"/>
                <w:sz w:val="24"/>
                <w:szCs w:val="24"/>
                <w:u w:val="none" w:color="auto"/>
              </w:rPr>
              <w:t>因此</w:t>
            </w:r>
            <w:r>
              <w:rPr>
                <w:rFonts w:hint="eastAsia" w:ascii="Times New Roman" w:hAnsi="Times New Roman" w:cs="Times New Roman"/>
                <w:color w:val="auto"/>
                <w:sz w:val="24"/>
                <w:szCs w:val="24"/>
                <w:u w:val="none" w:color="auto"/>
                <w:lang w:eastAsia="zh-CN"/>
              </w:rPr>
              <w:t>本项目</w:t>
            </w:r>
            <w:r>
              <w:rPr>
                <w:rFonts w:ascii="Times New Roman" w:hAnsi="Times New Roman" w:cs="Times New Roman"/>
                <w:color w:val="auto"/>
                <w:sz w:val="24"/>
                <w:szCs w:val="24"/>
                <w:u w:val="none" w:color="auto"/>
              </w:rPr>
              <w:t>符合国家产业政策。</w:t>
            </w:r>
          </w:p>
          <w:p w14:paraId="1939D38C">
            <w:pPr>
              <w:keepNext w:val="0"/>
              <w:keepLines w:val="0"/>
              <w:widowControl/>
              <w:suppressLineNumbers w:val="0"/>
              <w:spacing w:before="0" w:beforeAutospacing="0" w:after="0" w:afterAutospacing="0" w:line="360" w:lineRule="auto"/>
              <w:ind w:left="0" w:right="0" w:firstLine="482" w:firstLineChars="200"/>
              <w:jc w:val="left"/>
              <w:rPr>
                <w:rFonts w:hint="eastAsia" w:ascii="Times New Roman" w:hAnsi="Times New Roman" w:cs="Times New Roman"/>
                <w:b/>
                <w:bCs/>
                <w:color w:val="auto"/>
                <w:sz w:val="24"/>
                <w:u w:val="single" w:color="auto"/>
                <w:lang w:val="en-US" w:eastAsia="zh-CN"/>
              </w:rPr>
            </w:pPr>
            <w:r>
              <w:rPr>
                <w:rFonts w:hint="eastAsia" w:cs="Times New Roman"/>
                <w:b/>
                <w:bCs/>
                <w:color w:val="auto"/>
                <w:sz w:val="24"/>
                <w:u w:val="single" w:color="auto"/>
                <w:lang w:val="en-US" w:eastAsia="zh-CN"/>
              </w:rPr>
              <w:t>2、</w:t>
            </w:r>
            <w:r>
              <w:rPr>
                <w:rFonts w:hint="eastAsia" w:ascii="Times New Roman" w:hAnsi="Times New Roman" w:cs="Times New Roman"/>
                <w:b/>
                <w:bCs/>
                <w:color w:val="auto"/>
                <w:sz w:val="24"/>
                <w:u w:val="single" w:color="auto"/>
                <w:lang w:val="en-US" w:eastAsia="zh-CN"/>
              </w:rPr>
              <w:t>选址合理性分析</w:t>
            </w:r>
          </w:p>
          <w:p w14:paraId="2084595D">
            <w:pPr>
              <w:keepNext w:val="0"/>
              <w:keepLines w:val="0"/>
              <w:widowControl/>
              <w:suppressLineNumbers w:val="0"/>
              <w:spacing w:before="0" w:beforeAutospacing="0" w:after="0" w:afterAutospacing="0" w:line="360" w:lineRule="auto"/>
              <w:ind w:left="0" w:right="0" w:firstLine="480" w:firstLineChars="200"/>
              <w:jc w:val="left"/>
              <w:rPr>
                <w:rFonts w:hint="eastAsia" w:ascii="宋体" w:hAnsi="宋体" w:cs="宋体"/>
                <w:color w:val="auto"/>
                <w:kern w:val="0"/>
                <w:sz w:val="24"/>
                <w:szCs w:val="24"/>
                <w:u w:val="single" w:color="auto"/>
                <w:lang w:val="en-US" w:eastAsia="zh-CN"/>
              </w:rPr>
            </w:pPr>
            <w:r>
              <w:rPr>
                <w:rFonts w:hint="eastAsia" w:ascii="宋体" w:hAnsi="宋体" w:cs="宋体"/>
                <w:color w:val="auto"/>
                <w:kern w:val="0"/>
                <w:sz w:val="24"/>
                <w:szCs w:val="24"/>
                <w:u w:val="single" w:color="auto"/>
                <w:lang w:val="en-US" w:eastAsia="zh-CN"/>
              </w:rPr>
              <w:t>项目选址位于湘潭县易俗河镇飞龙村龙大组，租赁现有工业厂房建设，根据建设单位提供的资料（详见附件4），该地块用地类型为工业用地。依据《长株潭生态绿心高水平保护和高质量发展规划（2024—2035年），</w:t>
            </w:r>
            <w:r>
              <w:rPr>
                <w:rFonts w:hint="eastAsia" w:cs="Times New Roman"/>
                <w:color w:val="auto"/>
                <w:sz w:val="24"/>
                <w:szCs w:val="24"/>
                <w:u w:val="single" w:color="auto"/>
                <w:lang w:val="en-US" w:eastAsia="zh-CN"/>
              </w:rPr>
              <w:t>该项目所在地不属于核心保护区、融合发展区</w:t>
            </w:r>
            <w:r>
              <w:rPr>
                <w:rFonts w:hint="eastAsia" w:ascii="宋体" w:hAnsi="宋体" w:cs="宋体"/>
                <w:color w:val="auto"/>
                <w:kern w:val="0"/>
                <w:sz w:val="24"/>
                <w:szCs w:val="24"/>
                <w:u w:val="single" w:color="auto"/>
                <w:lang w:val="en-US" w:eastAsia="zh-CN"/>
              </w:rPr>
              <w:t>（见附图5）。</w:t>
            </w:r>
          </w:p>
          <w:p w14:paraId="55EED981">
            <w:pPr>
              <w:keepNext w:val="0"/>
              <w:keepLines w:val="0"/>
              <w:widowControl/>
              <w:suppressLineNumbers w:val="0"/>
              <w:spacing w:before="0" w:beforeAutospacing="0" w:after="0" w:afterAutospacing="0" w:line="360" w:lineRule="auto"/>
              <w:ind w:left="0" w:right="0" w:firstLine="480" w:firstLineChars="200"/>
              <w:jc w:val="left"/>
              <w:rPr>
                <w:rFonts w:hint="eastAsia" w:ascii="宋体" w:hAnsi="宋体" w:cs="宋体"/>
                <w:color w:val="auto"/>
                <w:kern w:val="0"/>
                <w:sz w:val="24"/>
                <w:szCs w:val="24"/>
                <w:u w:val="single" w:color="auto"/>
                <w:lang w:val="en-US" w:eastAsia="zh-CN"/>
              </w:rPr>
            </w:pPr>
            <w:r>
              <w:rPr>
                <w:rFonts w:hint="eastAsia" w:ascii="宋体" w:hAnsi="宋体" w:cs="宋体"/>
                <w:color w:val="auto"/>
                <w:kern w:val="0"/>
                <w:sz w:val="24"/>
                <w:szCs w:val="24"/>
                <w:u w:val="single" w:color="auto"/>
                <w:lang w:val="en-US" w:eastAsia="zh-CN"/>
              </w:rPr>
              <w:t>(1)交通、能源条件：项目北侧附近为湘莲大道，交通较为便利，水、电等均有供应，综合条件较好。</w:t>
            </w:r>
          </w:p>
          <w:p w14:paraId="0DA3F4C6">
            <w:pPr>
              <w:keepNext w:val="0"/>
              <w:keepLines w:val="0"/>
              <w:widowControl/>
              <w:suppressLineNumbers w:val="0"/>
              <w:spacing w:before="0" w:beforeAutospacing="0" w:after="0" w:afterAutospacing="0" w:line="360" w:lineRule="auto"/>
              <w:ind w:left="0" w:right="0" w:firstLine="480" w:firstLineChars="200"/>
              <w:jc w:val="left"/>
              <w:rPr>
                <w:rFonts w:hint="eastAsia"/>
                <w:u w:val="single" w:color="auto"/>
                <w:lang w:val="en-US" w:eastAsia="zh-CN"/>
              </w:rPr>
            </w:pPr>
            <w:r>
              <w:rPr>
                <w:rFonts w:hint="eastAsia" w:ascii="宋体" w:hAnsi="宋体" w:cs="宋体"/>
                <w:color w:val="auto"/>
                <w:kern w:val="0"/>
                <w:sz w:val="24"/>
                <w:szCs w:val="24"/>
                <w:u w:val="single" w:color="auto"/>
                <w:lang w:val="en-US" w:eastAsia="zh-CN"/>
              </w:rPr>
              <w:t>(2)根据影响分析内容可知，项目营运过程中产生的废水、废气、固体废物、噪声等，经过厂区设置的各种处理措施处理后，均可达标排放或妥善处置。对周边企业、周边环境影响较小。因此，从环保角度考虑，选址合理。</w:t>
            </w:r>
          </w:p>
          <w:p w14:paraId="06F9B160">
            <w:pPr>
              <w:keepNext w:val="0"/>
              <w:keepLines w:val="0"/>
              <w:widowControl/>
              <w:suppressLineNumbers w:val="0"/>
              <w:spacing w:before="0" w:beforeAutospacing="0" w:after="0" w:afterAutospacing="0" w:line="360" w:lineRule="auto"/>
              <w:ind w:left="0" w:right="0" w:firstLine="482" w:firstLineChars="200"/>
              <w:jc w:val="left"/>
              <w:rPr>
                <w:rFonts w:hint="eastAsia" w:cs="Times New Roman"/>
                <w:b/>
                <w:bCs/>
                <w:color w:val="auto"/>
                <w:kern w:val="0"/>
                <w:sz w:val="24"/>
                <w:u w:val="none" w:color="auto"/>
                <w:lang w:val="en-US" w:eastAsia="zh-CN" w:bidi="ar"/>
              </w:rPr>
            </w:pPr>
            <w:r>
              <w:rPr>
                <w:rFonts w:hint="eastAsia" w:cs="Times New Roman"/>
                <w:b/>
                <w:bCs/>
                <w:color w:val="auto"/>
                <w:kern w:val="0"/>
                <w:sz w:val="24"/>
                <w:u w:val="none" w:color="auto"/>
                <w:lang w:val="en-US" w:eastAsia="zh-CN" w:bidi="ar"/>
              </w:rPr>
              <w:t>3</w:t>
            </w:r>
            <w:r>
              <w:rPr>
                <w:rFonts w:hint="default" w:cs="Times New Roman"/>
                <w:b/>
                <w:bCs/>
                <w:color w:val="auto"/>
                <w:kern w:val="0"/>
                <w:sz w:val="24"/>
                <w:u w:val="none" w:color="auto"/>
                <w:lang w:val="en-US" w:eastAsia="zh-CN" w:bidi="ar"/>
              </w:rPr>
              <w:t>、平面布置可行性分</w:t>
            </w:r>
            <w:r>
              <w:rPr>
                <w:rFonts w:hint="eastAsia" w:cs="Times New Roman"/>
                <w:b/>
                <w:bCs/>
                <w:color w:val="auto"/>
                <w:kern w:val="0"/>
                <w:sz w:val="24"/>
                <w:u w:val="none" w:color="auto"/>
                <w:lang w:val="en-US" w:eastAsia="zh-CN" w:bidi="ar"/>
              </w:rPr>
              <w:t>析</w:t>
            </w:r>
          </w:p>
          <w:p w14:paraId="2EF78B0B">
            <w:pPr>
              <w:keepNext w:val="0"/>
              <w:keepLines w:val="0"/>
              <w:widowControl/>
              <w:suppressLineNumbers w:val="0"/>
              <w:spacing w:before="0" w:beforeAutospacing="0" w:after="0" w:afterAutospacing="0" w:line="360" w:lineRule="auto"/>
              <w:ind w:left="0" w:right="0" w:firstLine="480" w:firstLineChars="200"/>
              <w:jc w:val="left"/>
            </w:pPr>
            <w:r>
              <w:rPr>
                <w:rFonts w:hint="eastAsia" w:ascii="宋体" w:hAnsi="宋体" w:cs="宋体"/>
                <w:color w:val="auto"/>
                <w:kern w:val="0"/>
                <w:sz w:val="24"/>
                <w:szCs w:val="24"/>
                <w:u w:val="none" w:color="auto"/>
                <w:lang w:val="en-US" w:eastAsia="zh-CN"/>
              </w:rPr>
              <w:t>本项目主要出入口位于厂区南侧，自南向北依次布置办公区、生产区域。风扇、风罩机加区和喷漆区位于厂房东侧车间一，高铁连接板件前处理车间位于厂房西侧车间三。厂区中部为车间二，车间二南侧为原料、成品存放区，车间二北侧为高铁连接板喷漆、烤漆密闭生产区，该车间西侧和北侧均为有机废气处理设施区域。各功能分区明确、组织协作良好，方便生产联系和管理，以确保生产、运输和安全，平面布置较为合理。</w:t>
            </w:r>
          </w:p>
          <w:p w14:paraId="73A94CF2">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cs="Times New Roman"/>
                <w:b/>
                <w:bCs/>
                <w:color w:val="auto"/>
                <w:sz w:val="24"/>
                <w:u w:val="single" w:color="auto"/>
                <w:lang w:val="en-US" w:eastAsia="zh-CN"/>
              </w:rPr>
            </w:pPr>
            <w:r>
              <w:rPr>
                <w:rFonts w:hint="eastAsia" w:cs="Times New Roman"/>
                <w:b/>
                <w:bCs/>
                <w:color w:val="auto"/>
                <w:sz w:val="24"/>
                <w:u w:val="single" w:color="auto"/>
                <w:lang w:val="en-US" w:eastAsia="zh-CN"/>
              </w:rPr>
              <w:t>4</w:t>
            </w:r>
            <w:r>
              <w:rPr>
                <w:rFonts w:hint="eastAsia" w:ascii="Times New Roman" w:hAnsi="Times New Roman" w:cs="Times New Roman"/>
                <w:b/>
                <w:bCs/>
                <w:color w:val="auto"/>
                <w:sz w:val="24"/>
                <w:u w:val="single" w:color="auto"/>
                <w:lang w:val="en-US" w:eastAsia="zh-CN"/>
              </w:rPr>
              <w:t>、</w:t>
            </w:r>
            <w:r>
              <w:rPr>
                <w:rFonts w:hint="default" w:ascii="Times New Roman" w:hAnsi="Times New Roman" w:cs="Times New Roman"/>
                <w:b/>
                <w:bCs/>
                <w:color w:val="auto"/>
                <w:sz w:val="24"/>
                <w:u w:val="single" w:color="auto"/>
                <w:lang w:val="en-US" w:eastAsia="zh-CN"/>
              </w:rPr>
              <w:t>本项目与</w:t>
            </w:r>
            <w:r>
              <w:rPr>
                <w:rFonts w:hint="eastAsia" w:cs="Times New Roman"/>
                <w:b/>
                <w:bCs/>
                <w:color w:val="auto"/>
                <w:sz w:val="24"/>
                <w:u w:val="single" w:color="auto"/>
                <w:lang w:val="en-US" w:eastAsia="zh-CN"/>
              </w:rPr>
              <w:t>“</w:t>
            </w:r>
            <w:r>
              <w:rPr>
                <w:rFonts w:hint="default" w:ascii="Times New Roman" w:hAnsi="Times New Roman" w:cs="Times New Roman"/>
                <w:b/>
                <w:bCs/>
                <w:color w:val="auto"/>
                <w:sz w:val="24"/>
                <w:u w:val="single" w:color="auto"/>
                <w:lang w:val="en-US" w:eastAsia="zh-CN"/>
              </w:rPr>
              <w:t>生态环境分区管控</w:t>
            </w:r>
            <w:r>
              <w:rPr>
                <w:rFonts w:hint="eastAsia" w:cs="Times New Roman"/>
                <w:b/>
                <w:bCs/>
                <w:color w:val="auto"/>
                <w:sz w:val="24"/>
                <w:u w:val="single" w:color="auto"/>
                <w:lang w:val="en-US" w:eastAsia="zh-CN"/>
              </w:rPr>
              <w:t>”</w:t>
            </w:r>
            <w:r>
              <w:rPr>
                <w:rFonts w:hint="default" w:ascii="Times New Roman" w:hAnsi="Times New Roman" w:cs="Times New Roman"/>
                <w:b/>
                <w:bCs/>
                <w:color w:val="auto"/>
                <w:sz w:val="24"/>
                <w:u w:val="single" w:color="auto"/>
                <w:lang w:val="en-US" w:eastAsia="zh-CN"/>
              </w:rPr>
              <w:t>文件符合性分析</w:t>
            </w:r>
          </w:p>
          <w:p w14:paraId="563F3087">
            <w:pPr>
              <w:autoSpaceDE w:val="0"/>
              <w:autoSpaceDN w:val="0"/>
              <w:adjustRightInd w:val="0"/>
              <w:snapToGrid w:val="0"/>
              <w:spacing w:line="360" w:lineRule="auto"/>
              <w:ind w:firstLine="480" w:firstLineChars="200"/>
              <w:rPr>
                <w:rFonts w:ascii="Times New Roman" w:hAnsi="Times New Roman" w:eastAsia="宋体" w:cs="Times New Roman"/>
                <w:color w:val="auto"/>
                <w:kern w:val="2"/>
                <w:sz w:val="24"/>
                <w:szCs w:val="24"/>
                <w:u w:val="none" w:color="auto"/>
              </w:rPr>
            </w:pPr>
            <w:r>
              <w:rPr>
                <w:rFonts w:hint="default" w:ascii="Times New Roman" w:hAnsi="Times New Roman" w:eastAsia="宋体" w:cs="Times New Roman"/>
                <w:color w:val="auto"/>
                <w:kern w:val="2"/>
                <w:sz w:val="24"/>
                <w:szCs w:val="24"/>
                <w:u w:val="single" w:color="auto"/>
                <w:lang w:val="en-US" w:eastAsia="zh-CN"/>
              </w:rPr>
              <w:t>本项目位于湘潭</w:t>
            </w:r>
            <w:r>
              <w:rPr>
                <w:rFonts w:hint="default" w:ascii="Times New Roman" w:hAnsi="Times New Roman" w:eastAsia="宋体" w:cs="Times New Roman"/>
                <w:color w:val="auto"/>
                <w:kern w:val="2"/>
                <w:sz w:val="24"/>
                <w:szCs w:val="24"/>
                <w:u w:val="single" w:color="auto"/>
              </w:rPr>
              <w:t>县</w:t>
            </w:r>
            <w:r>
              <w:rPr>
                <w:rFonts w:hint="eastAsia" w:ascii="Times New Roman" w:hAnsi="Times New Roman" w:eastAsia="宋体" w:cs="Times New Roman"/>
                <w:color w:val="auto"/>
                <w:kern w:val="2"/>
                <w:sz w:val="24"/>
                <w:szCs w:val="24"/>
                <w:u w:val="single" w:color="auto"/>
                <w:lang w:val="en-US" w:eastAsia="zh-CN"/>
              </w:rPr>
              <w:t>易俗河镇</w:t>
            </w:r>
            <w:r>
              <w:rPr>
                <w:rFonts w:hint="default" w:ascii="Times New Roman" w:hAnsi="Times New Roman" w:eastAsia="宋体" w:cs="Times New Roman"/>
                <w:color w:val="auto"/>
                <w:kern w:val="2"/>
                <w:sz w:val="24"/>
                <w:szCs w:val="24"/>
                <w:u w:val="single" w:color="auto"/>
                <w:lang w:val="en-US" w:eastAsia="zh-CN"/>
              </w:rPr>
              <w:t>，</w:t>
            </w:r>
            <w:r>
              <w:rPr>
                <w:rFonts w:hint="eastAsia" w:cs="Times New Roman"/>
                <w:color w:val="auto"/>
                <w:kern w:val="2"/>
                <w:sz w:val="24"/>
                <w:szCs w:val="24"/>
                <w:u w:val="single" w:color="auto"/>
                <w:lang w:val="en-US" w:eastAsia="zh-CN"/>
              </w:rPr>
              <w:t>根据</w:t>
            </w:r>
            <w:r>
              <w:rPr>
                <w:rFonts w:hint="default" w:ascii="Times New Roman" w:hAnsi="Times New Roman" w:eastAsia="宋体" w:cs="Times New Roman"/>
                <w:color w:val="auto"/>
                <w:kern w:val="2"/>
                <w:sz w:val="24"/>
                <w:szCs w:val="24"/>
                <w:u w:val="single" w:color="auto"/>
                <w:lang w:val="en-US" w:eastAsia="zh-CN"/>
              </w:rPr>
              <w:t>湘潭</w:t>
            </w:r>
            <w:r>
              <w:rPr>
                <w:rFonts w:ascii="Times New Roman" w:hAnsi="Times New Roman" w:eastAsia="宋体" w:cs="Times New Roman"/>
                <w:color w:val="auto"/>
                <w:kern w:val="2"/>
                <w:sz w:val="24"/>
                <w:szCs w:val="24"/>
                <w:u w:val="single" w:color="auto"/>
              </w:rPr>
              <w:t>市人民政府20</w:t>
            </w:r>
            <w:r>
              <w:rPr>
                <w:rFonts w:hint="eastAsia" w:cs="Times New Roman"/>
                <w:color w:val="auto"/>
                <w:kern w:val="2"/>
                <w:sz w:val="24"/>
                <w:szCs w:val="24"/>
                <w:u w:val="single" w:color="auto"/>
                <w:lang w:val="en-US" w:eastAsia="zh-CN"/>
              </w:rPr>
              <w:t>24</w:t>
            </w:r>
            <w:r>
              <w:rPr>
                <w:rFonts w:ascii="Times New Roman" w:hAnsi="Times New Roman" w:eastAsia="宋体" w:cs="Times New Roman"/>
                <w:color w:val="auto"/>
                <w:kern w:val="2"/>
                <w:sz w:val="24"/>
                <w:szCs w:val="24"/>
                <w:u w:val="single" w:color="auto"/>
              </w:rPr>
              <w:t>年12月</w:t>
            </w:r>
            <w:r>
              <w:rPr>
                <w:rFonts w:hint="eastAsia" w:cs="Times New Roman"/>
                <w:color w:val="auto"/>
                <w:kern w:val="2"/>
                <w:sz w:val="24"/>
                <w:szCs w:val="24"/>
                <w:u w:val="single" w:color="auto"/>
                <w:lang w:val="en-US" w:eastAsia="zh-CN"/>
              </w:rPr>
              <w:t>6</w:t>
            </w:r>
            <w:r>
              <w:rPr>
                <w:rFonts w:ascii="Times New Roman" w:hAnsi="Times New Roman" w:eastAsia="宋体" w:cs="Times New Roman"/>
                <w:color w:val="auto"/>
                <w:kern w:val="2"/>
                <w:sz w:val="24"/>
                <w:szCs w:val="24"/>
                <w:u w:val="single" w:color="auto"/>
              </w:rPr>
              <w:t>日发布的</w:t>
            </w:r>
            <w:r>
              <w:rPr>
                <w:rFonts w:hint="eastAsia" w:cs="Times New Roman"/>
                <w:color w:val="auto"/>
                <w:kern w:val="2"/>
                <w:sz w:val="24"/>
                <w:szCs w:val="24"/>
                <w:u w:val="single" w:color="auto"/>
                <w:lang w:eastAsia="zh-CN"/>
              </w:rPr>
              <w:t>《湘潭市生态环境局关于发布湘潭市生态环境分区管控动态更新成果(2023版)的通知》（潭环发〔2024]38号）</w:t>
            </w:r>
            <w:r>
              <w:rPr>
                <w:rFonts w:ascii="Times New Roman" w:hAnsi="Times New Roman" w:eastAsia="宋体" w:cs="Times New Roman"/>
                <w:color w:val="auto"/>
                <w:kern w:val="2"/>
                <w:sz w:val="24"/>
                <w:szCs w:val="24"/>
                <w:u w:val="single" w:color="auto"/>
              </w:rPr>
              <w:t>，</w:t>
            </w:r>
            <w:r>
              <w:rPr>
                <w:rFonts w:hint="eastAsia" w:ascii="Times New Roman" w:hAnsi="Times New Roman" w:eastAsia="宋体" w:cs="Times New Roman"/>
                <w:color w:val="auto"/>
                <w:kern w:val="2"/>
                <w:sz w:val="24"/>
                <w:szCs w:val="24"/>
                <w:u w:val="single" w:color="auto"/>
                <w:lang w:val="en-US" w:eastAsia="zh-CN"/>
              </w:rPr>
              <w:t>易俗河镇</w:t>
            </w:r>
            <w:r>
              <w:rPr>
                <w:rFonts w:ascii="Times New Roman" w:hAnsi="Times New Roman" w:eastAsia="宋体" w:cs="Times New Roman"/>
                <w:color w:val="auto"/>
                <w:kern w:val="2"/>
                <w:sz w:val="24"/>
                <w:szCs w:val="24"/>
                <w:u w:val="single" w:color="auto"/>
              </w:rPr>
              <w:t>属于</w:t>
            </w:r>
            <w:r>
              <w:rPr>
                <w:rFonts w:hint="eastAsia" w:cs="Times New Roman"/>
                <w:color w:val="auto"/>
                <w:kern w:val="2"/>
                <w:sz w:val="24"/>
                <w:szCs w:val="24"/>
                <w:u w:val="single" w:color="auto"/>
                <w:lang w:eastAsia="zh-CN"/>
              </w:rPr>
              <w:t>重点管控单元</w:t>
            </w:r>
            <w:r>
              <w:rPr>
                <w:rFonts w:ascii="Times New Roman" w:hAnsi="Times New Roman" w:eastAsia="宋体" w:cs="Times New Roman"/>
                <w:color w:val="auto"/>
                <w:kern w:val="2"/>
                <w:sz w:val="24"/>
                <w:szCs w:val="24"/>
                <w:u w:val="single" w:color="auto"/>
              </w:rPr>
              <w:t>，根据清单中的相关要求，进行项目相符性分析。</w:t>
            </w:r>
          </w:p>
          <w:p w14:paraId="174F1827">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sz w:val="24"/>
                <w:u w:val="none" w:color="auto"/>
                <w:lang w:val="en-US" w:eastAsia="zh-CN"/>
              </w:rPr>
            </w:pPr>
            <w:r>
              <w:rPr>
                <w:rFonts w:hint="eastAsia" w:cs="Times New Roman"/>
                <w:color w:val="auto"/>
                <w:sz w:val="24"/>
                <w:u w:val="none" w:color="auto"/>
                <w:lang w:val="en-US" w:eastAsia="zh-CN"/>
              </w:rPr>
              <w:t>（1）</w:t>
            </w:r>
            <w:r>
              <w:rPr>
                <w:rFonts w:hint="default" w:ascii="Times New Roman" w:hAnsi="Times New Roman" w:cs="Times New Roman"/>
                <w:color w:val="auto"/>
                <w:sz w:val="24"/>
                <w:u w:val="none" w:color="auto"/>
                <w:lang w:val="en-US" w:eastAsia="zh-CN"/>
              </w:rPr>
              <w:t>环境质量底线</w:t>
            </w:r>
          </w:p>
          <w:p w14:paraId="2A3401E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szCs w:val="24"/>
                <w:u w:val="none" w:color="auto"/>
              </w:rPr>
            </w:pPr>
            <w:r>
              <w:rPr>
                <w:rFonts w:hint="default" w:ascii="Times New Roman" w:hAnsi="Times New Roman" w:cs="Times New Roman"/>
                <w:color w:val="auto"/>
                <w:sz w:val="24"/>
                <w:szCs w:val="24"/>
                <w:u w:val="none" w:color="auto"/>
              </w:rPr>
              <w:t>项目所在区域的环境质量底线为</w:t>
            </w:r>
            <w:r>
              <w:rPr>
                <w:rFonts w:hint="eastAsia" w:cs="Times New Roman"/>
                <w:color w:val="auto"/>
                <w:sz w:val="24"/>
                <w:szCs w:val="24"/>
                <w:u w:val="none" w:color="auto"/>
                <w:lang w:eastAsia="zh-CN"/>
              </w:rPr>
              <w:t>：</w:t>
            </w:r>
            <w:r>
              <w:rPr>
                <w:rFonts w:hint="default" w:ascii="Times New Roman" w:hAnsi="Times New Roman" w:cs="Times New Roman"/>
                <w:color w:val="auto"/>
                <w:sz w:val="24"/>
                <w:szCs w:val="24"/>
                <w:u w:val="none" w:color="auto"/>
              </w:rPr>
              <w:t>环境空气质量达到《环境空气质量标准》（GB3095—2012）二级标准；声环境质量达到《声环境质量标准》（GB3096—2008）</w:t>
            </w:r>
            <w:r>
              <w:rPr>
                <w:rFonts w:hint="eastAsia" w:ascii="Times New Roman" w:hAnsi="Times New Roman" w:cs="Times New Roman"/>
                <w:color w:val="auto"/>
                <w:sz w:val="24"/>
                <w:szCs w:val="24"/>
                <w:u w:val="none" w:color="auto"/>
                <w:lang w:val="en-US" w:eastAsia="zh-CN"/>
              </w:rPr>
              <w:t>2</w:t>
            </w:r>
            <w:r>
              <w:rPr>
                <w:rFonts w:hint="default" w:ascii="Times New Roman" w:hAnsi="Times New Roman" w:cs="Times New Roman"/>
                <w:color w:val="auto"/>
                <w:sz w:val="24"/>
                <w:szCs w:val="24"/>
                <w:u w:val="none" w:color="auto"/>
                <w:lang w:val="en-US" w:eastAsia="zh-CN"/>
              </w:rPr>
              <w:t>类</w:t>
            </w:r>
            <w:r>
              <w:rPr>
                <w:rFonts w:hint="default" w:ascii="Times New Roman" w:hAnsi="Times New Roman" w:cs="Times New Roman"/>
                <w:color w:val="auto"/>
                <w:sz w:val="24"/>
                <w:szCs w:val="24"/>
                <w:u w:val="none" w:color="auto"/>
              </w:rPr>
              <w:t>标准。</w:t>
            </w:r>
          </w:p>
          <w:p w14:paraId="71D0E998">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sz w:val="24"/>
                <w:u w:val="none" w:color="auto"/>
                <w:lang w:val="en-US" w:eastAsia="zh-CN"/>
              </w:rPr>
            </w:pPr>
            <w:r>
              <w:rPr>
                <w:rFonts w:hint="default" w:ascii="Times New Roman" w:hAnsi="Times New Roman" w:cs="Times New Roman"/>
                <w:color w:val="auto"/>
                <w:sz w:val="24"/>
                <w:u w:val="none" w:color="auto"/>
                <w:lang w:val="en-US" w:eastAsia="zh-CN"/>
              </w:rPr>
              <w:t>本项目大气污染物主要为</w:t>
            </w:r>
            <w:r>
              <w:rPr>
                <w:rFonts w:hint="eastAsia" w:ascii="Times New Roman" w:hAnsi="Times New Roman" w:cs="Times New Roman"/>
                <w:color w:val="auto"/>
                <w:sz w:val="24"/>
                <w:u w:val="none" w:color="auto"/>
                <w:lang w:val="en-US" w:eastAsia="zh-CN"/>
              </w:rPr>
              <w:t>颗粒物、甲苯、二甲苯、挥发性有机物、二氧化硫、氮氧化物</w:t>
            </w:r>
            <w:r>
              <w:rPr>
                <w:rFonts w:hint="default" w:ascii="Times New Roman" w:hAnsi="Times New Roman" w:cs="Times New Roman"/>
                <w:color w:val="auto"/>
                <w:sz w:val="24"/>
                <w:u w:val="none" w:color="auto"/>
                <w:lang w:val="en-US" w:eastAsia="zh-CN"/>
              </w:rPr>
              <w:t>，在采取相应治理措施后能够做到达标排放；</w:t>
            </w:r>
            <w:r>
              <w:rPr>
                <w:rFonts w:hint="eastAsia" w:cs="Times New Roman"/>
                <w:color w:val="auto"/>
                <w:sz w:val="24"/>
                <w:u w:val="none" w:color="auto"/>
                <w:lang w:val="en-US" w:eastAsia="zh-CN"/>
              </w:rPr>
              <w:t>项目水帘废水作为危险废物处置，委托有资质单位外运处置，不外排，生活污水经化粪池处理后用于周边林地浇灌，不外排</w:t>
            </w:r>
            <w:r>
              <w:rPr>
                <w:rFonts w:hint="default" w:ascii="Times New Roman" w:hAnsi="Times New Roman" w:cs="Times New Roman"/>
                <w:color w:val="auto"/>
                <w:sz w:val="24"/>
                <w:u w:val="none" w:color="auto"/>
                <w:lang w:val="en-US" w:eastAsia="zh-CN"/>
              </w:rPr>
              <w:t>；本项目产生的固体废物全部妥善处理，不排入外环境；厂界噪声能够满足工业企业噪声排放标准；本项目各种污染物均得到合理有效处理，项目运营后，不改变区域环境功能。</w:t>
            </w:r>
          </w:p>
          <w:p w14:paraId="663D4980">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u w:val="none" w:color="auto"/>
              </w:rPr>
            </w:pPr>
            <w:r>
              <w:rPr>
                <w:rFonts w:hint="eastAsia" w:ascii="Times New Roman" w:hAnsi="Times New Roman" w:cs="Times New Roman"/>
                <w:color w:val="auto"/>
                <w:sz w:val="24"/>
                <w:u w:val="none" w:color="auto"/>
                <w:lang w:val="en-US" w:eastAsia="zh-CN"/>
              </w:rPr>
              <w:t>（2）</w:t>
            </w:r>
            <w:r>
              <w:rPr>
                <w:rFonts w:hint="default" w:ascii="Times New Roman" w:hAnsi="Times New Roman" w:eastAsia="宋体" w:cs="Times New Roman"/>
                <w:color w:val="auto"/>
                <w:sz w:val="24"/>
                <w:u w:val="none" w:color="auto"/>
              </w:rPr>
              <w:t>生态保护红线相符性</w:t>
            </w:r>
          </w:p>
          <w:p w14:paraId="57AB1560">
            <w:pPr>
              <w:keepNext w:val="0"/>
              <w:keepLines w:val="0"/>
              <w:widowControl/>
              <w:suppressLineNumbers w:val="0"/>
              <w:spacing w:before="0" w:beforeAutospacing="0" w:after="0" w:afterAutospacing="0" w:line="360" w:lineRule="auto"/>
              <w:ind w:left="0" w:right="0" w:firstLine="480" w:firstLineChars="200"/>
              <w:jc w:val="left"/>
              <w:rPr>
                <w:rFonts w:hint="default" w:cs="Times New Roman"/>
                <w:color w:val="auto"/>
                <w:sz w:val="24"/>
                <w:u w:val="none" w:color="auto"/>
                <w:lang w:val="en-US" w:eastAsia="zh-CN"/>
              </w:rPr>
            </w:pPr>
            <w:r>
              <w:rPr>
                <w:rFonts w:hint="default" w:cs="Times New Roman"/>
                <w:color w:val="auto"/>
                <w:sz w:val="24"/>
                <w:u w:val="none" w:color="auto"/>
                <w:lang w:val="en-US" w:eastAsia="zh-CN"/>
              </w:rPr>
              <w:t>根据环保部2016年10月提出的《关于以改善环境质量为核心加强环境影响评价管理的通知》（环环评[2016]150号）</w:t>
            </w:r>
            <w:r>
              <w:rPr>
                <w:rFonts w:hint="eastAsia" w:cs="Times New Roman"/>
                <w:color w:val="auto"/>
                <w:sz w:val="24"/>
                <w:u w:val="none" w:color="auto"/>
                <w:lang w:val="en-US" w:eastAsia="zh-CN"/>
              </w:rPr>
              <w:t>：“</w:t>
            </w:r>
            <w:r>
              <w:rPr>
                <w:rFonts w:hint="default" w:cs="Times New Roman"/>
                <w:color w:val="auto"/>
                <w:sz w:val="24"/>
                <w:u w:val="none" w:color="auto"/>
                <w:lang w:val="en-US" w:eastAsia="zh-CN"/>
              </w:rPr>
              <w:t>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w:t>
            </w:r>
            <w:r>
              <w:rPr>
                <w:rFonts w:hint="eastAsia" w:cs="Times New Roman"/>
                <w:color w:val="auto"/>
                <w:sz w:val="24"/>
                <w:u w:val="none" w:color="auto"/>
                <w:lang w:val="en-US" w:eastAsia="zh-CN"/>
              </w:rPr>
              <w:t>限制</w:t>
            </w:r>
            <w:r>
              <w:rPr>
                <w:rFonts w:hint="default" w:cs="Times New Roman"/>
                <w:color w:val="auto"/>
                <w:sz w:val="24"/>
                <w:u w:val="none" w:color="auto"/>
                <w:lang w:val="en-US" w:eastAsia="zh-CN"/>
              </w:rPr>
              <w:t>、确实无法避让的铁路、公路、航道、防洪、管道、干渠、通讯、输变电等重要基础设施项目外，在生态保护红线范围内，严控各类开发建设活动，依法不予审批新建工业项目和矿产开发项目的环评文件。</w:t>
            </w:r>
            <w:r>
              <w:rPr>
                <w:rFonts w:hint="eastAsia" w:cs="Times New Roman"/>
                <w:color w:val="auto"/>
                <w:sz w:val="24"/>
                <w:u w:val="none" w:color="auto"/>
                <w:lang w:val="en-US" w:eastAsia="zh-CN"/>
              </w:rPr>
              <w:t>”</w:t>
            </w:r>
            <w:r>
              <w:rPr>
                <w:rFonts w:hint="default" w:cs="Times New Roman"/>
                <w:color w:val="auto"/>
                <w:sz w:val="24"/>
                <w:u w:val="none" w:color="auto"/>
                <w:lang w:val="en-US" w:eastAsia="zh-CN"/>
              </w:rPr>
              <w:t>根据《关于在国土空间规划中统筹划定落实三条控制线的指导意见》</w:t>
            </w:r>
            <w:r>
              <w:rPr>
                <w:rFonts w:hint="eastAsia" w:cs="Times New Roman"/>
                <w:color w:val="auto"/>
                <w:sz w:val="24"/>
                <w:u w:val="none" w:color="auto"/>
                <w:lang w:val="en-US" w:eastAsia="zh-CN"/>
              </w:rPr>
              <w:t>：“</w:t>
            </w:r>
            <w:r>
              <w:rPr>
                <w:rFonts w:hint="default" w:cs="Times New Roman"/>
                <w:color w:val="auto"/>
                <w:sz w:val="24"/>
                <w:u w:val="none" w:color="auto"/>
                <w:lang w:val="en-US" w:eastAsia="zh-CN"/>
              </w:rPr>
              <w:t>生态保护红线内，严格禁止开发性、生产性建设活动，在符合现行法律法规前提下，除国家重大战略项目外，仅允许对生态功能不造成破坏的有限人为</w:t>
            </w:r>
            <w:r>
              <w:rPr>
                <w:rFonts w:hint="eastAsia" w:cs="Times New Roman"/>
                <w:color w:val="auto"/>
                <w:sz w:val="24"/>
                <w:u w:val="none" w:color="auto"/>
                <w:lang w:val="en-US" w:eastAsia="zh-CN"/>
              </w:rPr>
              <w:t>活动</w:t>
            </w:r>
            <w:r>
              <w:rPr>
                <w:rFonts w:hint="default" w:cs="Times New Roman"/>
                <w:color w:val="auto"/>
                <w:sz w:val="24"/>
                <w:u w:val="none" w:color="auto"/>
                <w:lang w:val="en-US" w:eastAsia="zh-CN"/>
              </w:rPr>
              <w:t>。</w:t>
            </w:r>
            <w:r>
              <w:rPr>
                <w:rFonts w:hint="eastAsia" w:cs="Times New Roman"/>
                <w:color w:val="auto"/>
                <w:sz w:val="24"/>
                <w:u w:val="none" w:color="auto"/>
                <w:lang w:val="en-US" w:eastAsia="zh-CN"/>
              </w:rPr>
              <w:t>”</w:t>
            </w:r>
            <w:r>
              <w:rPr>
                <w:rFonts w:hint="default" w:cs="Times New Roman"/>
                <w:color w:val="auto"/>
                <w:sz w:val="24"/>
                <w:u w:val="none" w:color="auto"/>
                <w:lang w:val="en-US" w:eastAsia="zh-CN"/>
              </w:rPr>
              <w:t>根据《湖南省生态保护红线》中</w:t>
            </w:r>
            <w:r>
              <w:rPr>
                <w:rFonts w:hint="eastAsia" w:cs="Times New Roman"/>
                <w:color w:val="auto"/>
                <w:sz w:val="24"/>
                <w:u w:val="none" w:color="auto"/>
                <w:lang w:val="en-US" w:eastAsia="zh-CN"/>
              </w:rPr>
              <w:t>“</w:t>
            </w:r>
            <w:r>
              <w:rPr>
                <w:rFonts w:hint="default" w:cs="Times New Roman"/>
                <w:color w:val="auto"/>
                <w:sz w:val="24"/>
                <w:u w:val="none" w:color="auto"/>
                <w:lang w:val="en-US" w:eastAsia="zh-CN"/>
              </w:rPr>
              <w:t>长株潭城市群区域水土保持生态保护红线</w:t>
            </w:r>
            <w:r>
              <w:rPr>
                <w:rFonts w:hint="eastAsia" w:cs="Times New Roman"/>
                <w:color w:val="auto"/>
                <w:sz w:val="24"/>
                <w:u w:val="none" w:color="auto"/>
                <w:lang w:val="en-US" w:eastAsia="zh-CN"/>
              </w:rPr>
              <w:t>”</w:t>
            </w:r>
            <w:r>
              <w:rPr>
                <w:rFonts w:hint="default" w:cs="Times New Roman"/>
                <w:color w:val="auto"/>
                <w:sz w:val="24"/>
                <w:u w:val="none" w:color="auto"/>
                <w:lang w:val="en-US" w:eastAsia="zh-CN"/>
              </w:rPr>
              <w:t>内容</w:t>
            </w:r>
            <w:r>
              <w:rPr>
                <w:rFonts w:hint="eastAsia" w:cs="Times New Roman"/>
                <w:color w:val="auto"/>
                <w:sz w:val="24"/>
                <w:u w:val="none" w:color="auto"/>
                <w:lang w:val="en-US" w:eastAsia="zh-CN"/>
              </w:rPr>
              <w:t>：</w:t>
            </w:r>
            <w:r>
              <w:rPr>
                <w:rFonts w:hint="default" w:cs="Times New Roman"/>
                <w:color w:val="auto"/>
                <w:sz w:val="24"/>
                <w:u w:val="none" w:color="auto"/>
                <w:lang w:val="en-US" w:eastAsia="zh-CN"/>
              </w:rPr>
              <w:t>分布范围</w:t>
            </w:r>
            <w:r>
              <w:rPr>
                <w:rFonts w:hint="eastAsia" w:cs="Times New Roman"/>
                <w:color w:val="auto"/>
                <w:sz w:val="24"/>
                <w:u w:val="none" w:color="auto"/>
                <w:lang w:val="en-US" w:eastAsia="zh-CN"/>
              </w:rPr>
              <w:t>：</w:t>
            </w:r>
            <w:r>
              <w:rPr>
                <w:rFonts w:hint="default" w:cs="Times New Roman"/>
                <w:color w:val="auto"/>
                <w:sz w:val="24"/>
                <w:u w:val="none" w:color="auto"/>
                <w:lang w:val="en-US" w:eastAsia="zh-CN"/>
              </w:rPr>
              <w:t>红线区位于湖南省中部偏东区域，涉及长株潭城市群核心区域和岳阳市汨罗、平江、湘阴等县市的部分区域。生态系统特征</w:t>
            </w:r>
            <w:r>
              <w:rPr>
                <w:rFonts w:hint="eastAsia" w:cs="Times New Roman"/>
                <w:color w:val="auto"/>
                <w:sz w:val="24"/>
                <w:u w:val="none" w:color="auto"/>
                <w:lang w:val="en-US" w:eastAsia="zh-CN"/>
              </w:rPr>
              <w:t>：</w:t>
            </w:r>
            <w:r>
              <w:rPr>
                <w:rFonts w:hint="default" w:cs="Times New Roman"/>
                <w:color w:val="auto"/>
                <w:sz w:val="24"/>
                <w:u w:val="none" w:color="auto"/>
                <w:lang w:val="en-US" w:eastAsia="zh-CN"/>
              </w:rPr>
              <w:t>红线区地貌类型多样，以平原岗地为主，兼有丘陵。湘江、浏阳河、捞刀河、涟水、涓水、渌水、沩水、韶河等众多河流镶嵌其中，主导生态功能是水土保持；其中湘江是长沙市、株洲市、湘潭市3市主城区的重要水源地。重要保护地</w:t>
            </w:r>
            <w:r>
              <w:rPr>
                <w:rFonts w:hint="eastAsia" w:cs="Times New Roman"/>
                <w:color w:val="auto"/>
                <w:sz w:val="24"/>
                <w:u w:val="none" w:color="auto"/>
                <w:lang w:val="en-US" w:eastAsia="zh-CN"/>
              </w:rPr>
              <w:t>：</w:t>
            </w:r>
            <w:r>
              <w:rPr>
                <w:rFonts w:hint="default" w:cs="Times New Roman"/>
                <w:color w:val="auto"/>
                <w:sz w:val="24"/>
                <w:u w:val="none" w:color="auto"/>
                <w:lang w:val="en-US" w:eastAsia="zh-CN"/>
              </w:rPr>
              <w:t>红线区有水府庙国家湿地公园、黑麋峰国家森林公园等。项目占地不涉及《湖南省生态保护红线》中的重点生态功能区生态保护红线、生态敏感区生态保护红线、国家级和省级禁止开发区生态保护红线、其他各类保护地生态保护红线。本项目位于</w:t>
            </w:r>
            <w:r>
              <w:rPr>
                <w:rFonts w:hint="eastAsia" w:cs="Times New Roman"/>
                <w:color w:val="auto"/>
                <w:sz w:val="24"/>
                <w:u w:val="none" w:color="auto"/>
                <w:lang w:val="en-US" w:eastAsia="zh-CN"/>
              </w:rPr>
              <w:t>湖南省湘潭市湘潭县易俗河镇</w:t>
            </w:r>
            <w:r>
              <w:rPr>
                <w:rFonts w:hint="default" w:cs="Times New Roman"/>
                <w:color w:val="auto"/>
                <w:sz w:val="24"/>
                <w:u w:val="none" w:color="auto"/>
                <w:lang w:val="en-US" w:eastAsia="zh-CN"/>
              </w:rPr>
              <w:t>，租用现有厂房进行建设，不占用农用地及林地，不涉及风景名胜区、自然保护区、饮用水源保护区和文物古迹等环境敏感目标</w:t>
            </w:r>
            <w:r>
              <w:rPr>
                <w:rFonts w:hint="eastAsia" w:cs="Times New Roman"/>
                <w:color w:val="auto"/>
                <w:sz w:val="24"/>
                <w:u w:val="none" w:color="auto"/>
                <w:lang w:val="en-US" w:eastAsia="zh-CN"/>
              </w:rPr>
              <w:t>，不</w:t>
            </w:r>
            <w:r>
              <w:rPr>
                <w:rFonts w:hint="default" w:cs="Times New Roman"/>
                <w:color w:val="auto"/>
                <w:sz w:val="24"/>
                <w:u w:val="none" w:color="auto"/>
                <w:lang w:val="en-US" w:eastAsia="zh-CN"/>
              </w:rPr>
              <w:t>属于生态红线范围内。</w:t>
            </w:r>
          </w:p>
          <w:p w14:paraId="7CB6E2DD">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sz w:val="24"/>
                <w:u w:val="none" w:color="auto"/>
                <w:lang w:val="en-US" w:eastAsia="zh-CN"/>
              </w:rPr>
            </w:pPr>
            <w:r>
              <w:rPr>
                <w:rFonts w:hint="eastAsia" w:ascii="Times New Roman" w:hAnsi="Times New Roman" w:cs="Times New Roman"/>
                <w:color w:val="auto"/>
                <w:sz w:val="24"/>
                <w:u w:val="none" w:color="auto"/>
                <w:lang w:val="en-US" w:eastAsia="zh-CN"/>
              </w:rPr>
              <w:t>（3）</w:t>
            </w:r>
            <w:r>
              <w:rPr>
                <w:rFonts w:hint="default" w:ascii="Times New Roman" w:hAnsi="Times New Roman" w:cs="Times New Roman"/>
                <w:color w:val="auto"/>
                <w:sz w:val="24"/>
                <w:u w:val="none" w:color="auto"/>
                <w:lang w:val="en-US" w:eastAsia="zh-CN"/>
              </w:rPr>
              <w:t>资源利用上线</w:t>
            </w:r>
          </w:p>
          <w:p w14:paraId="71818463">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sz w:val="24"/>
                <w:u w:val="none" w:color="auto"/>
                <w:lang w:val="en-US" w:eastAsia="zh-CN"/>
              </w:rPr>
            </w:pPr>
            <w:r>
              <w:rPr>
                <w:rFonts w:hint="default" w:ascii="Times New Roman" w:hAnsi="Times New Roman" w:cs="Times New Roman"/>
                <w:color w:val="auto"/>
                <w:sz w:val="24"/>
                <w:u w:val="none" w:color="auto"/>
                <w:lang w:val="en-US" w:eastAsia="zh-CN"/>
              </w:rPr>
              <w:t>项目能源主要为国家区域电网、供电，用水依托乡镇自来水管网。项目主要从事</w:t>
            </w:r>
            <w:r>
              <w:rPr>
                <w:color w:val="auto"/>
                <w:sz w:val="24"/>
                <w:szCs w:val="24"/>
                <w:u w:val="none" w:color="auto"/>
              </w:rPr>
              <w:t>主要</w:t>
            </w:r>
            <w:r>
              <w:rPr>
                <w:rFonts w:hint="eastAsia"/>
                <w:color w:val="auto"/>
                <w:sz w:val="24"/>
                <w:szCs w:val="24"/>
                <w:u w:val="none" w:color="auto"/>
                <w:lang w:val="en-US" w:eastAsia="zh-CN"/>
              </w:rPr>
              <w:t>生产风扇、风罩和高铁连接板</w:t>
            </w:r>
            <w:r>
              <w:rPr>
                <w:rFonts w:hint="default" w:ascii="Times New Roman" w:hAnsi="Times New Roman" w:cs="Times New Roman"/>
                <w:color w:val="auto"/>
                <w:sz w:val="24"/>
                <w:u w:val="none" w:color="auto"/>
                <w:lang w:val="en-US" w:eastAsia="zh-CN"/>
              </w:rPr>
              <w:t>，所选工艺、设备符合相关标准技术要求，提高资源回收利用率，因此，项目建设不会破坏当地自然资源上线。</w:t>
            </w:r>
          </w:p>
          <w:p w14:paraId="3C5A58FF">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sz w:val="24"/>
                <w:u w:val="single" w:color="auto"/>
                <w:lang w:val="en-US" w:eastAsia="zh-CN"/>
              </w:rPr>
            </w:pPr>
            <w:r>
              <w:rPr>
                <w:rFonts w:hint="eastAsia" w:ascii="Times New Roman" w:hAnsi="Times New Roman" w:cs="Times New Roman"/>
                <w:color w:val="auto"/>
                <w:sz w:val="24"/>
                <w:u w:val="single" w:color="auto"/>
                <w:lang w:val="en-US" w:eastAsia="zh-CN"/>
              </w:rPr>
              <w:t>（4）</w:t>
            </w:r>
            <w:r>
              <w:rPr>
                <w:rFonts w:hint="default" w:ascii="Times New Roman" w:hAnsi="Times New Roman" w:eastAsia="宋体" w:cs="Times New Roman"/>
                <w:color w:val="auto"/>
                <w:sz w:val="24"/>
                <w:u w:val="single" w:color="auto"/>
              </w:rPr>
              <w:t>生态环境准入清单</w:t>
            </w:r>
          </w:p>
          <w:p w14:paraId="62F91FE8">
            <w:pPr>
              <w:adjustRightInd w:val="0"/>
              <w:snapToGrid w:val="0"/>
              <w:spacing w:line="360" w:lineRule="auto"/>
              <w:ind w:firstLine="480" w:firstLineChars="200"/>
              <w:rPr>
                <w:rStyle w:val="65"/>
                <w:rFonts w:hint="default" w:ascii="Times New Roman" w:hAnsi="Times New Roman" w:eastAsia="宋体" w:cs="Times New Roman"/>
                <w:color w:val="auto"/>
                <w:u w:val="single" w:color="auto"/>
                <w:lang w:val="en-US" w:eastAsia="zh-CN" w:bidi="ar-SA"/>
              </w:rPr>
            </w:pPr>
            <w:r>
              <w:rPr>
                <w:rStyle w:val="65"/>
                <w:rFonts w:hint="default" w:ascii="Times New Roman" w:hAnsi="Times New Roman" w:eastAsia="宋体" w:cs="Times New Roman"/>
                <w:color w:val="auto"/>
                <w:u w:val="single" w:color="auto"/>
                <w:lang w:val="en-US" w:eastAsia="zh-CN" w:bidi="ar-SA"/>
              </w:rPr>
              <w:t>根据</w:t>
            </w:r>
            <w:r>
              <w:rPr>
                <w:rStyle w:val="65"/>
                <w:rFonts w:hint="eastAsia" w:cs="Times New Roman"/>
                <w:color w:val="auto"/>
                <w:u w:val="single" w:color="auto"/>
                <w:lang w:val="en-US" w:eastAsia="zh-CN" w:bidi="ar-SA"/>
              </w:rPr>
              <w:t>《湘潭市生态环境局关于发布湘潭市生态环境分区管控动态更新成果(2023版)的通知》（潭环发〔2024]38号）</w:t>
            </w:r>
            <w:r>
              <w:rPr>
                <w:rStyle w:val="65"/>
                <w:rFonts w:hint="default" w:ascii="Times New Roman" w:hAnsi="Times New Roman" w:eastAsia="宋体" w:cs="Times New Roman"/>
                <w:color w:val="auto"/>
                <w:u w:val="single" w:color="auto"/>
                <w:lang w:val="en-US" w:eastAsia="zh-CN" w:bidi="ar-SA"/>
              </w:rPr>
              <w:t>中</w:t>
            </w:r>
            <w:r>
              <w:rPr>
                <w:rStyle w:val="65"/>
                <w:rFonts w:hint="eastAsia" w:cs="Times New Roman"/>
                <w:color w:val="auto"/>
                <w:u w:val="single" w:color="auto"/>
                <w:lang w:val="en-US" w:eastAsia="zh-CN" w:bidi="ar-SA"/>
              </w:rPr>
              <w:t>“</w:t>
            </w:r>
            <w:r>
              <w:rPr>
                <w:rStyle w:val="65"/>
                <w:rFonts w:hint="default" w:ascii="Times New Roman" w:hAnsi="Times New Roman" w:eastAsia="宋体" w:cs="Times New Roman"/>
                <w:color w:val="auto"/>
                <w:u w:val="single" w:color="auto"/>
                <w:lang w:val="en-US" w:eastAsia="zh-CN" w:bidi="ar-SA"/>
              </w:rPr>
              <w:t>附件3湘潭市生态环境管控基本要求</w:t>
            </w:r>
            <w:r>
              <w:rPr>
                <w:rStyle w:val="65"/>
                <w:rFonts w:hint="eastAsia" w:cs="Times New Roman"/>
                <w:color w:val="auto"/>
                <w:u w:val="single" w:color="auto"/>
                <w:lang w:val="en-US" w:eastAsia="zh-CN" w:bidi="ar-SA"/>
              </w:rPr>
              <w:t>”</w:t>
            </w:r>
            <w:r>
              <w:rPr>
                <w:rStyle w:val="65"/>
                <w:rFonts w:hint="default" w:ascii="Times New Roman" w:hAnsi="Times New Roman" w:eastAsia="宋体" w:cs="Times New Roman"/>
                <w:color w:val="auto"/>
                <w:u w:val="single" w:color="auto"/>
                <w:lang w:val="en-US" w:eastAsia="zh-CN" w:bidi="ar-SA"/>
              </w:rPr>
              <w:t>，本项目位于</w:t>
            </w:r>
            <w:r>
              <w:rPr>
                <w:rStyle w:val="65"/>
                <w:rFonts w:hint="eastAsia" w:ascii="Times New Roman" w:hAnsi="Times New Roman" w:eastAsia="宋体" w:cs="Times New Roman"/>
                <w:color w:val="auto"/>
                <w:u w:val="single" w:color="auto"/>
                <w:lang w:val="en-US" w:eastAsia="zh-CN" w:bidi="ar-SA"/>
              </w:rPr>
              <w:t>易俗河镇</w:t>
            </w:r>
            <w:r>
              <w:rPr>
                <w:rStyle w:val="65"/>
                <w:rFonts w:hint="default" w:ascii="Times New Roman" w:hAnsi="Times New Roman" w:eastAsia="宋体" w:cs="Times New Roman"/>
                <w:color w:val="auto"/>
                <w:u w:val="single" w:color="auto"/>
                <w:lang w:val="en-US" w:eastAsia="zh-CN" w:bidi="ar-SA"/>
              </w:rPr>
              <w:t>，环境管控单元编码ZH43032120003，属于</w:t>
            </w:r>
            <w:r>
              <w:rPr>
                <w:rStyle w:val="65"/>
                <w:rFonts w:hint="eastAsia" w:cs="Times New Roman"/>
                <w:color w:val="auto"/>
                <w:u w:val="single" w:color="auto"/>
                <w:lang w:val="en-US" w:eastAsia="zh-CN" w:bidi="ar-SA"/>
              </w:rPr>
              <w:t>重点管控单元</w:t>
            </w:r>
            <w:r>
              <w:rPr>
                <w:rStyle w:val="65"/>
                <w:rFonts w:hint="default" w:ascii="Times New Roman" w:hAnsi="Times New Roman" w:eastAsia="宋体" w:cs="Times New Roman"/>
                <w:color w:val="auto"/>
                <w:u w:val="single" w:color="auto"/>
                <w:lang w:val="en-US" w:eastAsia="zh-CN" w:bidi="ar-SA"/>
              </w:rPr>
              <w:t>，运营期各污染物均能实现达标排放，符合</w:t>
            </w:r>
            <w:r>
              <w:rPr>
                <w:rStyle w:val="65"/>
                <w:rFonts w:hint="eastAsia" w:cs="Times New Roman"/>
                <w:color w:val="auto"/>
                <w:u w:val="single" w:color="auto"/>
                <w:lang w:val="en-US" w:eastAsia="zh-CN" w:bidi="ar-SA"/>
              </w:rPr>
              <w:t>重点管控单元</w:t>
            </w:r>
            <w:r>
              <w:rPr>
                <w:rStyle w:val="65"/>
                <w:rFonts w:hint="default" w:ascii="Times New Roman" w:hAnsi="Times New Roman" w:eastAsia="宋体" w:cs="Times New Roman"/>
                <w:color w:val="auto"/>
                <w:u w:val="single" w:color="auto"/>
                <w:lang w:val="en-US" w:eastAsia="zh-CN" w:bidi="ar-SA"/>
              </w:rPr>
              <w:t>的环境管控要求。</w:t>
            </w:r>
          </w:p>
          <w:p w14:paraId="5ABEAFD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Style w:val="65"/>
                <w:rFonts w:hint="default" w:ascii="Times New Roman" w:hAnsi="Times New Roman" w:eastAsia="宋体" w:cs="Times New Roman"/>
                <w:color w:val="auto"/>
                <w:u w:val="single" w:color="auto"/>
                <w:lang w:val="en-US"/>
              </w:rPr>
            </w:pPr>
            <w:r>
              <w:rPr>
                <w:rStyle w:val="65"/>
                <w:rFonts w:hint="default" w:ascii="Times New Roman" w:hAnsi="Times New Roman" w:eastAsia="宋体" w:cs="Times New Roman"/>
                <w:color w:val="auto"/>
                <w:u w:val="single" w:color="auto"/>
                <w:lang w:val="en-US"/>
              </w:rPr>
              <w:t>本项目生态环境准入清单符合性见下表：</w:t>
            </w:r>
          </w:p>
          <w:p w14:paraId="4E93CAFA">
            <w:pPr>
              <w:jc w:val="center"/>
              <w:rPr>
                <w:color w:val="auto"/>
                <w:u w:val="none" w:color="auto"/>
              </w:rPr>
            </w:pPr>
            <w:r>
              <w:rPr>
                <w:b/>
                <w:bCs/>
                <w:color w:val="auto"/>
                <w:kern w:val="0"/>
                <w:sz w:val="24"/>
                <w:szCs w:val="24"/>
                <w:u w:val="single" w:color="auto"/>
              </w:rPr>
              <w:t>表1-</w:t>
            </w:r>
            <w:r>
              <w:rPr>
                <w:rFonts w:hint="eastAsia" w:cs="Times New Roman"/>
                <w:b/>
                <w:bCs/>
                <w:color w:val="auto"/>
                <w:sz w:val="24"/>
                <w:szCs w:val="24"/>
                <w:u w:val="single" w:color="auto"/>
                <w:lang w:val="en-US" w:eastAsia="zh-CN"/>
              </w:rPr>
              <w:t>2</w:t>
            </w:r>
            <w:r>
              <w:rPr>
                <w:rFonts w:hint="eastAsia" w:ascii="Times New Roman" w:hAnsi="Times New Roman" w:eastAsia="宋体" w:cs="Times New Roman"/>
                <w:b/>
                <w:bCs/>
                <w:color w:val="auto"/>
                <w:sz w:val="24"/>
                <w:szCs w:val="24"/>
                <w:u w:val="single" w:color="auto"/>
                <w:lang w:val="en-US" w:eastAsia="zh-CN"/>
              </w:rPr>
              <w:t xml:space="preserve">  </w:t>
            </w:r>
            <w:r>
              <w:rPr>
                <w:rFonts w:hint="default" w:ascii="Times New Roman" w:hAnsi="Times New Roman" w:eastAsia="宋体" w:cs="Times New Roman"/>
                <w:b/>
                <w:color w:val="auto"/>
                <w:kern w:val="0"/>
                <w:sz w:val="24"/>
                <w:szCs w:val="24"/>
                <w:u w:val="single" w:color="auto"/>
                <w:lang w:val="en-US" w:eastAsia="zh-CN"/>
              </w:rPr>
              <w:t>与</w:t>
            </w:r>
            <w:r>
              <w:rPr>
                <w:rFonts w:hint="eastAsia" w:ascii="Times New Roman" w:hAnsi="Times New Roman" w:eastAsia="宋体" w:cs="Times New Roman"/>
                <w:b/>
                <w:color w:val="auto"/>
                <w:kern w:val="0"/>
                <w:sz w:val="24"/>
                <w:szCs w:val="24"/>
                <w:u w:val="single" w:color="auto"/>
                <w:lang w:val="en-US" w:eastAsia="zh-CN"/>
              </w:rPr>
              <w:t>湘潭市</w:t>
            </w:r>
            <w:r>
              <w:rPr>
                <w:rFonts w:hint="eastAsia" w:ascii="Times New Roman" w:hAnsi="Times New Roman" w:eastAsia="宋体" w:cs="Times New Roman"/>
                <w:b/>
                <w:bCs w:val="0"/>
                <w:color w:val="auto"/>
                <w:kern w:val="0"/>
                <w:sz w:val="24"/>
                <w:szCs w:val="24"/>
                <w:u w:val="single" w:color="auto"/>
                <w:lang w:val="en-US" w:eastAsia="zh-CN" w:bidi="ar-SA"/>
              </w:rPr>
              <w:t>生</w:t>
            </w:r>
            <w:r>
              <w:rPr>
                <w:rFonts w:ascii="Times New Roman" w:hAnsi="Times New Roman" w:eastAsia="宋体" w:cs="Times New Roman"/>
                <w:b/>
                <w:bCs w:val="0"/>
                <w:color w:val="auto"/>
                <w:kern w:val="0"/>
                <w:sz w:val="24"/>
                <w:szCs w:val="24"/>
                <w:u w:val="single" w:color="auto"/>
                <w:lang w:val="en-US" w:eastAsia="zh-CN" w:bidi="ar-SA"/>
              </w:rPr>
              <w:t>态环境</w:t>
            </w:r>
            <w:r>
              <w:rPr>
                <w:rFonts w:hint="eastAsia" w:cs="Times New Roman"/>
                <w:b/>
                <w:bCs w:val="0"/>
                <w:color w:val="auto"/>
                <w:kern w:val="0"/>
                <w:sz w:val="24"/>
                <w:szCs w:val="24"/>
                <w:u w:val="single" w:color="auto"/>
                <w:lang w:val="en-US" w:eastAsia="zh-CN" w:bidi="ar-SA"/>
              </w:rPr>
              <w:t>分区</w:t>
            </w:r>
            <w:r>
              <w:rPr>
                <w:rFonts w:ascii="Times New Roman" w:hAnsi="Times New Roman" w:eastAsia="宋体" w:cs="Times New Roman"/>
                <w:b/>
                <w:bCs w:val="0"/>
                <w:color w:val="auto"/>
                <w:kern w:val="0"/>
                <w:sz w:val="24"/>
                <w:szCs w:val="24"/>
                <w:u w:val="single" w:color="auto"/>
                <w:lang w:val="en-US" w:eastAsia="zh-CN" w:bidi="ar-SA"/>
              </w:rPr>
              <w:t>管控</w:t>
            </w:r>
            <w:r>
              <w:rPr>
                <w:rFonts w:hint="eastAsia" w:ascii="Times New Roman" w:hAnsi="Times New Roman" w:eastAsia="宋体" w:cs="Times New Roman"/>
                <w:b/>
                <w:bCs w:val="0"/>
                <w:color w:val="auto"/>
                <w:kern w:val="0"/>
                <w:sz w:val="24"/>
                <w:szCs w:val="24"/>
                <w:u w:val="single" w:color="auto"/>
                <w:lang w:val="en-US" w:eastAsia="zh-CN" w:bidi="ar-SA"/>
              </w:rPr>
              <w:t>基本</w:t>
            </w:r>
            <w:r>
              <w:rPr>
                <w:rFonts w:ascii="Times New Roman" w:hAnsi="Times New Roman" w:eastAsia="宋体" w:cs="Times New Roman"/>
                <w:b/>
                <w:bCs w:val="0"/>
                <w:color w:val="auto"/>
                <w:kern w:val="0"/>
                <w:sz w:val="24"/>
                <w:szCs w:val="24"/>
                <w:u w:val="single" w:color="auto"/>
                <w:lang w:val="en-US" w:eastAsia="zh-CN" w:bidi="ar-SA"/>
              </w:rPr>
              <w:t>要求</w:t>
            </w:r>
            <w:r>
              <w:rPr>
                <w:b/>
                <w:color w:val="auto"/>
                <w:kern w:val="0"/>
                <w:sz w:val="24"/>
                <w:szCs w:val="24"/>
                <w:u w:val="single" w:color="auto"/>
              </w:rPr>
              <w:t>符合性分析</w:t>
            </w:r>
          </w:p>
          <w:tbl>
            <w:tblPr>
              <w:tblStyle w:val="31"/>
              <w:tblW w:w="6618"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33"/>
              <w:gridCol w:w="552"/>
              <w:gridCol w:w="3690"/>
              <w:gridCol w:w="1577"/>
              <w:gridCol w:w="366"/>
            </w:tblGrid>
            <w:tr w14:paraId="6C5995A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4" w:hRule="atLeast"/>
                <w:jc w:val="center"/>
              </w:trPr>
              <w:tc>
                <w:tcPr>
                  <w:tcW w:w="433" w:type="dxa"/>
                  <w:tcBorders>
                    <w:top w:val="single" w:color="000000" w:sz="12" w:space="0"/>
                    <w:left w:val="nil"/>
                    <w:bottom w:val="single" w:color="000000" w:sz="4" w:space="0"/>
                    <w:right w:val="single" w:color="000000" w:sz="4" w:space="0"/>
                    <w:tl2br w:val="nil"/>
                    <w:tr2bl w:val="nil"/>
                  </w:tcBorders>
                  <w:noWrap w:val="0"/>
                  <w:vAlign w:val="center"/>
                </w:tcPr>
                <w:p w14:paraId="314B6DA5">
                  <w:pPr>
                    <w:widowControl w:val="0"/>
                    <w:autoSpaceDE w:val="0"/>
                    <w:autoSpaceDN w:val="0"/>
                    <w:spacing w:beforeLines="0" w:after="0" w:afterLines="0"/>
                    <w:jc w:val="center"/>
                    <w:rPr>
                      <w:rFonts w:hint="default" w:ascii="Times New Roman" w:hAnsi="Times New Roman" w:cs="Times New Roman"/>
                      <w:b/>
                      <w:bCs/>
                      <w:color w:val="auto"/>
                      <w:sz w:val="21"/>
                      <w:szCs w:val="21"/>
                      <w:u w:val="none" w:color="auto"/>
                    </w:rPr>
                  </w:pPr>
                  <w:r>
                    <w:rPr>
                      <w:rFonts w:hint="default" w:ascii="Times New Roman" w:hAnsi="Times New Roman" w:cs="Times New Roman"/>
                      <w:b/>
                      <w:bCs/>
                      <w:color w:val="auto"/>
                      <w:sz w:val="21"/>
                      <w:szCs w:val="21"/>
                      <w:u w:val="none" w:color="auto"/>
                    </w:rPr>
                    <w:t>属性</w:t>
                  </w:r>
                </w:p>
              </w:tc>
              <w:tc>
                <w:tcPr>
                  <w:tcW w:w="552" w:type="dxa"/>
                  <w:tcBorders>
                    <w:top w:val="single" w:color="000000" w:sz="12" w:space="0"/>
                    <w:left w:val="single" w:color="000000" w:sz="4" w:space="0"/>
                    <w:bottom w:val="single" w:color="000000" w:sz="4" w:space="0"/>
                    <w:right w:val="single" w:color="000000" w:sz="4" w:space="0"/>
                    <w:tl2br w:val="nil"/>
                    <w:tr2bl w:val="nil"/>
                  </w:tcBorders>
                  <w:noWrap w:val="0"/>
                  <w:vAlign w:val="center"/>
                </w:tcPr>
                <w:p w14:paraId="49A42392">
                  <w:pPr>
                    <w:widowControl w:val="0"/>
                    <w:autoSpaceDE w:val="0"/>
                    <w:autoSpaceDN w:val="0"/>
                    <w:spacing w:beforeLines="0" w:after="0" w:afterLines="0"/>
                    <w:jc w:val="center"/>
                    <w:rPr>
                      <w:rFonts w:hint="default" w:ascii="Times New Roman" w:hAnsi="Times New Roman" w:cs="Times New Roman"/>
                      <w:b/>
                      <w:bCs/>
                      <w:color w:val="auto"/>
                      <w:sz w:val="21"/>
                      <w:szCs w:val="21"/>
                      <w:u w:val="none" w:color="auto"/>
                    </w:rPr>
                  </w:pPr>
                  <w:r>
                    <w:rPr>
                      <w:rFonts w:hint="default" w:ascii="Times New Roman" w:hAnsi="Times New Roman" w:cs="Times New Roman"/>
                      <w:b/>
                      <w:bCs/>
                      <w:color w:val="auto"/>
                      <w:sz w:val="21"/>
                      <w:szCs w:val="21"/>
                      <w:u w:val="none" w:color="auto"/>
                    </w:rPr>
                    <w:t>管控维度</w:t>
                  </w:r>
                </w:p>
              </w:tc>
              <w:tc>
                <w:tcPr>
                  <w:tcW w:w="3690" w:type="dxa"/>
                  <w:tcBorders>
                    <w:top w:val="single" w:color="000000" w:sz="12" w:space="0"/>
                    <w:left w:val="single" w:color="000000" w:sz="4" w:space="0"/>
                    <w:bottom w:val="single" w:color="000000" w:sz="4" w:space="0"/>
                    <w:right w:val="single" w:color="000000" w:sz="4" w:space="0"/>
                    <w:tl2br w:val="nil"/>
                    <w:tr2bl w:val="nil"/>
                  </w:tcBorders>
                  <w:noWrap w:val="0"/>
                  <w:vAlign w:val="center"/>
                </w:tcPr>
                <w:p w14:paraId="711EDDA7">
                  <w:pPr>
                    <w:widowControl w:val="0"/>
                    <w:autoSpaceDE w:val="0"/>
                    <w:autoSpaceDN w:val="0"/>
                    <w:spacing w:beforeLines="0" w:after="0" w:afterLines="0"/>
                    <w:jc w:val="center"/>
                    <w:rPr>
                      <w:rFonts w:hint="default" w:ascii="Times New Roman" w:hAnsi="Times New Roman" w:cs="Times New Roman"/>
                      <w:b/>
                      <w:bCs/>
                      <w:color w:val="auto"/>
                      <w:sz w:val="21"/>
                      <w:szCs w:val="21"/>
                      <w:u w:val="none" w:color="auto"/>
                    </w:rPr>
                  </w:pPr>
                  <w:r>
                    <w:rPr>
                      <w:rFonts w:hint="default" w:ascii="Times New Roman" w:hAnsi="Times New Roman" w:cs="Times New Roman"/>
                      <w:b/>
                      <w:bCs/>
                      <w:color w:val="auto"/>
                      <w:sz w:val="21"/>
                      <w:szCs w:val="21"/>
                      <w:u w:val="none" w:color="auto"/>
                    </w:rPr>
                    <w:t>管控要求</w:t>
                  </w:r>
                </w:p>
              </w:tc>
              <w:tc>
                <w:tcPr>
                  <w:tcW w:w="1577" w:type="dxa"/>
                  <w:tcBorders>
                    <w:top w:val="single" w:color="000000" w:sz="12" w:space="0"/>
                    <w:left w:val="single" w:color="000000" w:sz="4" w:space="0"/>
                    <w:bottom w:val="single" w:color="000000" w:sz="4" w:space="0"/>
                    <w:right w:val="single" w:color="000000" w:sz="4" w:space="0"/>
                    <w:tl2br w:val="nil"/>
                    <w:tr2bl w:val="nil"/>
                  </w:tcBorders>
                  <w:noWrap w:val="0"/>
                  <w:vAlign w:val="center"/>
                </w:tcPr>
                <w:p w14:paraId="474C5C16">
                  <w:pPr>
                    <w:widowControl w:val="0"/>
                    <w:autoSpaceDE w:val="0"/>
                    <w:autoSpaceDN w:val="0"/>
                    <w:spacing w:beforeLines="0" w:after="0" w:afterLines="0"/>
                    <w:jc w:val="center"/>
                    <w:rPr>
                      <w:rFonts w:hint="default" w:ascii="Times New Roman" w:hAnsi="Times New Roman" w:cs="Times New Roman"/>
                      <w:b/>
                      <w:bCs/>
                      <w:color w:val="auto"/>
                      <w:sz w:val="21"/>
                      <w:szCs w:val="21"/>
                      <w:u w:val="none" w:color="auto"/>
                    </w:rPr>
                  </w:pPr>
                  <w:r>
                    <w:rPr>
                      <w:rFonts w:hint="default" w:ascii="Times New Roman" w:hAnsi="Times New Roman" w:cs="Times New Roman"/>
                      <w:b/>
                      <w:bCs/>
                      <w:color w:val="auto"/>
                      <w:sz w:val="21"/>
                      <w:szCs w:val="21"/>
                      <w:u w:val="none" w:color="auto"/>
                    </w:rPr>
                    <w:t>相符性分析</w:t>
                  </w:r>
                </w:p>
              </w:tc>
              <w:tc>
                <w:tcPr>
                  <w:tcW w:w="366" w:type="dxa"/>
                  <w:tcBorders>
                    <w:top w:val="single" w:color="000000" w:sz="12" w:space="0"/>
                    <w:left w:val="single" w:color="000000" w:sz="4" w:space="0"/>
                    <w:bottom w:val="single" w:color="000000" w:sz="4" w:space="0"/>
                    <w:right w:val="nil"/>
                    <w:tl2br w:val="nil"/>
                    <w:tr2bl w:val="nil"/>
                  </w:tcBorders>
                  <w:noWrap w:val="0"/>
                  <w:vAlign w:val="center"/>
                </w:tcPr>
                <w:p w14:paraId="4CBFA473">
                  <w:pPr>
                    <w:widowControl w:val="0"/>
                    <w:autoSpaceDE w:val="0"/>
                    <w:autoSpaceDN w:val="0"/>
                    <w:spacing w:beforeLines="0" w:after="0" w:afterLines="0"/>
                    <w:jc w:val="center"/>
                    <w:rPr>
                      <w:rFonts w:hint="default" w:ascii="Times New Roman" w:hAnsi="Times New Roman" w:cs="Times New Roman"/>
                      <w:b/>
                      <w:bCs/>
                      <w:color w:val="auto"/>
                      <w:sz w:val="21"/>
                      <w:szCs w:val="21"/>
                      <w:u w:val="none" w:color="auto"/>
                    </w:rPr>
                  </w:pPr>
                  <w:r>
                    <w:rPr>
                      <w:rFonts w:hint="default" w:ascii="Times New Roman" w:hAnsi="Times New Roman" w:cs="Times New Roman"/>
                      <w:b/>
                      <w:bCs/>
                      <w:color w:val="auto"/>
                      <w:sz w:val="21"/>
                      <w:szCs w:val="21"/>
                      <w:u w:val="none" w:color="auto"/>
                    </w:rPr>
                    <w:t>相符性</w:t>
                  </w:r>
                </w:p>
              </w:tc>
            </w:tr>
            <w:tr w14:paraId="55BAA8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32" w:hRule="atLeast"/>
                <w:jc w:val="center"/>
              </w:trPr>
              <w:tc>
                <w:tcPr>
                  <w:tcW w:w="433" w:type="dxa"/>
                  <w:vMerge w:val="restart"/>
                  <w:tcBorders>
                    <w:top w:val="single" w:color="000000" w:sz="4" w:space="0"/>
                    <w:left w:val="nil"/>
                    <w:right w:val="single" w:color="000000" w:sz="4" w:space="0"/>
                    <w:tl2br w:val="nil"/>
                    <w:tr2bl w:val="nil"/>
                  </w:tcBorders>
                  <w:noWrap w:val="0"/>
                  <w:vAlign w:val="center"/>
                </w:tcPr>
                <w:p w14:paraId="1F7E4318">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通用</w:t>
                  </w:r>
                </w:p>
              </w:tc>
              <w:tc>
                <w:tcPr>
                  <w:tcW w:w="5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1D05336">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空间布局约束</w:t>
                  </w:r>
                </w:p>
              </w:tc>
              <w:tc>
                <w:tcPr>
                  <w:tcW w:w="369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552B563">
                  <w:pPr>
                    <w:autoSpaceDE w:val="0"/>
                    <w:autoSpaceDN w:val="0"/>
                    <w:adjustRightInd w:val="0"/>
                    <w:snapToGrid w:val="0"/>
                    <w:jc w:val="left"/>
                    <w:rPr>
                      <w:rFonts w:hint="eastAsia"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1.严格限制在生态脆弱或环境敏感地区建设“两高”行业项目</w:t>
                  </w:r>
                  <w:r>
                    <w:rPr>
                      <w:rFonts w:hint="eastAsia" w:cs="Times New Roman"/>
                      <w:color w:val="auto"/>
                      <w:kern w:val="0"/>
                      <w:sz w:val="21"/>
                      <w:szCs w:val="21"/>
                      <w:u w:val="none" w:color="auto"/>
                      <w:vertAlign w:val="baseline"/>
                      <w:lang w:val="en-US" w:eastAsia="zh-CN"/>
                    </w:rPr>
                    <w:t>。</w:t>
                  </w:r>
                </w:p>
                <w:p w14:paraId="27B52F55">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2.严格控制火电、水泥、砖瓦、化工等高污染、高耗能项目，禁止新建不符合国家产业政策和行业准入条件的高污染项目。</w:t>
                  </w:r>
                </w:p>
                <w:p w14:paraId="5AF755D3">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3.推进焦化、包装印刷、石化、涂装、汽修等主要行业及加油站、液化仓储VOCs管控。严格限制高VOCs排放建设项目环境准入。</w:t>
                  </w:r>
                </w:p>
              </w:tc>
              <w:tc>
                <w:tcPr>
                  <w:tcW w:w="157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1785B63">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eastAsia" w:ascii="Times New Roman" w:hAnsi="Times New Roman" w:cs="Times New Roman"/>
                      <w:color w:val="auto"/>
                      <w:kern w:val="0"/>
                      <w:sz w:val="21"/>
                      <w:szCs w:val="21"/>
                      <w:u w:val="none" w:color="auto"/>
                      <w:vertAlign w:val="baseline"/>
                      <w:lang w:val="en-US" w:eastAsia="zh-CN"/>
                    </w:rPr>
                    <w:t>项目不属于高耗能、高排放、高污染项目。本项目所产生的有机废气通过负压收集+活性炭吸附+催化燃烧/二级活性炭后经15m排气筒处理达标后外排。</w:t>
                  </w:r>
                </w:p>
              </w:tc>
              <w:tc>
                <w:tcPr>
                  <w:tcW w:w="366" w:type="dxa"/>
                  <w:tcBorders>
                    <w:top w:val="single" w:color="000000" w:sz="4" w:space="0"/>
                    <w:left w:val="single" w:color="000000" w:sz="4" w:space="0"/>
                    <w:bottom w:val="single" w:color="000000" w:sz="4" w:space="0"/>
                    <w:right w:val="nil"/>
                    <w:tl2br w:val="nil"/>
                    <w:tr2bl w:val="nil"/>
                  </w:tcBorders>
                  <w:noWrap w:val="0"/>
                  <w:vAlign w:val="center"/>
                </w:tcPr>
                <w:p w14:paraId="3ED5530E">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符合</w:t>
                  </w:r>
                </w:p>
              </w:tc>
            </w:tr>
            <w:tr w14:paraId="577B534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5" w:hRule="atLeast"/>
                <w:jc w:val="center"/>
              </w:trPr>
              <w:tc>
                <w:tcPr>
                  <w:tcW w:w="433" w:type="dxa"/>
                  <w:vMerge w:val="continue"/>
                  <w:tcBorders>
                    <w:left w:val="nil"/>
                    <w:right w:val="single" w:color="000000" w:sz="4" w:space="0"/>
                    <w:tl2br w:val="nil"/>
                    <w:tr2bl w:val="nil"/>
                  </w:tcBorders>
                  <w:noWrap w:val="0"/>
                  <w:vAlign w:val="center"/>
                </w:tcPr>
                <w:p w14:paraId="771446BC">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p>
              </w:tc>
              <w:tc>
                <w:tcPr>
                  <w:tcW w:w="5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DC3AB71">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污染物排管放控</w:t>
                  </w:r>
                </w:p>
              </w:tc>
              <w:tc>
                <w:tcPr>
                  <w:tcW w:w="369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0971732">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eastAsia" w:cs="Times New Roman"/>
                      <w:color w:val="auto"/>
                      <w:kern w:val="0"/>
                      <w:sz w:val="21"/>
                      <w:szCs w:val="21"/>
                      <w:u w:val="none" w:color="auto"/>
                      <w:vertAlign w:val="baseline"/>
                      <w:lang w:val="en-US" w:eastAsia="zh-CN"/>
                    </w:rPr>
                    <w:t>废气：</w:t>
                  </w:r>
                </w:p>
                <w:p w14:paraId="32FD16A5">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1.开展工业</w:t>
                  </w:r>
                  <w:r>
                    <w:rPr>
                      <w:rFonts w:hint="eastAsia" w:cs="Times New Roman"/>
                      <w:color w:val="auto"/>
                      <w:kern w:val="0"/>
                      <w:sz w:val="21"/>
                      <w:szCs w:val="21"/>
                      <w:u w:val="none" w:color="auto"/>
                      <w:vertAlign w:val="baseline"/>
                      <w:lang w:val="en-US" w:eastAsia="zh-CN"/>
                    </w:rPr>
                    <w:t>炉具</w:t>
                  </w:r>
                  <w:r>
                    <w:rPr>
                      <w:rFonts w:hint="default" w:ascii="Times New Roman" w:hAnsi="Times New Roman" w:cs="Times New Roman"/>
                      <w:color w:val="auto"/>
                      <w:kern w:val="0"/>
                      <w:sz w:val="21"/>
                      <w:szCs w:val="21"/>
                      <w:u w:val="none" w:color="auto"/>
                      <w:vertAlign w:val="baseline"/>
                      <w:lang w:val="en-US" w:eastAsia="zh-CN"/>
                    </w:rPr>
                    <w:t>、锅炉的综合整治。严格执行钢铁、水泥、玻璃等行业产能置换实施办法，加大落后产能和不达标工业</w:t>
                  </w:r>
                  <w:r>
                    <w:rPr>
                      <w:rFonts w:hint="eastAsia" w:cs="Times New Roman"/>
                      <w:color w:val="auto"/>
                      <w:kern w:val="0"/>
                      <w:sz w:val="21"/>
                      <w:szCs w:val="21"/>
                      <w:u w:val="none" w:color="auto"/>
                      <w:vertAlign w:val="baseline"/>
                      <w:lang w:val="en-US" w:eastAsia="zh-CN"/>
                    </w:rPr>
                    <w:t>炉窑</w:t>
                  </w:r>
                  <w:r>
                    <w:rPr>
                      <w:rFonts w:hint="default" w:ascii="Times New Roman" w:hAnsi="Times New Roman" w:cs="Times New Roman"/>
                      <w:color w:val="auto"/>
                      <w:kern w:val="0"/>
                      <w:sz w:val="21"/>
                      <w:szCs w:val="21"/>
                      <w:u w:val="none" w:color="auto"/>
                      <w:vertAlign w:val="baseline"/>
                      <w:lang w:val="en-US" w:eastAsia="zh-CN"/>
                    </w:rPr>
                    <w:t>淘汰力度。实施工业污染源全面达标排放，已有行业排放标准的工业</w:t>
                  </w:r>
                  <w:r>
                    <w:rPr>
                      <w:rFonts w:hint="eastAsia" w:cs="Times New Roman"/>
                      <w:color w:val="auto"/>
                      <w:kern w:val="0"/>
                      <w:sz w:val="21"/>
                      <w:szCs w:val="21"/>
                      <w:u w:val="none" w:color="auto"/>
                      <w:vertAlign w:val="baseline"/>
                      <w:lang w:val="en-US" w:eastAsia="zh-CN"/>
                    </w:rPr>
                    <w:t>炉窑</w:t>
                  </w:r>
                  <w:r>
                    <w:rPr>
                      <w:rFonts w:hint="default" w:ascii="Times New Roman" w:hAnsi="Times New Roman" w:cs="Times New Roman"/>
                      <w:color w:val="auto"/>
                      <w:kern w:val="0"/>
                      <w:sz w:val="21"/>
                      <w:szCs w:val="21"/>
                      <w:u w:val="none" w:color="auto"/>
                      <w:vertAlign w:val="baseline"/>
                      <w:lang w:val="en-US" w:eastAsia="zh-CN"/>
                    </w:rPr>
                    <w:t>，严格按行业排放标准执行。</w:t>
                  </w:r>
                </w:p>
                <w:p w14:paraId="3BD42513">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2.加强工业企业无组织排放的综合整治。加快推进企业物料(含废渣)运输、装卸、储存和生产工艺过程中的无组织排放治理。采取密闭、围挡、遮盖、清扫、洒水等措施，减少内部物料堆存、传输、装卸等环节产生的粉尘和气态污染物的排放。粉状物料采用密闭输送等方式封闭式作业。</w:t>
                  </w:r>
                </w:p>
                <w:p w14:paraId="530C9BB4">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3.水泥行业、钢铁工业、炼焦工业、铁合金工业、铅锌工业、锡锑汞工业、铜镍钴工业、再生铜铝铅锌工业、铝工业、镁钛工业、钒工业、无机化学工业、合成树脂工业、石油炼制和石油化学工业等相关行业执行特别排放限值和超低排要求。</w:t>
                  </w:r>
                </w:p>
                <w:p w14:paraId="29D5EED9">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4.提升大气环境预警预报能力，加快建立跨部门的联合监测预警机制，建立健全多部门联防联动常态化管理体系，提升污染天气联合应对水平。加强重污染天气应急响应，持续更新应急减排清单，完善市县乡(镇)三级重污染天气应急预案体系。</w:t>
                  </w:r>
                </w:p>
                <w:p w14:paraId="7563CFE8">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5.深入实施清洁柴油车(机)行动，基本淘汰国三及以下排放标准汽车。加快发展新能源和清洁能源车船。加快建设主要港口液化天然气加注站、岸电全覆盖工程等绿色水运体系。大力发展多式联运，加快推进大宗货物和集装箱中长距离运输“公转铁”“公转水”。提升仓储、运输、包装、配送等绿色物流水平。推进老旧车淘汰。推进港口移动机械清洁能源替代，鼓励开展港作机械电动化、气动化试点。强化非道路移动机械申报登记监管和尾气检测处罚机制，开展新生产机动车、发动机、非道路移动机械监督检查，基本消除未登记或冒黑烟工程机械。</w:t>
                  </w:r>
                </w:p>
                <w:p w14:paraId="1205C75C">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6.严禁露天焚烧，全市范围内严禁露天焚烧沥青、油毡、橡胶、塑料、皮革、垃圾、杂草落叶、农作物秸秆以及其他经燃烧可产生有毒有害烟尘和恶臭气体的物质</w:t>
                  </w:r>
                  <w:r>
                    <w:rPr>
                      <w:rFonts w:hint="eastAsia" w:ascii="Times New Roman" w:hAnsi="Times New Roman" w:cs="Times New Roman"/>
                      <w:color w:val="auto"/>
                      <w:kern w:val="0"/>
                      <w:sz w:val="21"/>
                      <w:szCs w:val="21"/>
                      <w:u w:val="none" w:color="auto"/>
                      <w:vertAlign w:val="baseline"/>
                      <w:lang w:val="en-US" w:eastAsia="zh-CN"/>
                    </w:rPr>
                    <w:t>：</w:t>
                  </w:r>
                  <w:r>
                    <w:rPr>
                      <w:rFonts w:hint="default" w:ascii="Times New Roman" w:hAnsi="Times New Roman" w:cs="Times New Roman"/>
                      <w:color w:val="auto"/>
                      <w:kern w:val="0"/>
                      <w:sz w:val="21"/>
                      <w:szCs w:val="21"/>
                      <w:u w:val="none" w:color="auto"/>
                      <w:vertAlign w:val="baseline"/>
                      <w:lang w:val="en-US" w:eastAsia="zh-CN"/>
                    </w:rPr>
                    <w:t>严禁黄土裸露</w:t>
                  </w:r>
                  <w:r>
                    <w:rPr>
                      <w:rFonts w:hint="eastAsia" w:ascii="Times New Roman" w:hAnsi="Times New Roman" w:cs="Times New Roman"/>
                      <w:color w:val="auto"/>
                      <w:kern w:val="0"/>
                      <w:sz w:val="21"/>
                      <w:szCs w:val="21"/>
                      <w:u w:val="none" w:color="auto"/>
                      <w:vertAlign w:val="baseline"/>
                      <w:lang w:val="en-US" w:eastAsia="zh-CN"/>
                    </w:rPr>
                    <w:t>：</w:t>
                  </w:r>
                  <w:r>
                    <w:rPr>
                      <w:rFonts w:hint="default" w:ascii="Times New Roman" w:hAnsi="Times New Roman" w:cs="Times New Roman"/>
                      <w:color w:val="auto"/>
                      <w:kern w:val="0"/>
                      <w:sz w:val="21"/>
                      <w:szCs w:val="21"/>
                      <w:u w:val="none" w:color="auto"/>
                      <w:vertAlign w:val="baseline"/>
                      <w:lang w:val="en-US" w:eastAsia="zh-CN"/>
                    </w:rPr>
                    <w:t>严禁各类建筑</w:t>
                  </w:r>
                  <w:r>
                    <w:rPr>
                      <w:rFonts w:hint="eastAsia" w:cs="Times New Roman"/>
                      <w:color w:val="auto"/>
                      <w:kern w:val="0"/>
                      <w:sz w:val="21"/>
                      <w:szCs w:val="21"/>
                      <w:u w:val="none" w:color="auto"/>
                      <w:vertAlign w:val="baseline"/>
                      <w:lang w:val="en-US" w:eastAsia="zh-CN"/>
                    </w:rPr>
                    <w:t>石料</w:t>
                  </w:r>
                  <w:r>
                    <w:rPr>
                      <w:rFonts w:hint="default" w:ascii="Times New Roman" w:hAnsi="Times New Roman" w:cs="Times New Roman"/>
                      <w:color w:val="auto"/>
                      <w:kern w:val="0"/>
                      <w:sz w:val="21"/>
                      <w:szCs w:val="21"/>
                      <w:u w:val="none" w:color="auto"/>
                      <w:vertAlign w:val="baseline"/>
                      <w:lang w:val="en-US" w:eastAsia="zh-CN"/>
                    </w:rPr>
                    <w:t>堆场、渣土堆场、建筑工地、矿山等场地非作业面裸露黄土</w:t>
                  </w:r>
                  <w:r>
                    <w:rPr>
                      <w:rFonts w:hint="eastAsia" w:cs="Times New Roman"/>
                      <w:color w:val="auto"/>
                      <w:kern w:val="0"/>
                      <w:sz w:val="21"/>
                      <w:szCs w:val="21"/>
                      <w:u w:val="none" w:color="auto"/>
                      <w:vertAlign w:val="baseline"/>
                      <w:lang w:val="en-US" w:eastAsia="zh-CN"/>
                    </w:rPr>
                    <w:t>；</w:t>
                  </w:r>
                  <w:r>
                    <w:rPr>
                      <w:rFonts w:hint="default" w:ascii="Times New Roman" w:hAnsi="Times New Roman" w:cs="Times New Roman"/>
                      <w:color w:val="auto"/>
                      <w:kern w:val="0"/>
                      <w:sz w:val="21"/>
                      <w:szCs w:val="21"/>
                      <w:u w:val="none" w:color="auto"/>
                      <w:vertAlign w:val="baseline"/>
                      <w:lang w:val="en-US" w:eastAsia="zh-CN"/>
                    </w:rPr>
                    <w:t>严禁违法施工</w:t>
                  </w:r>
                  <w:r>
                    <w:rPr>
                      <w:rFonts w:hint="eastAsia" w:cs="Times New Roman"/>
                      <w:color w:val="auto"/>
                      <w:kern w:val="0"/>
                      <w:sz w:val="21"/>
                      <w:szCs w:val="21"/>
                      <w:u w:val="none" w:color="auto"/>
                      <w:vertAlign w:val="baseline"/>
                      <w:lang w:val="en-US" w:eastAsia="zh-CN"/>
                    </w:rPr>
                    <w:t>；</w:t>
                  </w:r>
                  <w:r>
                    <w:rPr>
                      <w:rFonts w:hint="default" w:ascii="Times New Roman" w:hAnsi="Times New Roman" w:cs="Times New Roman"/>
                      <w:color w:val="auto"/>
                      <w:kern w:val="0"/>
                      <w:sz w:val="21"/>
                      <w:szCs w:val="21"/>
                      <w:u w:val="none" w:color="auto"/>
                      <w:vertAlign w:val="baseline"/>
                      <w:lang w:val="en-US" w:eastAsia="zh-CN"/>
                    </w:rPr>
                    <w:t>严禁违法贮存物料</w:t>
                  </w:r>
                  <w:r>
                    <w:rPr>
                      <w:rFonts w:hint="eastAsia" w:cs="Times New Roman"/>
                      <w:color w:val="auto"/>
                      <w:kern w:val="0"/>
                      <w:sz w:val="21"/>
                      <w:szCs w:val="21"/>
                      <w:u w:val="none" w:color="auto"/>
                      <w:vertAlign w:val="baseline"/>
                      <w:lang w:val="en-US" w:eastAsia="zh-CN"/>
                    </w:rPr>
                    <w:t>；</w:t>
                  </w:r>
                  <w:r>
                    <w:rPr>
                      <w:rFonts w:hint="default" w:ascii="Times New Roman" w:hAnsi="Times New Roman" w:cs="Times New Roman"/>
                      <w:color w:val="auto"/>
                      <w:kern w:val="0"/>
                      <w:sz w:val="21"/>
                      <w:szCs w:val="21"/>
                      <w:u w:val="none" w:color="auto"/>
                      <w:vertAlign w:val="baseline"/>
                      <w:lang w:val="en-US" w:eastAsia="zh-CN"/>
                    </w:rPr>
                    <w:t>严禁违法排放油烟</w:t>
                  </w:r>
                  <w:r>
                    <w:rPr>
                      <w:rFonts w:hint="eastAsia" w:cs="Times New Roman"/>
                      <w:color w:val="auto"/>
                      <w:kern w:val="0"/>
                      <w:sz w:val="21"/>
                      <w:szCs w:val="21"/>
                      <w:u w:val="none" w:color="auto"/>
                      <w:vertAlign w:val="baseline"/>
                      <w:lang w:val="en-US" w:eastAsia="zh-CN"/>
                    </w:rPr>
                    <w:t>；</w:t>
                  </w:r>
                  <w:r>
                    <w:rPr>
                      <w:rFonts w:hint="default" w:ascii="Times New Roman" w:hAnsi="Times New Roman" w:cs="Times New Roman"/>
                      <w:color w:val="auto"/>
                      <w:kern w:val="0"/>
                      <w:sz w:val="21"/>
                      <w:szCs w:val="21"/>
                      <w:u w:val="none" w:color="auto"/>
                      <w:vertAlign w:val="baseline"/>
                      <w:lang w:val="en-US" w:eastAsia="zh-CN"/>
                    </w:rPr>
                    <w:t>严禁违法排放废气</w:t>
                  </w:r>
                  <w:r>
                    <w:rPr>
                      <w:rFonts w:hint="eastAsia" w:cs="Times New Roman"/>
                      <w:color w:val="auto"/>
                      <w:kern w:val="0"/>
                      <w:sz w:val="21"/>
                      <w:szCs w:val="21"/>
                      <w:u w:val="none" w:color="auto"/>
                      <w:vertAlign w:val="baseline"/>
                      <w:lang w:val="en-US" w:eastAsia="zh-CN"/>
                    </w:rPr>
                    <w:t>；</w:t>
                  </w:r>
                  <w:r>
                    <w:rPr>
                      <w:rFonts w:hint="default" w:ascii="Times New Roman" w:hAnsi="Times New Roman" w:cs="Times New Roman"/>
                      <w:color w:val="auto"/>
                      <w:kern w:val="0"/>
                      <w:sz w:val="21"/>
                      <w:szCs w:val="21"/>
                      <w:u w:val="none" w:color="auto"/>
                      <w:vertAlign w:val="baseline"/>
                      <w:lang w:val="en-US" w:eastAsia="zh-CN"/>
                    </w:rPr>
                    <w:t>严禁违法处置渣土</w:t>
                  </w:r>
                  <w:r>
                    <w:rPr>
                      <w:rFonts w:hint="eastAsia" w:cs="Times New Roman"/>
                      <w:color w:val="auto"/>
                      <w:kern w:val="0"/>
                      <w:sz w:val="21"/>
                      <w:szCs w:val="21"/>
                      <w:u w:val="none" w:color="auto"/>
                      <w:vertAlign w:val="baseline"/>
                      <w:lang w:val="en-US" w:eastAsia="zh-CN"/>
                    </w:rPr>
                    <w:t>；</w:t>
                  </w:r>
                  <w:r>
                    <w:rPr>
                      <w:rFonts w:hint="default" w:ascii="Times New Roman" w:hAnsi="Times New Roman" w:cs="Times New Roman"/>
                      <w:color w:val="auto"/>
                      <w:kern w:val="0"/>
                      <w:sz w:val="21"/>
                      <w:szCs w:val="21"/>
                      <w:u w:val="none" w:color="auto"/>
                      <w:vertAlign w:val="baseline"/>
                      <w:lang w:val="en-US" w:eastAsia="zh-CN"/>
                    </w:rPr>
                    <w:t>严禁车辆带泥上路</w:t>
                  </w:r>
                  <w:r>
                    <w:rPr>
                      <w:rFonts w:hint="eastAsia" w:cs="Times New Roman"/>
                      <w:color w:val="auto"/>
                      <w:kern w:val="0"/>
                      <w:sz w:val="21"/>
                      <w:szCs w:val="21"/>
                      <w:u w:val="none" w:color="auto"/>
                      <w:vertAlign w:val="baseline"/>
                      <w:lang w:val="en-US" w:eastAsia="zh-CN"/>
                    </w:rPr>
                    <w:t>；</w:t>
                  </w:r>
                  <w:r>
                    <w:rPr>
                      <w:rFonts w:hint="default" w:ascii="Times New Roman" w:hAnsi="Times New Roman" w:cs="Times New Roman"/>
                      <w:color w:val="auto"/>
                      <w:kern w:val="0"/>
                      <w:sz w:val="21"/>
                      <w:szCs w:val="21"/>
                      <w:u w:val="none" w:color="auto"/>
                      <w:vertAlign w:val="baseline"/>
                      <w:lang w:val="en-US" w:eastAsia="zh-CN"/>
                    </w:rPr>
                    <w:t>严禁在禁燃区域禁燃时段燃放烟花爆竹</w:t>
                  </w:r>
                  <w:r>
                    <w:rPr>
                      <w:rFonts w:hint="eastAsia" w:ascii="Times New Roman" w:hAnsi="Times New Roman" w:cs="Times New Roman"/>
                      <w:color w:val="auto"/>
                      <w:kern w:val="0"/>
                      <w:sz w:val="21"/>
                      <w:szCs w:val="21"/>
                      <w:u w:val="none" w:color="auto"/>
                      <w:vertAlign w:val="baseline"/>
                      <w:lang w:val="en-US" w:eastAsia="zh-CN"/>
                    </w:rPr>
                    <w:t>：</w:t>
                  </w:r>
                  <w:r>
                    <w:rPr>
                      <w:rFonts w:hint="default" w:ascii="Times New Roman" w:hAnsi="Times New Roman" w:cs="Times New Roman"/>
                      <w:color w:val="auto"/>
                      <w:kern w:val="0"/>
                      <w:sz w:val="21"/>
                      <w:szCs w:val="21"/>
                      <w:u w:val="none" w:color="auto"/>
                      <w:vertAlign w:val="baseline"/>
                      <w:lang w:val="en-US" w:eastAsia="zh-CN"/>
                    </w:rPr>
                    <w:t>严禁高排放车辆限行时段在限行区域行驶。</w:t>
                  </w:r>
                </w:p>
                <w:p w14:paraId="2F0794EB">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废水</w:t>
                  </w:r>
                  <w:r>
                    <w:rPr>
                      <w:rFonts w:hint="eastAsia" w:ascii="Times New Roman" w:hAnsi="Times New Roman" w:cs="Times New Roman"/>
                      <w:color w:val="auto"/>
                      <w:kern w:val="0"/>
                      <w:sz w:val="21"/>
                      <w:szCs w:val="21"/>
                      <w:u w:val="none" w:color="auto"/>
                      <w:vertAlign w:val="baseline"/>
                      <w:lang w:val="en-US" w:eastAsia="zh-CN"/>
                    </w:rPr>
                    <w:t>：</w:t>
                  </w:r>
                </w:p>
                <w:p w14:paraId="6D1F97F1">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7.强化工业集聚区水污染治理。持续开展省级及以上工业集聚区专项整治行动，重点排查整治管网不配套、雨污不分流、污水集中处理设施及自动监控运行不正常等问题，实现工业园区污水管网全覆盖，工业污水集中收集处理、达标排放，在线监控稳定运行。推进全市污水系统提质增效，实施管网混错接改造、管道修复等工程，保障清污分离。持续推动城镇污水处理厂提标改造，尾水排放标准不低于国家要求。提升污泥处理处置水平。</w:t>
                  </w:r>
                </w:p>
                <w:p w14:paraId="5A954F9A">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8.深化湘江流域涉铊专项整治，消除流域铊污染风险。规范重金属废渣利用及处置，全面整治重金属废渣、皮水污染，加强重金属污染场地治理。加强重金属总量控制，严格涉重金属重点行业环境准入，落实等量、减量替代要求，持续减少重金属污染物排放。</w:t>
                  </w:r>
                </w:p>
                <w:p w14:paraId="61DC5866">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9.完成新一轮入河排污口普查，以湘江</w:t>
                  </w:r>
                  <w:r>
                    <w:rPr>
                      <w:rFonts w:hint="eastAsia" w:cs="Times New Roman"/>
                      <w:color w:val="auto"/>
                      <w:kern w:val="0"/>
                      <w:sz w:val="21"/>
                      <w:szCs w:val="21"/>
                      <w:u w:val="none" w:color="auto"/>
                      <w:vertAlign w:val="baseline"/>
                      <w:lang w:val="en-US" w:eastAsia="zh-CN"/>
                    </w:rPr>
                    <w:t>干流</w:t>
                  </w:r>
                  <w:r>
                    <w:rPr>
                      <w:rFonts w:hint="default" w:ascii="Times New Roman" w:hAnsi="Times New Roman" w:cs="Times New Roman"/>
                      <w:color w:val="auto"/>
                      <w:kern w:val="0"/>
                      <w:sz w:val="21"/>
                      <w:szCs w:val="21"/>
                      <w:u w:val="none" w:color="auto"/>
                      <w:vertAlign w:val="baseline"/>
                      <w:lang w:val="en-US" w:eastAsia="zh-CN"/>
                    </w:rPr>
                    <w:t>为重点，全面清查各类排污口现状和存在的问题，实施分类管理，制定落实整治措施。持续深入开展湘江非法码头专项整治，同步推进涓水、涟水和水府庙库区水域非法码头渡口整治工作，加快推进砂石码头规范化建设。扎实推进城镇污水垃圾处理和工业、农业面源、船舶、尾矿库等污染治理工程。加强船舶及港口码头污染防治，优化港口码头布局，全面清理非法码头。</w:t>
                  </w:r>
                </w:p>
              </w:tc>
              <w:tc>
                <w:tcPr>
                  <w:tcW w:w="157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4FB138">
                  <w:pPr>
                    <w:autoSpaceDE w:val="0"/>
                    <w:autoSpaceDN w:val="0"/>
                    <w:adjustRightInd w:val="0"/>
                    <w:snapToGrid w:val="0"/>
                    <w:jc w:val="center"/>
                    <w:rPr>
                      <w:rFonts w:hint="default" w:ascii="Times New Roman" w:hAnsi="Times New Roman" w:cs="Times New Roman"/>
                      <w:color w:val="auto"/>
                      <w:kern w:val="0"/>
                      <w:sz w:val="21"/>
                      <w:szCs w:val="21"/>
                      <w:u w:val="none" w:color="auto"/>
                      <w:vertAlign w:val="baseline"/>
                      <w:lang w:val="en-US" w:eastAsia="zh-CN"/>
                    </w:rPr>
                  </w:pPr>
                  <w:r>
                    <w:rPr>
                      <w:rFonts w:hint="eastAsia" w:ascii="Times New Roman" w:hAnsi="Times New Roman" w:cs="Times New Roman"/>
                      <w:color w:val="auto"/>
                      <w:kern w:val="0"/>
                      <w:sz w:val="21"/>
                      <w:szCs w:val="21"/>
                      <w:u w:val="none" w:color="auto"/>
                      <w:vertAlign w:val="baseline"/>
                      <w:lang w:val="en-US" w:eastAsia="zh-CN"/>
                    </w:rPr>
                    <w:t>本项目生产位于密闭生产车间内。项目水帘废水作为危险废物处置，委托有资质单位外运处置，不外排，生活污水经化粪池处理后用于周边林地浇灌，不外排</w:t>
                  </w:r>
                  <w:r>
                    <w:rPr>
                      <w:rFonts w:hint="eastAsia" w:cs="Times New Roman"/>
                      <w:color w:val="auto"/>
                      <w:kern w:val="0"/>
                      <w:sz w:val="21"/>
                      <w:szCs w:val="21"/>
                      <w:u w:val="none" w:color="auto"/>
                      <w:vertAlign w:val="baseline"/>
                      <w:lang w:val="en-US" w:eastAsia="zh-CN"/>
                    </w:rPr>
                    <w:t>。</w:t>
                  </w:r>
                  <w:r>
                    <w:rPr>
                      <w:rFonts w:hint="eastAsia" w:ascii="Times New Roman" w:hAnsi="Times New Roman" w:cs="Times New Roman"/>
                      <w:color w:val="auto"/>
                      <w:kern w:val="0"/>
                      <w:sz w:val="21"/>
                      <w:szCs w:val="21"/>
                      <w:u w:val="none" w:color="auto"/>
                      <w:vertAlign w:val="baseline"/>
                      <w:lang w:val="en-US" w:eastAsia="zh-CN"/>
                    </w:rPr>
                    <w:t>本项目所产生的有机废气通过负压收集+活性炭吸附+催化燃烧/二级活性炭后经15m排气筒处理达标后外排。</w:t>
                  </w:r>
                </w:p>
                <w:p w14:paraId="2493D030">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p>
              </w:tc>
              <w:tc>
                <w:tcPr>
                  <w:tcW w:w="366" w:type="dxa"/>
                  <w:tcBorders>
                    <w:top w:val="single" w:color="000000" w:sz="4" w:space="0"/>
                    <w:left w:val="single" w:color="000000" w:sz="4" w:space="0"/>
                    <w:bottom w:val="single" w:color="000000" w:sz="4" w:space="0"/>
                    <w:right w:val="nil"/>
                    <w:tl2br w:val="nil"/>
                    <w:tr2bl w:val="nil"/>
                  </w:tcBorders>
                  <w:noWrap w:val="0"/>
                  <w:vAlign w:val="center"/>
                </w:tcPr>
                <w:p w14:paraId="0C7438AA">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符合</w:t>
                  </w:r>
                </w:p>
              </w:tc>
            </w:tr>
            <w:tr w14:paraId="7311975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9" w:hRule="atLeast"/>
                <w:jc w:val="center"/>
              </w:trPr>
              <w:tc>
                <w:tcPr>
                  <w:tcW w:w="433" w:type="dxa"/>
                  <w:vMerge w:val="continue"/>
                  <w:tcBorders>
                    <w:left w:val="nil"/>
                    <w:right w:val="single" w:color="000000" w:sz="4" w:space="0"/>
                    <w:tl2br w:val="nil"/>
                    <w:tr2bl w:val="nil"/>
                  </w:tcBorders>
                  <w:noWrap w:val="0"/>
                  <w:vAlign w:val="center"/>
                </w:tcPr>
                <w:p w14:paraId="3A6E16A3">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p>
              </w:tc>
              <w:tc>
                <w:tcPr>
                  <w:tcW w:w="55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B5CA560">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环境风险防控</w:t>
                  </w:r>
                </w:p>
              </w:tc>
              <w:tc>
                <w:tcPr>
                  <w:tcW w:w="369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975E6A4">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 xml:space="preserve">1.完善重污染天气应急体系。利用预测平台等准确分析研判北方传输污染路径和传输时间，适时发布重污染天气应急响应。完善环境空气重污染应急测报、信息发布、部门协作、市区联动、措施落实、社会参加等应急响应体系，提高应急反应能力，落实重点企业错 </w:t>
                  </w:r>
                </w:p>
                <w:p w14:paraId="68E3878E">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峰生产。</w:t>
                  </w:r>
                </w:p>
                <w:p w14:paraId="096ADBEB">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 xml:space="preserve">2.持续开展地下水环境状况调查评估，划定地下水型饮用水水源补给区并强化保护措施，开展地下水污染防治重点区划定及污染风险管控。实施水土环境风险协同防控。 </w:t>
                  </w:r>
                </w:p>
                <w:p w14:paraId="4DF94B0D">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 xml:space="preserve">3.将生产、储存易燃易爆物品的工厂和仓库设在中心城区边缘的独立安全地段。在中心城区划分为禁止设立区、过渡设立区、建议设立区三个区域，并实施危化品的分类控制。划定禁止设立区，包括雨湖区、岳塘区、湘潭高新区、湘潭经开区、岳塘经开区的商业及 </w:t>
                  </w:r>
                </w:p>
                <w:p w14:paraId="1435E924">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 xml:space="preserve">居住区，区域内不得设立危险化学品生产和储存单位，现状位于禁止设立区的危化品生产、储存企业应全部搬迁。划定过渡设立区，包括湘潭经开区、湘潭高新区已设危险化学品生产和储存单位的区域，原则上不允许扩容和新增，近期现状危险品生产和储存企业可保留，远期引导搬迁。划定建议设立区，包括保税区、岳塘经开区的危化品存储区，并按照国家相关标准进行管理。 </w:t>
                  </w:r>
                </w:p>
                <w:p w14:paraId="5C3F100A">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 xml:space="preserve">4.严格按照国家相关法规规范，加强对加油加气站、荷塘天然气储配站、中石油湘潭油库和湘潭电厂油库等重大危险源的管控，强化潜湘支线、樟湘支线、忠武线及湘娄邵支线等长输管线和湘潭—娄底成品油管道等重大危险廊道的管理。严格管理危险品运输，规划 </w:t>
                  </w:r>
                </w:p>
                <w:p w14:paraId="5C9B7B8E">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 xml:space="preserve">京港澳高速公路、许广高速公路、沪昆高速公路及武广大道为过境危险品运输通道，北二环路、西二环路、东二环路为城区危险品运输通道。 </w:t>
                  </w:r>
                </w:p>
                <w:p w14:paraId="22EF61DA">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 xml:space="preserve">5.可能发生突发环境事件的污染物排放企业，生产、储存、运输、使用危险化学品的企业，产生、收集、贮存、运输、利用、处置危险废物的企业，尾矿库企业等应当编制和实施环境应急预案。鼓励其他企业制定单独的环境应急预案，或在突发事件应急预案中制定 </w:t>
                  </w:r>
                </w:p>
                <w:p w14:paraId="07CF3F43">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环境应急预案专章，并备案。</w:t>
                  </w:r>
                </w:p>
              </w:tc>
              <w:tc>
                <w:tcPr>
                  <w:tcW w:w="157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C31A9F3">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eastAsia" w:cs="Times New Roman"/>
                      <w:color w:val="auto"/>
                      <w:kern w:val="0"/>
                      <w:sz w:val="21"/>
                      <w:szCs w:val="21"/>
                      <w:u w:val="none" w:color="auto"/>
                      <w:vertAlign w:val="baseline"/>
                      <w:lang w:val="en-US" w:eastAsia="zh-CN"/>
                    </w:rPr>
                    <w:t>本项目将</w:t>
                  </w:r>
                  <w:r>
                    <w:rPr>
                      <w:rFonts w:hint="default" w:ascii="Times New Roman" w:hAnsi="Times New Roman" w:cs="Times New Roman"/>
                      <w:color w:val="auto"/>
                      <w:kern w:val="0"/>
                      <w:sz w:val="21"/>
                      <w:szCs w:val="21"/>
                      <w:u w:val="none" w:color="auto"/>
                      <w:vertAlign w:val="baseline"/>
                      <w:lang w:val="en-US" w:eastAsia="zh-CN"/>
                    </w:rPr>
                    <w:t>根据《湖南省突发环境事件应急预案管理办法（修订版）》（湘环发〔2024〕49号）要求制定《突发环境事件应急预案》</w:t>
                  </w:r>
                </w:p>
              </w:tc>
              <w:tc>
                <w:tcPr>
                  <w:tcW w:w="366" w:type="dxa"/>
                  <w:tcBorders>
                    <w:top w:val="single" w:color="000000" w:sz="4" w:space="0"/>
                    <w:left w:val="single" w:color="000000" w:sz="4" w:space="0"/>
                    <w:bottom w:val="single" w:color="000000" w:sz="4" w:space="0"/>
                    <w:right w:val="nil"/>
                    <w:tl2br w:val="nil"/>
                    <w:tr2bl w:val="nil"/>
                  </w:tcBorders>
                  <w:noWrap w:val="0"/>
                  <w:vAlign w:val="center"/>
                </w:tcPr>
                <w:p w14:paraId="251765C4">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符合</w:t>
                  </w:r>
                </w:p>
              </w:tc>
            </w:tr>
            <w:tr w14:paraId="74DFE77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74" w:hRule="atLeast"/>
                <w:jc w:val="center"/>
              </w:trPr>
              <w:tc>
                <w:tcPr>
                  <w:tcW w:w="433" w:type="dxa"/>
                  <w:vMerge w:val="continue"/>
                  <w:tcBorders>
                    <w:left w:val="nil"/>
                    <w:bottom w:val="single" w:color="000000" w:sz="12" w:space="0"/>
                    <w:right w:val="single" w:color="000000" w:sz="4" w:space="0"/>
                    <w:tl2br w:val="nil"/>
                    <w:tr2bl w:val="nil"/>
                  </w:tcBorders>
                  <w:noWrap w:val="0"/>
                  <w:vAlign w:val="center"/>
                </w:tcPr>
                <w:p w14:paraId="1E3DA191">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p>
              </w:tc>
              <w:tc>
                <w:tcPr>
                  <w:tcW w:w="552" w:type="dxa"/>
                  <w:tcBorders>
                    <w:top w:val="single" w:color="000000" w:sz="4" w:space="0"/>
                    <w:left w:val="single" w:color="000000" w:sz="4" w:space="0"/>
                    <w:bottom w:val="single" w:color="000000" w:sz="12" w:space="0"/>
                    <w:right w:val="single" w:color="000000" w:sz="4" w:space="0"/>
                    <w:tl2br w:val="nil"/>
                    <w:tr2bl w:val="nil"/>
                  </w:tcBorders>
                  <w:noWrap w:val="0"/>
                  <w:vAlign w:val="center"/>
                </w:tcPr>
                <w:p w14:paraId="72AA1096">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资源开发效率要求</w:t>
                  </w:r>
                </w:p>
              </w:tc>
              <w:tc>
                <w:tcPr>
                  <w:tcW w:w="3690" w:type="dxa"/>
                  <w:tcBorders>
                    <w:top w:val="single" w:color="000000" w:sz="4" w:space="0"/>
                    <w:left w:val="single" w:color="000000" w:sz="4" w:space="0"/>
                    <w:bottom w:val="single" w:color="000000" w:sz="12" w:space="0"/>
                    <w:right w:val="single" w:color="000000" w:sz="4" w:space="0"/>
                    <w:tl2br w:val="nil"/>
                    <w:tr2bl w:val="nil"/>
                  </w:tcBorders>
                  <w:noWrap w:val="0"/>
                  <w:vAlign w:val="center"/>
                </w:tcPr>
                <w:p w14:paraId="74F1B7B9">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 xml:space="preserve">能源： </w:t>
                  </w:r>
                </w:p>
                <w:p w14:paraId="01A0F876">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 xml:space="preserve">1.县级城市完成高污染燃料禁燃区优化调整，扩大高污染燃料禁燃区范围，细化高污染燃料管控措施；推进工业园区集中供热、煤改气和煤改电，建设和完善热网工程，推进省级以上工业园区（产业集聚区）集中供热；重点抓好电力、工业、建筑、交通等重要领域的能效提升和节能工作。在工业领域推动钢铁、化工等高耗能产业燃煤锅炉全面淘汰退出；大力发展新能源，提高非化石能源消费比重。原则上不再新增自备燃煤机组，支持现有自备燃煤机组实施清洁能源替代。 </w:t>
                  </w:r>
                </w:p>
                <w:p w14:paraId="1D98B9E0">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 xml:space="preserve">2.到 2025 年，全市能源需求总量达到 1516.33 万吨标煤，年均增长 3%。到 2025 年，新能源装机占比 19.15%，非化石能源占一次能源消费比重为23%；电能占终端能源消费比重12.8%；电煤占煤炭消费比重 26.66%。到2025 年，单位生产总值能耗0.4734吨标煤/ </w:t>
                  </w:r>
                </w:p>
                <w:p w14:paraId="2A5D648C">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万元，年均下降 3.7%；非水可再生电力消纳权重、天然气储气能力等满足湖南省目标考核要求。到 2025 年，电力总装机达到 341.79 万</w:t>
                  </w:r>
                </w:p>
                <w:p w14:paraId="3E6F8DB8">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千瓦，年均增长4.85%。</w:t>
                  </w:r>
                </w:p>
                <w:p w14:paraId="2347E087">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3.重点推进风能和太阳能资源开发，因地制宜地推进生物质能和地热能利用，大幅提升全市新能源开发利用水平。重点开展湘乡市和湘潭县风力资源开发利用。在湘潭经开区、竹埠港等区域建设规模适度的区域能源中心，推进智能化集中供能工程，重点推进湖南华申湘潭九华分布式能源站、竹埠港集中供冷供热工程等项目建设。</w:t>
                  </w:r>
                </w:p>
                <w:p w14:paraId="70169C0E">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水资源：</w:t>
                  </w:r>
                </w:p>
                <w:p w14:paraId="2D88991E">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1.市、县要重点推进重大产业布局和各类开发区规划水资源论证，严格建设项目水资源论证，对未依法完成水资源论证工作的建设</w:t>
                  </w:r>
                </w:p>
                <w:p w14:paraId="627B1AB1">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项目，建设单位不得擅自开工建设和投产使用。严格规范取水许可审批管理，从严核定许可水量，对取用水总量已达到或超过控制指标3</w:t>
                  </w:r>
                </w:p>
                <w:p w14:paraId="506C61ED">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的地区暂停审批新增取水，对取用水总量接近控制指标的地区限制审批新增取水。</w:t>
                  </w:r>
                </w:p>
                <w:p w14:paraId="6BFC2AA1">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2.强化重点监控用水单位管理，将年用水量达到50万立方米以上的工业和服务业用水单位纳入重点监控用水单位名录，强化取用水计量管理，对主要用水设备、工艺和水消耗情况及用水效率等进行监控管理，完善取用水统计和核查体系，建立健全用水统计台账。</w:t>
                  </w:r>
                </w:p>
                <w:p w14:paraId="10932D9C">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3.加大农业节水力度，通过提升节水灌溉技术、改善节水灌溉工程、加强工程管理等措施提高农田灌溉水有效利用系数。加强城市</w:t>
                  </w:r>
                </w:p>
                <w:p w14:paraId="534DC3D6">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生活节水。通过控制城市管网漏失、推广节水型器具使用、优化水价改革、建立和完善城市再生水利用技术体系、推广应用城市居住小</w:t>
                  </w:r>
                </w:p>
                <w:p w14:paraId="150A1552">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区再生水利用技术等措施促进城市生活节水。加大工业节水力度。通过调整产业结构，形成节水工业布局；提高工业企业内部水的重复</w:t>
                  </w:r>
                </w:p>
                <w:p w14:paraId="23F706B2">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利用率；提高工艺节水贡献量；投资推广和研发高科技含量的用水节水设备和废水处理回用技术等手段促进工业节水。</w:t>
                  </w:r>
                </w:p>
                <w:p w14:paraId="3F3FD7AA">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4.到2025年，全市年用水总量控制在20.7亿立方米以内，全市万元国内生产总值用水量下降率不低于10.10%、全市万元工业增加值用水量下降率不低于18.68%、农田灌溉水有效利用系数不低于0.583。</w:t>
                  </w:r>
                </w:p>
                <w:p w14:paraId="6E8AA84F">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岳塘区：到2025年，岳塘区年用水总量控制在4.99亿立方米以内，万元国内生产总值用水量63.1m³/万元，与2020年相比下降率不低于5.61%；万元工业增加值用水量123.3m³/万元，与2020年相比下降率不低于0.65%。</w:t>
                  </w:r>
                </w:p>
                <w:p w14:paraId="5807E29D">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土地资源：</w:t>
                  </w:r>
                </w:p>
                <w:p w14:paraId="4CBC2DD8">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5.严格执行各类土地使用标准。严把项目准入关，坚决贯彻执行《限制用地项目目录》《禁止用地项目目录》《工业项目建设用地</w:t>
                  </w:r>
                </w:p>
                <w:p w14:paraId="201C1DD5">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控制指标》及公路、铁路、民用航空运输机场、电力、煤炭、石油和天然气工程项目建设用地等控制指标。凡纳入禁止用地项目目录，不符合限制用地项目目录规定条件的各类建设用地，不得办理土地和规划审批、供应手续。</w:t>
                  </w:r>
                </w:p>
                <w:p w14:paraId="611629FF">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6.严格落实永久基本农田特殊保护制度，永久基本农田一经划定，未经批准任何单位和个人不得擅自占用或改变用途。永久基本农田不得转为林地、草地、园地等其他农用地及农业设施建设用地。严禁占用永久基本农田发展林果业和挖塘养鱼；严禁占用永久基本</w:t>
                  </w:r>
                  <w:r>
                    <w:rPr>
                      <w:rFonts w:hint="eastAsia" w:cs="Times New Roman"/>
                      <w:color w:val="auto"/>
                      <w:kern w:val="0"/>
                      <w:sz w:val="21"/>
                      <w:szCs w:val="21"/>
                      <w:u w:val="none" w:color="auto"/>
                      <w:vertAlign w:val="baseline"/>
                      <w:lang w:val="en-US" w:eastAsia="zh-CN"/>
                    </w:rPr>
                    <w:t>农田</w:t>
                  </w:r>
                </w:p>
                <w:p w14:paraId="3768EFD2">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田种植苗木、草皮等用于绿化装饰以及其他破坏耕作层的植物；严禁占用永久基本农田挖湖造景、建设绿化带；严禁新增占用永久基本农田建设畜禽养殖设施、水产养殖设施和破坏耕作层的种植业设施。</w:t>
                  </w:r>
                </w:p>
                <w:p w14:paraId="5F8EDF20">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7.积极推进存量工业用地再开发，逐步腾退产业园区边界线外的低效工业用地，提升工业用地绩效水平。强化生产性项目用地指标约束，严格生产性项目准入管理，新增生产性项目原则上布局在产业园区内。</w:t>
                  </w:r>
                </w:p>
                <w:p w14:paraId="77ED1193">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8.禁止任何单位和个人在国土空间规划确定的禁止开垦的范围内从事土地开发活动。非农建设必须节约使用土地，可以利用荒地的，不得占用耕地；可以利用劣地的，不得占用好地。禁止占用耕地建窑、建坟或者擅自在耕地上建房、挖砂、采石、采矿、取土等。</w:t>
                  </w:r>
                </w:p>
                <w:p w14:paraId="74C212BA">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p>
              </w:tc>
              <w:tc>
                <w:tcPr>
                  <w:tcW w:w="1577" w:type="dxa"/>
                  <w:tcBorders>
                    <w:top w:val="single" w:color="000000" w:sz="4" w:space="0"/>
                    <w:left w:val="single" w:color="000000" w:sz="4" w:space="0"/>
                    <w:bottom w:val="single" w:color="000000" w:sz="12" w:space="0"/>
                    <w:right w:val="single" w:color="000000" w:sz="4" w:space="0"/>
                    <w:tl2br w:val="nil"/>
                    <w:tr2bl w:val="nil"/>
                  </w:tcBorders>
                  <w:noWrap w:val="0"/>
                  <w:vAlign w:val="center"/>
                </w:tcPr>
                <w:p w14:paraId="323EC033">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eastAsia" w:ascii="Times New Roman" w:hAnsi="Times New Roman" w:cs="Times New Roman"/>
                      <w:color w:val="auto"/>
                      <w:kern w:val="0"/>
                      <w:sz w:val="21"/>
                      <w:szCs w:val="21"/>
                      <w:u w:val="none" w:color="auto"/>
                      <w:vertAlign w:val="baseline"/>
                      <w:lang w:val="en-US" w:eastAsia="zh-CN"/>
                    </w:rPr>
                    <w:t>本项目主要使用电能和液化石油气，日常生产注重节能减水，项目水帘废水作为危险废物处置，委托有资质单位外运处置，不外排，生活污水经化粪池处理后用于周边林地浇灌，不外排</w:t>
                  </w:r>
                  <w:r>
                    <w:rPr>
                      <w:rFonts w:hint="eastAsia" w:cs="Times New Roman"/>
                      <w:color w:val="auto"/>
                      <w:kern w:val="0"/>
                      <w:sz w:val="21"/>
                      <w:szCs w:val="21"/>
                      <w:u w:val="none" w:color="auto"/>
                      <w:vertAlign w:val="baseline"/>
                      <w:lang w:val="en-US" w:eastAsia="zh-CN"/>
                    </w:rPr>
                    <w:t>。</w:t>
                  </w:r>
                  <w:r>
                    <w:rPr>
                      <w:rFonts w:hint="eastAsia" w:ascii="Times New Roman" w:hAnsi="Times New Roman" w:cs="Times New Roman"/>
                      <w:color w:val="auto"/>
                      <w:kern w:val="0"/>
                      <w:sz w:val="21"/>
                      <w:szCs w:val="21"/>
                      <w:u w:val="none" w:color="auto"/>
                      <w:vertAlign w:val="baseline"/>
                      <w:lang w:val="en-US" w:eastAsia="zh-CN"/>
                    </w:rPr>
                    <w:t>项目建设不占用基本农田及林地等，建设区域内用地为工业用地。</w:t>
                  </w:r>
                </w:p>
              </w:tc>
              <w:tc>
                <w:tcPr>
                  <w:tcW w:w="366" w:type="dxa"/>
                  <w:tcBorders>
                    <w:top w:val="single" w:color="000000" w:sz="4" w:space="0"/>
                    <w:left w:val="single" w:color="000000" w:sz="4" w:space="0"/>
                    <w:bottom w:val="single" w:color="000000" w:sz="12" w:space="0"/>
                    <w:right w:val="nil"/>
                    <w:tl2br w:val="nil"/>
                    <w:tr2bl w:val="nil"/>
                  </w:tcBorders>
                  <w:noWrap w:val="0"/>
                  <w:vAlign w:val="center"/>
                </w:tcPr>
                <w:p w14:paraId="7D47A822">
                  <w:pPr>
                    <w:autoSpaceDE w:val="0"/>
                    <w:autoSpaceDN w:val="0"/>
                    <w:adjustRightInd w:val="0"/>
                    <w:snapToGrid w:val="0"/>
                    <w:jc w:val="left"/>
                    <w:rPr>
                      <w:rFonts w:hint="default" w:ascii="Times New Roman" w:hAnsi="Times New Roman" w:cs="Times New Roman"/>
                      <w:color w:val="auto"/>
                      <w:kern w:val="0"/>
                      <w:sz w:val="21"/>
                      <w:szCs w:val="21"/>
                      <w:u w:val="none" w:color="auto"/>
                      <w:vertAlign w:val="baseline"/>
                      <w:lang w:val="en-US" w:eastAsia="zh-CN"/>
                    </w:rPr>
                  </w:pPr>
                  <w:r>
                    <w:rPr>
                      <w:rFonts w:hint="default" w:ascii="Times New Roman" w:hAnsi="Times New Roman" w:cs="Times New Roman"/>
                      <w:color w:val="auto"/>
                      <w:kern w:val="0"/>
                      <w:sz w:val="21"/>
                      <w:szCs w:val="21"/>
                      <w:u w:val="none" w:color="auto"/>
                      <w:vertAlign w:val="baseline"/>
                      <w:lang w:val="en-US" w:eastAsia="zh-CN"/>
                    </w:rPr>
                    <w:t>符合</w:t>
                  </w:r>
                </w:p>
              </w:tc>
            </w:tr>
          </w:tbl>
          <w:p w14:paraId="1C122B03">
            <w:pPr>
              <w:widowControl/>
              <w:spacing w:before="63" w:beforeLines="20" w:line="240" w:lineRule="auto"/>
              <w:ind w:firstLine="0" w:firstLineChars="0"/>
              <w:jc w:val="center"/>
              <w:rPr>
                <w:rFonts w:ascii="Times New Roman" w:hAnsi="Times New Roman" w:eastAsia="宋体" w:cs="Times New Roman"/>
                <w:b/>
                <w:color w:val="auto"/>
                <w:kern w:val="0"/>
                <w:sz w:val="24"/>
                <w:szCs w:val="24"/>
                <w:u w:val="single" w:color="auto"/>
                <w:lang w:val="en-US" w:eastAsia="zh-CN" w:bidi="ar-SA"/>
              </w:rPr>
            </w:pPr>
            <w:r>
              <w:rPr>
                <w:rFonts w:ascii="Times New Roman" w:hAnsi="Times New Roman" w:eastAsia="宋体" w:cs="Times New Roman"/>
                <w:b/>
                <w:color w:val="auto"/>
                <w:kern w:val="0"/>
                <w:sz w:val="24"/>
                <w:szCs w:val="24"/>
                <w:u w:val="single" w:color="auto"/>
                <w:lang w:val="en-US" w:eastAsia="zh-CN" w:bidi="ar-SA"/>
              </w:rPr>
              <w:t>表1-</w:t>
            </w:r>
            <w:r>
              <w:rPr>
                <w:rFonts w:hint="eastAsia" w:cs="Times New Roman"/>
                <w:b/>
                <w:color w:val="auto"/>
                <w:kern w:val="0"/>
                <w:sz w:val="24"/>
                <w:szCs w:val="24"/>
                <w:u w:val="single" w:color="auto"/>
                <w:lang w:val="en-US" w:eastAsia="zh-CN" w:bidi="ar-SA"/>
              </w:rPr>
              <w:t>3</w:t>
            </w:r>
            <w:r>
              <w:rPr>
                <w:rFonts w:hint="eastAsia" w:ascii="Times New Roman" w:hAnsi="Times New Roman" w:eastAsia="宋体" w:cs="Times New Roman"/>
                <w:b/>
                <w:color w:val="auto"/>
                <w:kern w:val="0"/>
                <w:sz w:val="24"/>
                <w:szCs w:val="24"/>
                <w:u w:val="single" w:color="auto"/>
                <w:lang w:val="en-US" w:eastAsia="zh-CN" w:bidi="ar-SA"/>
              </w:rPr>
              <w:t xml:space="preserve">  与湘潭县易俗河镇</w:t>
            </w:r>
            <w:r>
              <w:rPr>
                <w:rFonts w:hint="eastAsia" w:cs="Times New Roman"/>
                <w:b/>
                <w:color w:val="auto"/>
                <w:kern w:val="0"/>
                <w:sz w:val="24"/>
                <w:szCs w:val="24"/>
                <w:u w:val="single" w:color="auto"/>
                <w:lang w:val="en-US" w:eastAsia="zh-CN" w:bidi="ar-SA"/>
              </w:rPr>
              <w:t>生态环境分区管控</w:t>
            </w:r>
            <w:r>
              <w:rPr>
                <w:rFonts w:ascii="Times New Roman" w:hAnsi="Times New Roman" w:eastAsia="宋体" w:cs="Times New Roman"/>
                <w:b/>
                <w:color w:val="auto"/>
                <w:kern w:val="0"/>
                <w:sz w:val="24"/>
                <w:szCs w:val="24"/>
                <w:u w:val="single" w:color="auto"/>
                <w:lang w:val="en-US" w:eastAsia="zh-CN" w:bidi="ar-SA"/>
              </w:rPr>
              <w:t>符合性分析</w:t>
            </w:r>
          </w:p>
          <w:tbl>
            <w:tblPr>
              <w:tblStyle w:val="3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8"/>
              <w:gridCol w:w="3913"/>
              <w:gridCol w:w="1705"/>
              <w:gridCol w:w="670"/>
            </w:tblGrid>
            <w:tr w14:paraId="0BB364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3" w:type="pct"/>
                  <w:tcBorders>
                    <w:tl2br w:val="nil"/>
                    <w:tr2bl w:val="nil"/>
                  </w:tcBorders>
                  <w:noWrap w:val="0"/>
                  <w:vAlign w:val="center"/>
                </w:tcPr>
                <w:p w14:paraId="2BC987C6">
                  <w:pPr>
                    <w:autoSpaceDE w:val="0"/>
                    <w:autoSpaceDN w:val="0"/>
                    <w:adjustRightInd w:val="0"/>
                    <w:snapToGrid w:val="0"/>
                    <w:spacing w:line="240" w:lineRule="auto"/>
                    <w:jc w:val="center"/>
                    <w:rPr>
                      <w:rFonts w:hint="default" w:ascii="Times New Roman" w:hAnsi="Times New Roman" w:eastAsia="宋体" w:cs="Times New Roman"/>
                      <w:b/>
                      <w:bCs/>
                      <w:color w:val="auto"/>
                      <w:kern w:val="0"/>
                      <w:szCs w:val="21"/>
                      <w:u w:val="none" w:color="auto"/>
                    </w:rPr>
                  </w:pPr>
                  <w:r>
                    <w:rPr>
                      <w:rFonts w:hint="default" w:ascii="Times New Roman" w:hAnsi="Times New Roman" w:eastAsia="宋体" w:cs="Times New Roman"/>
                      <w:b/>
                      <w:bCs/>
                      <w:color w:val="auto"/>
                      <w:kern w:val="0"/>
                      <w:szCs w:val="21"/>
                      <w:u w:val="none" w:color="auto"/>
                    </w:rPr>
                    <w:t>管控维度</w:t>
                  </w:r>
                </w:p>
              </w:tc>
              <w:tc>
                <w:tcPr>
                  <w:tcW w:w="2803" w:type="pct"/>
                  <w:tcBorders>
                    <w:tl2br w:val="nil"/>
                    <w:tr2bl w:val="nil"/>
                  </w:tcBorders>
                  <w:noWrap w:val="0"/>
                  <w:vAlign w:val="center"/>
                </w:tcPr>
                <w:p w14:paraId="53DA6A3F">
                  <w:pPr>
                    <w:autoSpaceDE w:val="0"/>
                    <w:autoSpaceDN w:val="0"/>
                    <w:adjustRightInd w:val="0"/>
                    <w:snapToGrid w:val="0"/>
                    <w:spacing w:line="240" w:lineRule="auto"/>
                    <w:jc w:val="center"/>
                    <w:rPr>
                      <w:rFonts w:hint="default" w:ascii="Times New Roman" w:hAnsi="Times New Roman" w:eastAsia="宋体" w:cs="Times New Roman"/>
                      <w:b/>
                      <w:bCs/>
                      <w:color w:val="auto"/>
                      <w:kern w:val="0"/>
                      <w:szCs w:val="21"/>
                      <w:u w:val="none" w:color="auto"/>
                    </w:rPr>
                  </w:pPr>
                  <w:r>
                    <w:rPr>
                      <w:rFonts w:hint="default" w:ascii="Times New Roman" w:hAnsi="Times New Roman" w:eastAsia="宋体" w:cs="Times New Roman"/>
                      <w:b/>
                      <w:bCs/>
                      <w:color w:val="auto"/>
                      <w:kern w:val="0"/>
                      <w:szCs w:val="21"/>
                      <w:u w:val="none" w:color="auto"/>
                    </w:rPr>
                    <w:t>清单中管控要求</w:t>
                  </w:r>
                </w:p>
              </w:tc>
              <w:tc>
                <w:tcPr>
                  <w:tcW w:w="1222" w:type="pct"/>
                  <w:tcBorders>
                    <w:tl2br w:val="nil"/>
                    <w:tr2bl w:val="nil"/>
                  </w:tcBorders>
                  <w:noWrap w:val="0"/>
                  <w:vAlign w:val="center"/>
                </w:tcPr>
                <w:p w14:paraId="601CB613">
                  <w:pPr>
                    <w:autoSpaceDE w:val="0"/>
                    <w:autoSpaceDN w:val="0"/>
                    <w:adjustRightInd w:val="0"/>
                    <w:snapToGrid w:val="0"/>
                    <w:spacing w:line="240" w:lineRule="auto"/>
                    <w:jc w:val="center"/>
                    <w:rPr>
                      <w:rFonts w:hint="default" w:ascii="Times New Roman" w:hAnsi="Times New Roman" w:eastAsia="宋体" w:cs="Times New Roman"/>
                      <w:b/>
                      <w:bCs/>
                      <w:color w:val="auto"/>
                      <w:kern w:val="0"/>
                      <w:szCs w:val="21"/>
                      <w:u w:val="none" w:color="auto"/>
                    </w:rPr>
                  </w:pPr>
                  <w:r>
                    <w:rPr>
                      <w:rFonts w:hint="default" w:ascii="Times New Roman" w:hAnsi="Times New Roman" w:eastAsia="宋体" w:cs="Times New Roman"/>
                      <w:b/>
                      <w:bCs/>
                      <w:color w:val="auto"/>
                      <w:kern w:val="0"/>
                      <w:szCs w:val="21"/>
                      <w:u w:val="none" w:color="auto"/>
                    </w:rPr>
                    <w:t>相符性分析</w:t>
                  </w:r>
                </w:p>
              </w:tc>
              <w:tc>
                <w:tcPr>
                  <w:tcW w:w="479" w:type="pct"/>
                  <w:tcBorders>
                    <w:tl2br w:val="nil"/>
                    <w:tr2bl w:val="nil"/>
                  </w:tcBorders>
                  <w:noWrap w:val="0"/>
                  <w:vAlign w:val="center"/>
                </w:tcPr>
                <w:p w14:paraId="58A29810">
                  <w:pPr>
                    <w:autoSpaceDE w:val="0"/>
                    <w:autoSpaceDN w:val="0"/>
                    <w:adjustRightInd w:val="0"/>
                    <w:snapToGrid w:val="0"/>
                    <w:spacing w:line="240" w:lineRule="auto"/>
                    <w:jc w:val="center"/>
                    <w:rPr>
                      <w:rFonts w:hint="default" w:ascii="Times New Roman" w:hAnsi="Times New Roman" w:eastAsia="宋体" w:cs="Times New Roman"/>
                      <w:b/>
                      <w:bCs/>
                      <w:color w:val="auto"/>
                      <w:kern w:val="0"/>
                      <w:szCs w:val="21"/>
                      <w:u w:val="none" w:color="auto"/>
                    </w:rPr>
                  </w:pPr>
                  <w:r>
                    <w:rPr>
                      <w:rFonts w:hint="default" w:ascii="Times New Roman" w:hAnsi="Times New Roman" w:eastAsia="宋体" w:cs="Times New Roman"/>
                      <w:b/>
                      <w:bCs/>
                      <w:color w:val="auto"/>
                      <w:kern w:val="0"/>
                      <w:szCs w:val="21"/>
                      <w:u w:val="none" w:color="auto"/>
                    </w:rPr>
                    <w:t>相符性</w:t>
                  </w:r>
                </w:p>
              </w:tc>
            </w:tr>
            <w:tr w14:paraId="0C4858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8" w:type="dxa"/>
                  <w:tcBorders>
                    <w:tl2br w:val="nil"/>
                    <w:tr2bl w:val="nil"/>
                  </w:tcBorders>
                  <w:noWrap w:val="0"/>
                  <w:vAlign w:val="center"/>
                </w:tcPr>
                <w:p w14:paraId="44160ADB">
                  <w:pPr>
                    <w:widowControl w:val="0"/>
                    <w:autoSpaceDE w:val="0"/>
                    <w:autoSpaceDN w:val="0"/>
                    <w:spacing w:beforeLines="0" w:after="0" w:afterLines="0"/>
                    <w:jc w:val="center"/>
                    <w:rPr>
                      <w:rFonts w:hint="default" w:ascii="Times New Roman" w:hAnsi="Times New Roman" w:eastAsia="宋体" w:cs="Times New Roman"/>
                      <w:b w:val="0"/>
                      <w:bCs w:val="0"/>
                      <w:color w:val="auto"/>
                      <w:kern w:val="0"/>
                      <w:szCs w:val="21"/>
                      <w:u w:val="none" w:color="auto"/>
                    </w:rPr>
                  </w:pPr>
                  <w:r>
                    <w:rPr>
                      <w:rFonts w:hint="default" w:ascii="Times New Roman" w:hAnsi="Times New Roman" w:cs="Times New Roman"/>
                      <w:b w:val="0"/>
                      <w:color w:val="auto"/>
                      <w:sz w:val="21"/>
                      <w:szCs w:val="21"/>
                      <w:u w:val="none" w:color="auto"/>
                    </w:rPr>
                    <w:t>空间布局约束</w:t>
                  </w:r>
                </w:p>
              </w:tc>
              <w:tc>
                <w:tcPr>
                  <w:tcW w:w="3913" w:type="dxa"/>
                  <w:tcBorders>
                    <w:tl2br w:val="nil"/>
                    <w:tr2bl w:val="nil"/>
                  </w:tcBorders>
                  <w:noWrap w:val="0"/>
                  <w:vAlign w:val="center"/>
                </w:tcPr>
                <w:p w14:paraId="68045E17">
                  <w:pPr>
                    <w:widowControl w:val="0"/>
                    <w:numPr>
                      <w:ilvl w:val="0"/>
                      <w:numId w:val="0"/>
                    </w:numPr>
                    <w:autoSpaceDE w:val="0"/>
                    <w:autoSpaceDN w:val="0"/>
                    <w:spacing w:beforeLines="0" w:after="0" w:afterLines="0"/>
                    <w:ind w:left="0" w:leftChars="0" w:firstLine="0" w:firstLineChars="0"/>
                    <w:rPr>
                      <w:rFonts w:hint="default" w:ascii="Times New Roman" w:hAnsi="Times New Roman" w:eastAsia="宋体" w:cs="Times New Roman"/>
                      <w:color w:val="auto"/>
                      <w:kern w:val="0"/>
                      <w:sz w:val="21"/>
                      <w:szCs w:val="21"/>
                      <w:u w:val="none" w:color="auto"/>
                      <w:lang w:val="en-US" w:eastAsia="zh-CN" w:bidi="ar-SA"/>
                    </w:rPr>
                  </w:pPr>
                  <w:r>
                    <w:rPr>
                      <w:rFonts w:hint="default" w:ascii="Times New Roman" w:hAnsi="Times New Roman" w:cs="Times New Roman"/>
                      <w:b w:val="0"/>
                      <w:color w:val="auto"/>
                      <w:sz w:val="21"/>
                      <w:szCs w:val="21"/>
                      <w:u w:val="none" w:color="auto"/>
                    </w:rPr>
                    <w:t>(1.1)强化易俗河镇梅林村地下水源地保护措施，确保饮用水水源安全。(1.2)进一步配套完善规模养殖场、养殖户的粪污利用、处理设施装备</w:t>
                  </w:r>
                  <w:r>
                    <w:rPr>
                      <w:rFonts w:hint="eastAsia" w:ascii="Times New Roman" w:hAnsi="Times New Roman" w:cs="Times New Roman"/>
                      <w:b w:val="0"/>
                      <w:color w:val="auto"/>
                      <w:sz w:val="21"/>
                      <w:szCs w:val="21"/>
                      <w:u w:val="none" w:color="auto"/>
                      <w:lang w:eastAsia="zh-CN"/>
                    </w:rPr>
                    <w:t>：</w:t>
                  </w:r>
                  <w:r>
                    <w:rPr>
                      <w:rFonts w:hint="default" w:ascii="Times New Roman" w:hAnsi="Times New Roman" w:cs="Times New Roman"/>
                      <w:b w:val="0"/>
                      <w:color w:val="auto"/>
                      <w:sz w:val="21"/>
                      <w:szCs w:val="21"/>
                      <w:u w:val="none" w:color="auto"/>
                    </w:rPr>
                    <w:t>建立种养结合长效运行机制</w:t>
                  </w:r>
                  <w:r>
                    <w:rPr>
                      <w:rFonts w:hint="eastAsia" w:ascii="Times New Roman" w:hAnsi="Times New Roman" w:cs="Times New Roman"/>
                      <w:b w:val="0"/>
                      <w:color w:val="auto"/>
                      <w:sz w:val="21"/>
                      <w:szCs w:val="21"/>
                      <w:u w:val="none" w:color="auto"/>
                      <w:lang w:eastAsia="zh-CN"/>
                    </w:rPr>
                    <w:t>：</w:t>
                  </w:r>
                  <w:r>
                    <w:rPr>
                      <w:rFonts w:hint="default" w:ascii="Times New Roman" w:hAnsi="Times New Roman" w:cs="Times New Roman"/>
                      <w:b w:val="0"/>
                      <w:color w:val="auto"/>
                      <w:sz w:val="21"/>
                      <w:szCs w:val="21"/>
                      <w:u w:val="none" w:color="auto"/>
                    </w:rPr>
                    <w:t>合理布局田间配套设施</w:t>
                  </w:r>
                  <w:r>
                    <w:rPr>
                      <w:rFonts w:hint="eastAsia" w:ascii="Times New Roman" w:hAnsi="Times New Roman" w:cs="Times New Roman"/>
                      <w:b w:val="0"/>
                      <w:color w:val="auto"/>
                      <w:sz w:val="21"/>
                      <w:szCs w:val="21"/>
                      <w:u w:val="none" w:color="auto"/>
                      <w:lang w:eastAsia="zh-CN"/>
                    </w:rPr>
                    <w:t>：</w:t>
                  </w:r>
                  <w:r>
                    <w:rPr>
                      <w:rFonts w:hint="default" w:ascii="Times New Roman" w:hAnsi="Times New Roman" w:cs="Times New Roman"/>
                      <w:b w:val="0"/>
                      <w:color w:val="auto"/>
                      <w:sz w:val="21"/>
                      <w:szCs w:val="21"/>
                      <w:u w:val="none" w:color="auto"/>
                    </w:rPr>
                    <w:t>加大有机肥的使用推广，提高有机肥替代率</w:t>
                  </w:r>
                  <w:r>
                    <w:rPr>
                      <w:rFonts w:hint="eastAsia" w:ascii="Times New Roman" w:hAnsi="Times New Roman" w:cs="Times New Roman"/>
                      <w:b w:val="0"/>
                      <w:color w:val="auto"/>
                      <w:sz w:val="21"/>
                      <w:szCs w:val="21"/>
                      <w:u w:val="none" w:color="auto"/>
                      <w:lang w:eastAsia="zh-CN"/>
                    </w:rPr>
                    <w:t>：</w:t>
                  </w:r>
                  <w:r>
                    <w:rPr>
                      <w:rFonts w:hint="default" w:ascii="Times New Roman" w:hAnsi="Times New Roman" w:cs="Times New Roman"/>
                      <w:b w:val="0"/>
                      <w:color w:val="auto"/>
                      <w:sz w:val="21"/>
                      <w:szCs w:val="21"/>
                      <w:u w:val="none" w:color="auto"/>
                    </w:rPr>
                    <w:t>进一步提高规模养殖场以及畜禽养殖户的粪污综合利用效率</w:t>
                  </w:r>
                  <w:r>
                    <w:rPr>
                      <w:rFonts w:hint="eastAsia" w:ascii="Times New Roman" w:hAnsi="Times New Roman" w:cs="Times New Roman"/>
                      <w:b w:val="0"/>
                      <w:color w:val="auto"/>
                      <w:sz w:val="21"/>
                      <w:szCs w:val="21"/>
                      <w:u w:val="none" w:color="auto"/>
                      <w:lang w:eastAsia="zh-CN"/>
                    </w:rPr>
                    <w:t>：</w:t>
                  </w:r>
                  <w:r>
                    <w:rPr>
                      <w:rFonts w:hint="default" w:ascii="Times New Roman" w:hAnsi="Times New Roman" w:cs="Times New Roman"/>
                      <w:b w:val="0"/>
                      <w:color w:val="auto"/>
                      <w:sz w:val="21"/>
                      <w:szCs w:val="21"/>
                      <w:u w:val="none" w:color="auto"/>
                    </w:rPr>
                    <w:t>提升规模化畜禽养殖场粪污</w:t>
                  </w:r>
                  <w:r>
                    <w:rPr>
                      <w:rFonts w:hint="eastAsia" w:cs="Times New Roman"/>
                      <w:b w:val="0"/>
                      <w:color w:val="auto"/>
                      <w:sz w:val="21"/>
                      <w:szCs w:val="21"/>
                      <w:u w:val="none" w:color="auto"/>
                      <w:lang w:eastAsia="zh-CN"/>
                    </w:rPr>
                    <w:t>资源化</w:t>
                  </w:r>
                  <w:r>
                    <w:rPr>
                      <w:rFonts w:hint="default" w:ascii="Times New Roman" w:hAnsi="Times New Roman" w:cs="Times New Roman"/>
                      <w:b w:val="0"/>
                      <w:color w:val="auto"/>
                      <w:sz w:val="21"/>
                      <w:szCs w:val="21"/>
                      <w:u w:val="none" w:color="auto"/>
                    </w:rPr>
                    <w:t>利用率台账建设、环境监管和建设能力</w:t>
                  </w:r>
                  <w:r>
                    <w:rPr>
                      <w:rFonts w:hint="eastAsia" w:ascii="Times New Roman" w:hAnsi="Times New Roman" w:cs="Times New Roman"/>
                      <w:b w:val="0"/>
                      <w:color w:val="auto"/>
                      <w:sz w:val="21"/>
                      <w:szCs w:val="21"/>
                      <w:u w:val="none" w:color="auto"/>
                      <w:lang w:eastAsia="zh-CN"/>
                    </w:rPr>
                    <w:t>：</w:t>
                  </w:r>
                  <w:r>
                    <w:rPr>
                      <w:rFonts w:hint="default" w:ascii="Times New Roman" w:hAnsi="Times New Roman" w:cs="Times New Roman"/>
                      <w:b w:val="0"/>
                      <w:color w:val="auto"/>
                      <w:sz w:val="21"/>
                      <w:szCs w:val="21"/>
                      <w:u w:val="none" w:color="auto"/>
                    </w:rPr>
                    <w:t>提升规模养殖场以及畜禽养殖户粪污资源化利用率。</w:t>
                  </w:r>
                </w:p>
              </w:tc>
              <w:tc>
                <w:tcPr>
                  <w:tcW w:w="1222" w:type="pct"/>
                  <w:tcBorders>
                    <w:tl2br w:val="nil"/>
                    <w:tr2bl w:val="nil"/>
                  </w:tcBorders>
                  <w:noWrap w:val="0"/>
                  <w:vAlign w:val="center"/>
                </w:tcPr>
                <w:p w14:paraId="333568C3">
                  <w:pPr>
                    <w:widowControl w:val="0"/>
                    <w:autoSpaceDE w:val="0"/>
                    <w:autoSpaceDN w:val="0"/>
                    <w:adjustRightInd w:val="0"/>
                    <w:jc w:val="both"/>
                    <w:rPr>
                      <w:rFonts w:hint="default" w:ascii="仿宋_GB2312" w:hAnsi="Times New Roman" w:eastAsia="宋体" w:cs="Times New Roman"/>
                      <w:color w:val="auto"/>
                      <w:kern w:val="0"/>
                      <w:sz w:val="21"/>
                      <w:szCs w:val="24"/>
                      <w:u w:val="none" w:color="auto"/>
                      <w:lang w:val="en-US" w:eastAsia="zh-CN" w:bidi="ar-SA"/>
                    </w:rPr>
                  </w:pPr>
                  <w:r>
                    <w:rPr>
                      <w:rFonts w:hint="eastAsia" w:ascii="仿宋_GB2312" w:hAnsi="Times New Roman" w:eastAsia="宋体" w:cs="Times New Roman"/>
                      <w:color w:val="auto"/>
                      <w:kern w:val="0"/>
                      <w:sz w:val="21"/>
                      <w:szCs w:val="24"/>
                      <w:u w:val="none" w:color="auto"/>
                      <w:lang w:val="en-US" w:eastAsia="zh-CN" w:bidi="ar-SA"/>
                    </w:rPr>
                    <w:t>项目不涉及</w:t>
                  </w:r>
                </w:p>
              </w:tc>
              <w:tc>
                <w:tcPr>
                  <w:tcW w:w="479" w:type="pct"/>
                  <w:tcBorders>
                    <w:tl2br w:val="nil"/>
                    <w:tr2bl w:val="nil"/>
                  </w:tcBorders>
                  <w:noWrap w:val="0"/>
                  <w:vAlign w:val="center"/>
                </w:tcPr>
                <w:p w14:paraId="4BCC4D0F">
                  <w:pPr>
                    <w:autoSpaceDE w:val="0"/>
                    <w:autoSpaceDN w:val="0"/>
                    <w:adjustRightInd w:val="0"/>
                    <w:snapToGrid w:val="0"/>
                    <w:spacing w:line="240" w:lineRule="auto"/>
                    <w:jc w:val="center"/>
                    <w:rPr>
                      <w:rFonts w:hint="default" w:ascii="Times New Roman" w:hAnsi="Times New Roman" w:eastAsia="宋体" w:cs="Times New Roman"/>
                      <w:color w:val="auto"/>
                      <w:kern w:val="0"/>
                      <w:szCs w:val="21"/>
                      <w:u w:val="none" w:color="auto"/>
                    </w:rPr>
                  </w:pPr>
                  <w:r>
                    <w:rPr>
                      <w:rFonts w:hint="default" w:ascii="Times New Roman" w:hAnsi="Times New Roman" w:eastAsia="宋体" w:cs="Times New Roman"/>
                      <w:color w:val="auto"/>
                      <w:kern w:val="0"/>
                      <w:szCs w:val="21"/>
                      <w:u w:val="none" w:color="auto"/>
                    </w:rPr>
                    <w:t>符合</w:t>
                  </w:r>
                </w:p>
              </w:tc>
            </w:tr>
            <w:tr w14:paraId="7907F2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8" w:type="dxa"/>
                  <w:tcBorders>
                    <w:tl2br w:val="nil"/>
                    <w:tr2bl w:val="nil"/>
                  </w:tcBorders>
                  <w:noWrap w:val="0"/>
                  <w:vAlign w:val="center"/>
                </w:tcPr>
                <w:p w14:paraId="4B0B7F11">
                  <w:pPr>
                    <w:widowControl w:val="0"/>
                    <w:autoSpaceDE w:val="0"/>
                    <w:autoSpaceDN w:val="0"/>
                    <w:spacing w:beforeLines="0" w:after="0" w:afterLines="0"/>
                    <w:jc w:val="center"/>
                    <w:rPr>
                      <w:rFonts w:hint="default" w:ascii="Times New Roman" w:hAnsi="Times New Roman" w:eastAsia="宋体" w:cs="Times New Roman"/>
                      <w:b w:val="0"/>
                      <w:bCs w:val="0"/>
                      <w:color w:val="auto"/>
                      <w:kern w:val="0"/>
                      <w:szCs w:val="21"/>
                      <w:u w:val="none" w:color="auto"/>
                    </w:rPr>
                  </w:pPr>
                  <w:r>
                    <w:rPr>
                      <w:rFonts w:hint="default" w:ascii="Times New Roman" w:hAnsi="Times New Roman" w:cs="Times New Roman"/>
                      <w:b w:val="0"/>
                      <w:color w:val="auto"/>
                      <w:sz w:val="21"/>
                      <w:szCs w:val="21"/>
                      <w:u w:val="none" w:color="auto"/>
                    </w:rPr>
                    <w:t>污染物排管放控</w:t>
                  </w:r>
                </w:p>
              </w:tc>
              <w:tc>
                <w:tcPr>
                  <w:tcW w:w="3913" w:type="dxa"/>
                  <w:tcBorders>
                    <w:tl2br w:val="nil"/>
                    <w:tr2bl w:val="nil"/>
                  </w:tcBorders>
                  <w:noWrap w:val="0"/>
                  <w:vAlign w:val="center"/>
                </w:tcPr>
                <w:p w14:paraId="45CA7361">
                  <w:pPr>
                    <w:widowControl w:val="0"/>
                    <w:numPr>
                      <w:ilvl w:val="0"/>
                      <w:numId w:val="0"/>
                    </w:numPr>
                    <w:autoSpaceDE w:val="0"/>
                    <w:autoSpaceDN w:val="0"/>
                    <w:spacing w:beforeLines="0" w:after="0" w:afterLines="0"/>
                    <w:ind w:left="0" w:leftChars="0" w:firstLine="0" w:firstLineChars="0"/>
                    <w:rPr>
                      <w:rFonts w:hint="default" w:ascii="Times New Roman" w:hAnsi="Times New Roman" w:eastAsia="宋体" w:cs="Times New Roman"/>
                      <w:color w:val="auto"/>
                      <w:kern w:val="0"/>
                      <w:szCs w:val="21"/>
                      <w:u w:val="none" w:color="auto"/>
                      <w:lang w:eastAsia="zh-CN"/>
                    </w:rPr>
                  </w:pPr>
                  <w:r>
                    <w:rPr>
                      <w:rFonts w:hint="default" w:ascii="Times New Roman" w:hAnsi="Times New Roman" w:cs="Times New Roman"/>
                      <w:b w:val="0"/>
                      <w:color w:val="auto"/>
                      <w:sz w:val="21"/>
                      <w:szCs w:val="21"/>
                      <w:u w:val="none" w:color="auto"/>
                    </w:rPr>
                    <w:t>(2.1)实施农村小微水体综合整治，探索建立农村黑臭水体治理长效机制。</w:t>
                  </w:r>
                </w:p>
              </w:tc>
              <w:tc>
                <w:tcPr>
                  <w:tcW w:w="1222" w:type="pct"/>
                  <w:tcBorders>
                    <w:tl2br w:val="nil"/>
                    <w:tr2bl w:val="nil"/>
                  </w:tcBorders>
                  <w:noWrap w:val="0"/>
                  <w:vAlign w:val="center"/>
                </w:tcPr>
                <w:p w14:paraId="56F8C6D4">
                  <w:pPr>
                    <w:autoSpaceDE w:val="0"/>
                    <w:autoSpaceDN w:val="0"/>
                    <w:adjustRightInd w:val="0"/>
                    <w:snapToGrid w:val="0"/>
                    <w:spacing w:line="240" w:lineRule="auto"/>
                    <w:rPr>
                      <w:rFonts w:hint="default"/>
                      <w:color w:val="auto"/>
                      <w:u w:val="none" w:color="auto"/>
                    </w:rPr>
                  </w:pPr>
                  <w:r>
                    <w:rPr>
                      <w:rFonts w:hint="eastAsia" w:ascii="Times New Roman" w:hAnsi="Times New Roman" w:eastAsia="宋体" w:cs="Times New Roman"/>
                      <w:color w:val="auto"/>
                      <w:kern w:val="0"/>
                      <w:szCs w:val="21"/>
                      <w:u w:val="none" w:color="auto"/>
                      <w:lang w:val="en-US" w:eastAsia="zh-CN"/>
                    </w:rPr>
                    <w:t>生活污水</w:t>
                  </w:r>
                  <w:r>
                    <w:rPr>
                      <w:color w:val="auto"/>
                      <w:kern w:val="0"/>
                      <w:szCs w:val="21"/>
                      <w:u w:val="none" w:color="auto"/>
                    </w:rPr>
                    <w:t>经</w:t>
                  </w:r>
                  <w:r>
                    <w:rPr>
                      <w:rFonts w:hint="eastAsia" w:eastAsia="宋体"/>
                      <w:color w:val="auto"/>
                      <w:kern w:val="0"/>
                      <w:szCs w:val="21"/>
                      <w:u w:val="none" w:color="auto"/>
                      <w:lang w:eastAsia="zh-CN"/>
                    </w:rPr>
                    <w:t>化粪池</w:t>
                  </w:r>
                  <w:r>
                    <w:rPr>
                      <w:color w:val="auto"/>
                      <w:kern w:val="0"/>
                      <w:szCs w:val="21"/>
                      <w:u w:val="none" w:color="auto"/>
                    </w:rPr>
                    <w:t>处理后</w:t>
                  </w:r>
                  <w:r>
                    <w:rPr>
                      <w:rFonts w:hint="eastAsia" w:ascii="Times New Roman" w:eastAsia="宋体"/>
                      <w:color w:val="auto"/>
                      <w:kern w:val="0"/>
                      <w:szCs w:val="21"/>
                      <w:u w:val="none" w:color="auto"/>
                      <w:lang w:val="en-US" w:eastAsia="zh-CN"/>
                    </w:rPr>
                    <w:t>用于周边林地浇灌</w:t>
                  </w:r>
                  <w:r>
                    <w:rPr>
                      <w:rFonts w:hint="eastAsia"/>
                      <w:color w:val="auto"/>
                      <w:u w:val="none" w:color="auto"/>
                      <w:lang w:val="en-US" w:eastAsia="zh-CN"/>
                    </w:rPr>
                    <w:t>不外排</w:t>
                  </w:r>
                  <w:r>
                    <w:rPr>
                      <w:rFonts w:hint="eastAsia" w:ascii="Times New Roman" w:eastAsia="宋体"/>
                      <w:color w:val="auto"/>
                      <w:u w:val="none" w:color="auto"/>
                      <w:lang w:val="en-US" w:eastAsia="zh-CN"/>
                    </w:rPr>
                    <w:t>。</w:t>
                  </w:r>
                </w:p>
                <w:p w14:paraId="042D6DE5">
                  <w:pPr>
                    <w:autoSpaceDE w:val="0"/>
                    <w:autoSpaceDN w:val="0"/>
                    <w:adjustRightInd w:val="0"/>
                    <w:snapToGrid w:val="0"/>
                    <w:spacing w:line="240" w:lineRule="auto"/>
                    <w:rPr>
                      <w:rFonts w:hint="default" w:ascii="Times New Roman" w:hAnsi="Times New Roman" w:eastAsia="宋体" w:cs="Times New Roman"/>
                      <w:color w:val="auto"/>
                      <w:kern w:val="0"/>
                      <w:szCs w:val="21"/>
                      <w:u w:val="none" w:color="auto"/>
                    </w:rPr>
                  </w:pPr>
                </w:p>
              </w:tc>
              <w:tc>
                <w:tcPr>
                  <w:tcW w:w="479" w:type="pct"/>
                  <w:tcBorders>
                    <w:tl2br w:val="nil"/>
                    <w:tr2bl w:val="nil"/>
                  </w:tcBorders>
                  <w:noWrap w:val="0"/>
                  <w:vAlign w:val="center"/>
                </w:tcPr>
                <w:p w14:paraId="76ACE7EB">
                  <w:pPr>
                    <w:autoSpaceDE w:val="0"/>
                    <w:autoSpaceDN w:val="0"/>
                    <w:adjustRightInd w:val="0"/>
                    <w:snapToGrid w:val="0"/>
                    <w:spacing w:line="240" w:lineRule="auto"/>
                    <w:jc w:val="center"/>
                    <w:rPr>
                      <w:rFonts w:hint="default" w:ascii="Times New Roman" w:hAnsi="Times New Roman" w:eastAsia="宋体" w:cs="Times New Roman"/>
                      <w:color w:val="auto"/>
                      <w:kern w:val="0"/>
                      <w:szCs w:val="21"/>
                      <w:u w:val="none" w:color="auto"/>
                    </w:rPr>
                  </w:pPr>
                  <w:r>
                    <w:rPr>
                      <w:rFonts w:hint="default" w:ascii="Times New Roman" w:hAnsi="Times New Roman" w:eastAsia="宋体" w:cs="Times New Roman"/>
                      <w:color w:val="auto"/>
                      <w:kern w:val="0"/>
                      <w:szCs w:val="21"/>
                      <w:u w:val="none" w:color="auto"/>
                    </w:rPr>
                    <w:t>符合</w:t>
                  </w:r>
                </w:p>
              </w:tc>
            </w:tr>
            <w:tr w14:paraId="49BAD6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8" w:type="dxa"/>
                  <w:tcBorders>
                    <w:tl2br w:val="nil"/>
                    <w:tr2bl w:val="nil"/>
                  </w:tcBorders>
                  <w:noWrap w:val="0"/>
                  <w:vAlign w:val="center"/>
                </w:tcPr>
                <w:p w14:paraId="2E0FBA53">
                  <w:pPr>
                    <w:widowControl w:val="0"/>
                    <w:autoSpaceDE w:val="0"/>
                    <w:autoSpaceDN w:val="0"/>
                    <w:spacing w:beforeLines="0" w:after="0" w:afterLines="0"/>
                    <w:jc w:val="center"/>
                    <w:rPr>
                      <w:rFonts w:hint="default" w:ascii="Times New Roman" w:hAnsi="Times New Roman" w:eastAsia="宋体" w:cs="Times New Roman"/>
                      <w:b w:val="0"/>
                      <w:bCs w:val="0"/>
                      <w:color w:val="auto"/>
                      <w:kern w:val="0"/>
                      <w:szCs w:val="21"/>
                      <w:u w:val="none" w:color="auto"/>
                    </w:rPr>
                  </w:pPr>
                  <w:r>
                    <w:rPr>
                      <w:rFonts w:hint="default" w:ascii="Times New Roman" w:hAnsi="Times New Roman" w:cs="Times New Roman"/>
                      <w:b w:val="0"/>
                      <w:color w:val="auto"/>
                      <w:sz w:val="21"/>
                      <w:szCs w:val="21"/>
                      <w:u w:val="none" w:color="auto"/>
                    </w:rPr>
                    <w:t>环境风险防控</w:t>
                  </w:r>
                </w:p>
              </w:tc>
              <w:tc>
                <w:tcPr>
                  <w:tcW w:w="3913" w:type="dxa"/>
                  <w:tcBorders>
                    <w:tl2br w:val="nil"/>
                    <w:tr2bl w:val="nil"/>
                  </w:tcBorders>
                  <w:noWrap w:val="0"/>
                  <w:vAlign w:val="center"/>
                </w:tcPr>
                <w:p w14:paraId="743C31E4">
                  <w:pPr>
                    <w:widowControl w:val="0"/>
                    <w:numPr>
                      <w:ilvl w:val="0"/>
                      <w:numId w:val="0"/>
                    </w:numPr>
                    <w:autoSpaceDE w:val="0"/>
                    <w:autoSpaceDN w:val="0"/>
                    <w:spacing w:beforeLines="0" w:after="0" w:afterLines="0"/>
                    <w:ind w:left="0" w:leftChars="0" w:firstLine="0" w:firstLineChars="0"/>
                    <w:rPr>
                      <w:rFonts w:hint="default" w:ascii="Times New Roman" w:hAnsi="Times New Roman" w:eastAsia="宋体" w:cs="Times New Roman"/>
                      <w:color w:val="auto"/>
                      <w:kern w:val="0"/>
                      <w:szCs w:val="21"/>
                      <w:u w:val="none" w:color="auto"/>
                      <w:lang w:eastAsia="zh-CN"/>
                    </w:rPr>
                  </w:pPr>
                  <w:r>
                    <w:rPr>
                      <w:rFonts w:hint="default" w:ascii="Times New Roman" w:hAnsi="Times New Roman" w:cs="Times New Roman"/>
                      <w:b w:val="0"/>
                      <w:color w:val="auto"/>
                      <w:sz w:val="21"/>
                      <w:szCs w:val="21"/>
                      <w:u w:val="none" w:color="auto"/>
                      <w:lang w:val="en-US" w:eastAsia="zh-CN"/>
                    </w:rPr>
                    <w:t>（3.1）根据《湘潭市污染地块名录及其开发利用负面清单》，对列入《名录》的湘潭县金洲化工有限公司地块、原湘潭红燕锌业有限公司地块，不得作为住宅、公共管理与公共服务用地。对达到土壤污染风险评估报告确定的风险管控、修复目标的建设用地地块，土壤污染责任人、土地使用权人可以向省生态环境厅申请移出《名录》。</w:t>
                  </w:r>
                </w:p>
              </w:tc>
              <w:tc>
                <w:tcPr>
                  <w:tcW w:w="1222" w:type="pct"/>
                  <w:tcBorders>
                    <w:tl2br w:val="nil"/>
                    <w:tr2bl w:val="nil"/>
                  </w:tcBorders>
                  <w:noWrap w:val="0"/>
                  <w:vAlign w:val="center"/>
                </w:tcPr>
                <w:p w14:paraId="5AAF123D">
                  <w:pPr>
                    <w:autoSpaceDE w:val="0"/>
                    <w:autoSpaceDN w:val="0"/>
                    <w:adjustRightInd w:val="0"/>
                    <w:snapToGrid w:val="0"/>
                    <w:spacing w:line="240" w:lineRule="auto"/>
                    <w:jc w:val="left"/>
                    <w:rPr>
                      <w:rFonts w:hint="default" w:ascii="Times New Roman" w:hAnsi="Times New Roman" w:eastAsia="宋体" w:cs="Times New Roman"/>
                      <w:color w:val="auto"/>
                      <w:kern w:val="0"/>
                      <w:szCs w:val="21"/>
                      <w:u w:val="none" w:color="auto"/>
                      <w:lang w:val="en-US" w:eastAsia="zh-CN"/>
                    </w:rPr>
                  </w:pPr>
                  <w:r>
                    <w:rPr>
                      <w:rFonts w:hint="eastAsia" w:ascii="Times New Roman" w:hAnsi="Times New Roman" w:eastAsia="宋体" w:cs="Times New Roman"/>
                      <w:color w:val="auto"/>
                      <w:kern w:val="0"/>
                      <w:szCs w:val="21"/>
                      <w:u w:val="none" w:color="auto"/>
                      <w:lang w:val="en-US" w:eastAsia="zh-CN"/>
                    </w:rPr>
                    <w:t>项目不涉及</w:t>
                  </w:r>
                </w:p>
              </w:tc>
              <w:tc>
                <w:tcPr>
                  <w:tcW w:w="479" w:type="pct"/>
                  <w:tcBorders>
                    <w:tl2br w:val="nil"/>
                    <w:tr2bl w:val="nil"/>
                  </w:tcBorders>
                  <w:noWrap w:val="0"/>
                  <w:vAlign w:val="center"/>
                </w:tcPr>
                <w:p w14:paraId="193A3324">
                  <w:pPr>
                    <w:autoSpaceDE w:val="0"/>
                    <w:autoSpaceDN w:val="0"/>
                    <w:adjustRightInd w:val="0"/>
                    <w:snapToGrid w:val="0"/>
                    <w:spacing w:line="240" w:lineRule="auto"/>
                    <w:jc w:val="center"/>
                    <w:rPr>
                      <w:rFonts w:hint="default" w:ascii="Times New Roman" w:hAnsi="Times New Roman" w:eastAsia="宋体" w:cs="Times New Roman"/>
                      <w:color w:val="auto"/>
                      <w:kern w:val="0"/>
                      <w:szCs w:val="21"/>
                      <w:u w:val="none" w:color="auto"/>
                    </w:rPr>
                  </w:pPr>
                  <w:r>
                    <w:rPr>
                      <w:rFonts w:hint="default" w:ascii="Times New Roman" w:hAnsi="Times New Roman" w:eastAsia="宋体" w:cs="Times New Roman"/>
                      <w:color w:val="auto"/>
                      <w:kern w:val="0"/>
                      <w:szCs w:val="21"/>
                      <w:u w:val="none" w:color="auto"/>
                    </w:rPr>
                    <w:t>符合</w:t>
                  </w:r>
                </w:p>
              </w:tc>
            </w:tr>
            <w:tr w14:paraId="6D04D3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8" w:type="dxa"/>
                  <w:tcBorders>
                    <w:tl2br w:val="nil"/>
                    <w:tr2bl w:val="nil"/>
                  </w:tcBorders>
                  <w:noWrap w:val="0"/>
                  <w:vAlign w:val="center"/>
                </w:tcPr>
                <w:p w14:paraId="70AE0C09">
                  <w:pPr>
                    <w:widowControl w:val="0"/>
                    <w:autoSpaceDE w:val="0"/>
                    <w:autoSpaceDN w:val="0"/>
                    <w:spacing w:beforeLines="0" w:after="0" w:afterLines="0"/>
                    <w:jc w:val="center"/>
                    <w:rPr>
                      <w:rFonts w:hint="default" w:ascii="Times New Roman" w:hAnsi="Times New Roman" w:eastAsia="宋体" w:cs="Times New Roman"/>
                      <w:b w:val="0"/>
                      <w:bCs w:val="0"/>
                      <w:color w:val="auto"/>
                      <w:kern w:val="0"/>
                      <w:szCs w:val="21"/>
                      <w:u w:val="none" w:color="auto"/>
                    </w:rPr>
                  </w:pPr>
                  <w:r>
                    <w:rPr>
                      <w:rFonts w:hint="default" w:ascii="Times New Roman" w:hAnsi="Times New Roman" w:cs="Times New Roman"/>
                      <w:b w:val="0"/>
                      <w:color w:val="auto"/>
                      <w:sz w:val="21"/>
                      <w:szCs w:val="21"/>
                      <w:u w:val="none" w:color="auto"/>
                    </w:rPr>
                    <w:t>资源开发效率要求</w:t>
                  </w:r>
                </w:p>
              </w:tc>
              <w:tc>
                <w:tcPr>
                  <w:tcW w:w="3913" w:type="dxa"/>
                  <w:tcBorders>
                    <w:tl2br w:val="nil"/>
                    <w:tr2bl w:val="nil"/>
                  </w:tcBorders>
                  <w:noWrap w:val="0"/>
                  <w:vAlign w:val="center"/>
                </w:tcPr>
                <w:p w14:paraId="552BD23A">
                  <w:pPr>
                    <w:widowControl w:val="0"/>
                    <w:numPr>
                      <w:ilvl w:val="0"/>
                      <w:numId w:val="0"/>
                    </w:numPr>
                    <w:autoSpaceDE w:val="0"/>
                    <w:autoSpaceDN w:val="0"/>
                    <w:spacing w:beforeLines="0" w:after="0" w:afterLines="0"/>
                    <w:rPr>
                      <w:rFonts w:hint="default" w:ascii="Times New Roman" w:hAnsi="Times New Roman" w:cs="Times New Roman"/>
                      <w:b w:val="0"/>
                      <w:color w:val="auto"/>
                      <w:sz w:val="21"/>
                      <w:szCs w:val="21"/>
                      <w:u w:val="none" w:color="auto"/>
                    </w:rPr>
                  </w:pPr>
                  <w:r>
                    <w:rPr>
                      <w:rFonts w:hint="default" w:ascii="Times New Roman" w:hAnsi="Times New Roman" w:cs="Times New Roman"/>
                      <w:b w:val="0"/>
                      <w:color w:val="auto"/>
                      <w:sz w:val="21"/>
                      <w:szCs w:val="21"/>
                      <w:u w:val="none" w:color="auto"/>
                      <w:lang w:val="en-US" w:eastAsia="zh-CN"/>
                    </w:rPr>
                    <w:t xml:space="preserve">（4.1）能源： </w:t>
                  </w:r>
                </w:p>
                <w:p w14:paraId="1D8B80C5">
                  <w:pPr>
                    <w:widowControl w:val="0"/>
                    <w:numPr>
                      <w:ilvl w:val="0"/>
                      <w:numId w:val="0"/>
                    </w:numPr>
                    <w:autoSpaceDE w:val="0"/>
                    <w:autoSpaceDN w:val="0"/>
                    <w:spacing w:beforeLines="0" w:after="0" w:afterLines="0"/>
                    <w:rPr>
                      <w:rFonts w:hint="default" w:ascii="Times New Roman" w:hAnsi="Times New Roman" w:cs="Times New Roman"/>
                      <w:b w:val="0"/>
                      <w:color w:val="auto"/>
                      <w:sz w:val="21"/>
                      <w:szCs w:val="21"/>
                      <w:u w:val="none" w:color="auto"/>
                    </w:rPr>
                  </w:pPr>
                  <w:r>
                    <w:rPr>
                      <w:rFonts w:hint="default" w:ascii="Times New Roman" w:hAnsi="Times New Roman" w:cs="Times New Roman"/>
                      <w:b w:val="0"/>
                      <w:color w:val="auto"/>
                      <w:sz w:val="21"/>
                      <w:szCs w:val="21"/>
                      <w:u w:val="none" w:color="auto"/>
                      <w:lang w:val="en-US" w:eastAsia="zh-CN"/>
                    </w:rPr>
                    <w:t xml:space="preserve">（4.1.1）优化调整能源结构。鼓励可再生能源、天然气、电力等优质能源替代，积极有序推进风电开发，大力发展分布式光伏发电；鼓励发展“养殖－沼气－农业”三位一体的生物质气化养殖模式，加快推进“气化湖南”工程建设，完善城乡天然气基础设施网络。 </w:t>
                  </w:r>
                </w:p>
                <w:p w14:paraId="38D13324">
                  <w:pPr>
                    <w:widowControl w:val="0"/>
                    <w:numPr>
                      <w:ilvl w:val="0"/>
                      <w:numId w:val="0"/>
                    </w:numPr>
                    <w:autoSpaceDE w:val="0"/>
                    <w:autoSpaceDN w:val="0"/>
                    <w:spacing w:beforeLines="0" w:after="0" w:afterLines="0"/>
                    <w:rPr>
                      <w:rFonts w:hint="default" w:ascii="Times New Roman" w:hAnsi="Times New Roman" w:cs="Times New Roman"/>
                      <w:b w:val="0"/>
                      <w:color w:val="auto"/>
                      <w:sz w:val="21"/>
                      <w:szCs w:val="21"/>
                      <w:u w:val="none" w:color="auto"/>
                    </w:rPr>
                  </w:pPr>
                  <w:r>
                    <w:rPr>
                      <w:rFonts w:hint="default" w:ascii="Times New Roman" w:hAnsi="Times New Roman" w:cs="Times New Roman"/>
                      <w:b w:val="0"/>
                      <w:color w:val="auto"/>
                      <w:sz w:val="21"/>
                      <w:szCs w:val="21"/>
                      <w:u w:val="none" w:color="auto"/>
                      <w:lang w:val="en-US" w:eastAsia="zh-CN"/>
                    </w:rPr>
                    <w:t xml:space="preserve">（4.1.2）禁燃区范围内取缔燃煤销售点，加快淘汰经营性小煤炉，积极鼓励和引导使用清洁新能源，进一步减少燃煤污染，提高天然气管网 </w:t>
                  </w:r>
                </w:p>
                <w:p w14:paraId="5853B179">
                  <w:pPr>
                    <w:widowControl w:val="0"/>
                    <w:numPr>
                      <w:ilvl w:val="0"/>
                      <w:numId w:val="0"/>
                    </w:numPr>
                    <w:autoSpaceDE w:val="0"/>
                    <w:autoSpaceDN w:val="0"/>
                    <w:spacing w:beforeLines="0" w:after="0" w:afterLines="0"/>
                    <w:rPr>
                      <w:rFonts w:hint="default" w:ascii="Times New Roman" w:hAnsi="Times New Roman" w:cs="Times New Roman"/>
                      <w:b w:val="0"/>
                      <w:color w:val="auto"/>
                      <w:sz w:val="21"/>
                      <w:szCs w:val="21"/>
                      <w:u w:val="none" w:color="auto"/>
                    </w:rPr>
                  </w:pPr>
                  <w:r>
                    <w:rPr>
                      <w:rFonts w:hint="default" w:ascii="Times New Roman" w:hAnsi="Times New Roman" w:cs="Times New Roman"/>
                      <w:b w:val="0"/>
                      <w:color w:val="auto"/>
                      <w:sz w:val="21"/>
                      <w:szCs w:val="21"/>
                      <w:u w:val="none" w:color="auto"/>
                      <w:lang w:val="en-US" w:eastAsia="zh-CN"/>
                    </w:rPr>
                    <w:t>覆盖率。</w:t>
                  </w:r>
                </w:p>
                <w:p w14:paraId="7DA37381">
                  <w:pPr>
                    <w:widowControl w:val="0"/>
                    <w:numPr>
                      <w:ilvl w:val="0"/>
                      <w:numId w:val="0"/>
                    </w:numPr>
                    <w:autoSpaceDE w:val="0"/>
                    <w:autoSpaceDN w:val="0"/>
                    <w:spacing w:beforeLines="0" w:after="0" w:afterLines="0"/>
                    <w:rPr>
                      <w:rFonts w:hint="default" w:ascii="Times New Roman" w:hAnsi="Times New Roman" w:cs="Times New Roman"/>
                      <w:b w:val="0"/>
                      <w:color w:val="auto"/>
                      <w:sz w:val="21"/>
                      <w:szCs w:val="21"/>
                      <w:u w:val="none" w:color="auto"/>
                    </w:rPr>
                  </w:pPr>
                  <w:r>
                    <w:rPr>
                      <w:rFonts w:hint="default" w:ascii="Times New Roman" w:hAnsi="Times New Roman" w:cs="Times New Roman"/>
                      <w:b w:val="0"/>
                      <w:color w:val="auto"/>
                      <w:sz w:val="21"/>
                      <w:szCs w:val="21"/>
                      <w:u w:val="none" w:color="auto"/>
                      <w:lang w:val="en-US" w:eastAsia="zh-CN"/>
                    </w:rPr>
                    <w:t xml:space="preserve">（4.2）水资源：强化水资源高效利用。积极推进农业节水，推进高效节水灌溉；加强工业节水改造，推广高效节水工艺；建设节水型城市，推进节水型公共单位建设。 </w:t>
                  </w:r>
                </w:p>
                <w:p w14:paraId="1B3839C1">
                  <w:pPr>
                    <w:widowControl w:val="0"/>
                    <w:numPr>
                      <w:ilvl w:val="0"/>
                      <w:numId w:val="0"/>
                    </w:numPr>
                    <w:autoSpaceDE w:val="0"/>
                    <w:autoSpaceDN w:val="0"/>
                    <w:spacing w:beforeLines="0" w:after="0" w:afterLines="0"/>
                    <w:rPr>
                      <w:rFonts w:hint="default" w:ascii="Times New Roman" w:hAnsi="Times New Roman" w:cs="Times New Roman"/>
                      <w:b w:val="0"/>
                      <w:color w:val="auto"/>
                      <w:sz w:val="21"/>
                      <w:szCs w:val="21"/>
                      <w:u w:val="none" w:color="auto"/>
                    </w:rPr>
                  </w:pPr>
                  <w:r>
                    <w:rPr>
                      <w:rFonts w:hint="default" w:ascii="Times New Roman" w:hAnsi="Times New Roman" w:cs="Times New Roman"/>
                      <w:b w:val="0"/>
                      <w:color w:val="auto"/>
                      <w:sz w:val="21"/>
                      <w:szCs w:val="21"/>
                      <w:u w:val="none" w:color="auto"/>
                      <w:lang w:val="en-US" w:eastAsia="zh-CN"/>
                    </w:rPr>
                    <w:t>（4.3）土地资源：推动土地资源合理配置和集约高效利用，加强土地用途管制；落实最严格的耕地保护和节约用地制度，推行“田长制”，严禁耕地“非农化”、防止耕地“非粮化”；开展土地综合整治，积极推进土地复合利用。</w:t>
                  </w:r>
                </w:p>
                <w:p w14:paraId="7B9D7DD3">
                  <w:pPr>
                    <w:widowControl w:val="0"/>
                    <w:numPr>
                      <w:ilvl w:val="0"/>
                      <w:numId w:val="0"/>
                    </w:numPr>
                    <w:autoSpaceDE w:val="0"/>
                    <w:autoSpaceDN w:val="0"/>
                    <w:spacing w:beforeLines="0" w:after="0" w:afterLines="0"/>
                    <w:ind w:left="0" w:leftChars="0" w:firstLine="0" w:firstLineChars="0"/>
                    <w:rPr>
                      <w:rFonts w:hint="default" w:ascii="Times New Roman" w:hAnsi="Times New Roman" w:eastAsia="宋体" w:cs="Times New Roman"/>
                      <w:color w:val="auto"/>
                      <w:kern w:val="0"/>
                      <w:szCs w:val="21"/>
                      <w:u w:val="none" w:color="auto"/>
                      <w:lang w:eastAsia="zh-CN"/>
                    </w:rPr>
                  </w:pPr>
                </w:p>
              </w:tc>
              <w:tc>
                <w:tcPr>
                  <w:tcW w:w="1222" w:type="pct"/>
                  <w:tcBorders>
                    <w:tl2br w:val="nil"/>
                    <w:tr2bl w:val="nil"/>
                  </w:tcBorders>
                  <w:noWrap w:val="0"/>
                  <w:vAlign w:val="center"/>
                </w:tcPr>
                <w:p w14:paraId="4E2948BA">
                  <w:pPr>
                    <w:autoSpaceDE w:val="0"/>
                    <w:autoSpaceDN w:val="0"/>
                    <w:adjustRightInd w:val="0"/>
                    <w:snapToGrid w:val="0"/>
                    <w:spacing w:line="240" w:lineRule="auto"/>
                    <w:jc w:val="left"/>
                    <w:rPr>
                      <w:rFonts w:hint="default" w:ascii="Times New Roman" w:hAnsi="Times New Roman" w:eastAsia="宋体" w:cs="Times New Roman"/>
                      <w:color w:val="auto"/>
                      <w:kern w:val="0"/>
                      <w:szCs w:val="21"/>
                      <w:u w:val="none" w:color="auto"/>
                      <w:lang w:val="en-US" w:eastAsia="zh-CN"/>
                    </w:rPr>
                  </w:pPr>
                  <w:r>
                    <w:rPr>
                      <w:rFonts w:hint="default" w:ascii="Times New Roman" w:hAnsi="Times New Roman" w:eastAsia="宋体" w:cs="Times New Roman"/>
                      <w:color w:val="auto"/>
                      <w:kern w:val="0"/>
                      <w:szCs w:val="21"/>
                      <w:u w:val="none" w:color="auto"/>
                      <w:lang w:val="en-US" w:eastAsia="zh-CN"/>
                    </w:rPr>
                    <w:t>本项目主要使用电能</w:t>
                  </w:r>
                  <w:r>
                    <w:rPr>
                      <w:rFonts w:hint="eastAsia" w:cs="Times New Roman"/>
                      <w:color w:val="auto"/>
                      <w:kern w:val="0"/>
                      <w:szCs w:val="21"/>
                      <w:u w:val="none" w:color="auto"/>
                      <w:lang w:val="en-US" w:eastAsia="zh-CN"/>
                    </w:rPr>
                    <w:t>和</w:t>
                  </w:r>
                  <w:r>
                    <w:rPr>
                      <w:rFonts w:hint="eastAsia" w:ascii="Times New Roman" w:hAnsi="Times New Roman" w:eastAsia="宋体" w:cs="Times New Roman"/>
                      <w:color w:val="auto"/>
                      <w:kern w:val="0"/>
                      <w:szCs w:val="21"/>
                      <w:u w:val="none" w:color="auto"/>
                      <w:lang w:val="en-US" w:eastAsia="zh-CN"/>
                    </w:rPr>
                    <w:t>液化石油气</w:t>
                  </w:r>
                  <w:r>
                    <w:rPr>
                      <w:rFonts w:hint="default" w:ascii="Times New Roman" w:hAnsi="Times New Roman" w:eastAsia="宋体" w:cs="Times New Roman"/>
                      <w:color w:val="auto"/>
                      <w:kern w:val="0"/>
                      <w:szCs w:val="21"/>
                      <w:u w:val="none" w:color="auto"/>
                      <w:lang w:val="en-US" w:eastAsia="zh-CN"/>
                    </w:rPr>
                    <w:t>，日常生产注重节能减水，水资源循环使用，不外排</w:t>
                  </w:r>
                  <w:r>
                    <w:rPr>
                      <w:rFonts w:hint="eastAsia" w:cs="Times New Roman"/>
                      <w:color w:val="auto"/>
                      <w:kern w:val="0"/>
                      <w:szCs w:val="21"/>
                      <w:u w:val="none" w:color="auto"/>
                      <w:lang w:val="en-US" w:eastAsia="zh-CN"/>
                    </w:rPr>
                    <w:t>；项目租用已建好厂房，用地性质为工业用地</w:t>
                  </w:r>
                  <w:r>
                    <w:rPr>
                      <w:rFonts w:hint="default" w:ascii="Times New Roman" w:hAnsi="Times New Roman" w:eastAsia="宋体" w:cs="Times New Roman"/>
                      <w:color w:val="auto"/>
                      <w:kern w:val="0"/>
                      <w:szCs w:val="21"/>
                      <w:u w:val="none" w:color="auto"/>
                      <w:lang w:val="en-US" w:eastAsia="zh-CN"/>
                    </w:rPr>
                    <w:t>。</w:t>
                  </w:r>
                </w:p>
              </w:tc>
              <w:tc>
                <w:tcPr>
                  <w:tcW w:w="479" w:type="pct"/>
                  <w:tcBorders>
                    <w:tl2br w:val="nil"/>
                    <w:tr2bl w:val="nil"/>
                  </w:tcBorders>
                  <w:noWrap w:val="0"/>
                  <w:vAlign w:val="center"/>
                </w:tcPr>
                <w:p w14:paraId="7E539D0B">
                  <w:pPr>
                    <w:autoSpaceDE w:val="0"/>
                    <w:autoSpaceDN w:val="0"/>
                    <w:adjustRightInd w:val="0"/>
                    <w:snapToGrid w:val="0"/>
                    <w:spacing w:line="240" w:lineRule="auto"/>
                    <w:jc w:val="center"/>
                    <w:rPr>
                      <w:rFonts w:hint="default" w:ascii="Times New Roman" w:hAnsi="Times New Roman" w:eastAsia="宋体" w:cs="Times New Roman"/>
                      <w:color w:val="auto"/>
                      <w:kern w:val="0"/>
                      <w:szCs w:val="21"/>
                      <w:u w:val="none" w:color="auto"/>
                    </w:rPr>
                  </w:pPr>
                  <w:r>
                    <w:rPr>
                      <w:rFonts w:hint="default" w:ascii="Times New Roman" w:hAnsi="Times New Roman" w:eastAsia="宋体" w:cs="Times New Roman"/>
                      <w:color w:val="auto"/>
                      <w:kern w:val="0"/>
                      <w:szCs w:val="21"/>
                      <w:u w:val="none" w:color="auto"/>
                    </w:rPr>
                    <w:t>符合</w:t>
                  </w:r>
                </w:p>
              </w:tc>
            </w:tr>
          </w:tbl>
          <w:p w14:paraId="6EB1A8F6">
            <w:pPr>
              <w:keepNext w:val="0"/>
              <w:keepLines w:val="0"/>
              <w:widowControl/>
              <w:suppressLineNumbers w:val="0"/>
              <w:spacing w:before="0" w:beforeAutospacing="0" w:after="0" w:afterAutospacing="0" w:line="360" w:lineRule="auto"/>
              <w:ind w:left="0" w:right="0" w:firstLine="480" w:firstLineChars="200"/>
              <w:jc w:val="left"/>
              <w:rPr>
                <w:rFonts w:hint="eastAsia" w:cs="Times New Roman"/>
                <w:b/>
                <w:bCs/>
                <w:color w:val="auto"/>
                <w:kern w:val="0"/>
                <w:sz w:val="24"/>
                <w:u w:val="none" w:color="auto"/>
                <w:lang w:val="en-US" w:eastAsia="zh-CN" w:bidi="ar"/>
              </w:rPr>
            </w:pPr>
            <w:r>
              <w:rPr>
                <w:rFonts w:hint="eastAsia" w:ascii="宋体" w:hAnsi="宋体" w:cs="宋体"/>
                <w:color w:val="auto"/>
                <w:kern w:val="0"/>
                <w:sz w:val="24"/>
                <w:szCs w:val="24"/>
                <w:u w:val="none" w:color="auto"/>
              </w:rPr>
              <w:t>根据</w:t>
            </w:r>
            <w:r>
              <w:rPr>
                <w:rFonts w:hint="default" w:ascii="Times New Roman" w:hAnsi="Times New Roman" w:cs="Times New Roman"/>
                <w:color w:val="auto"/>
                <w:kern w:val="0"/>
                <w:sz w:val="24"/>
                <w:szCs w:val="24"/>
                <w:u w:val="none" w:color="auto"/>
              </w:rPr>
              <w:t>表</w:t>
            </w:r>
            <w:r>
              <w:rPr>
                <w:rFonts w:hint="default" w:ascii="Times New Roman" w:hAnsi="Times New Roman" w:cs="Times New Roman"/>
                <w:color w:val="auto"/>
                <w:kern w:val="0"/>
                <w:sz w:val="24"/>
                <w:szCs w:val="24"/>
                <w:u w:val="none" w:color="auto"/>
                <w:lang w:val="en-US" w:eastAsia="zh-CN"/>
              </w:rPr>
              <w:t>1-</w:t>
            </w:r>
            <w:r>
              <w:rPr>
                <w:rFonts w:hint="eastAsia" w:cs="Times New Roman"/>
                <w:color w:val="auto"/>
                <w:kern w:val="0"/>
                <w:sz w:val="24"/>
                <w:szCs w:val="24"/>
                <w:u w:val="none" w:color="auto"/>
                <w:lang w:val="en-US" w:eastAsia="zh-CN"/>
              </w:rPr>
              <w:t>2</w:t>
            </w:r>
            <w:r>
              <w:rPr>
                <w:rFonts w:hint="default" w:ascii="Times New Roman" w:hAnsi="Times New Roman" w:cs="Times New Roman"/>
                <w:color w:val="auto"/>
                <w:kern w:val="0"/>
                <w:sz w:val="24"/>
                <w:szCs w:val="24"/>
                <w:u w:val="none" w:color="auto"/>
                <w:lang w:val="en-US" w:eastAsia="zh-CN"/>
              </w:rPr>
              <w:t>至表1-</w:t>
            </w:r>
            <w:r>
              <w:rPr>
                <w:rFonts w:hint="eastAsia" w:cs="Times New Roman"/>
                <w:color w:val="auto"/>
                <w:kern w:val="0"/>
                <w:sz w:val="24"/>
                <w:szCs w:val="24"/>
                <w:u w:val="none" w:color="auto"/>
                <w:lang w:val="en-US" w:eastAsia="zh-CN"/>
              </w:rPr>
              <w:t>3</w:t>
            </w:r>
            <w:r>
              <w:rPr>
                <w:rFonts w:hint="default" w:ascii="Times New Roman" w:hAnsi="Times New Roman" w:cs="Times New Roman"/>
                <w:color w:val="auto"/>
                <w:kern w:val="0"/>
                <w:sz w:val="24"/>
                <w:szCs w:val="24"/>
                <w:u w:val="none" w:color="auto"/>
              </w:rPr>
              <w:t>可知</w:t>
            </w:r>
            <w:r>
              <w:rPr>
                <w:rFonts w:hint="eastAsia" w:ascii="宋体" w:hAnsi="宋体" w:cs="宋体"/>
                <w:color w:val="auto"/>
                <w:kern w:val="0"/>
                <w:sz w:val="24"/>
                <w:szCs w:val="24"/>
                <w:u w:val="none" w:color="auto"/>
              </w:rPr>
              <w:t>，本项目符合</w:t>
            </w:r>
            <w:r>
              <w:rPr>
                <w:rFonts w:hint="eastAsia" w:ascii="宋体" w:hAnsi="宋体" w:cs="宋体"/>
                <w:color w:val="auto"/>
                <w:kern w:val="0"/>
                <w:sz w:val="24"/>
                <w:szCs w:val="24"/>
                <w:u w:val="none" w:color="auto"/>
                <w:lang w:val="en-US" w:eastAsia="zh-CN"/>
              </w:rPr>
              <w:t>省、市和县生态环境分区管控基本要求。</w:t>
            </w:r>
          </w:p>
          <w:p w14:paraId="5453123B">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cs="Times New Roman"/>
                <w:b/>
                <w:bCs/>
                <w:color w:val="auto"/>
                <w:kern w:val="0"/>
                <w:sz w:val="24"/>
                <w:u w:val="single" w:color="auto"/>
                <w:lang w:bidi="ar"/>
              </w:rPr>
            </w:pPr>
            <w:r>
              <w:rPr>
                <w:rFonts w:hint="eastAsia" w:cs="Times New Roman"/>
                <w:b/>
                <w:bCs/>
                <w:color w:val="auto"/>
                <w:kern w:val="0"/>
                <w:sz w:val="24"/>
                <w:u w:val="single" w:color="auto"/>
                <w:lang w:val="en-US" w:eastAsia="zh-CN" w:bidi="ar"/>
              </w:rPr>
              <w:t>5</w:t>
            </w:r>
            <w:r>
              <w:rPr>
                <w:rFonts w:hint="default" w:ascii="Times New Roman" w:hAnsi="Times New Roman" w:cs="Times New Roman"/>
                <w:b/>
                <w:bCs/>
                <w:color w:val="auto"/>
                <w:kern w:val="0"/>
                <w:sz w:val="24"/>
                <w:u w:val="single" w:color="auto"/>
                <w:lang w:bidi="ar"/>
              </w:rPr>
              <w:t xml:space="preserve">、与《湖南省湘江保护条例》符合性分析 </w:t>
            </w:r>
          </w:p>
          <w:p w14:paraId="7278C741">
            <w:pPr>
              <w:pStyle w:val="29"/>
              <w:keepNext w:val="0"/>
              <w:keepLines w:val="0"/>
              <w:pageBreakBefore w:val="0"/>
              <w:widowControl/>
              <w:kinsoku/>
              <w:wordWrap/>
              <w:overflowPunct/>
              <w:topLinePunct w:val="0"/>
              <w:autoSpaceDE/>
              <w:autoSpaceDN/>
              <w:bidi w:val="0"/>
              <w:adjustRightInd/>
              <w:snapToGrid w:val="0"/>
              <w:spacing w:before="0" w:after="0" w:line="420" w:lineRule="exact"/>
              <w:ind w:firstLine="480" w:firstLineChars="200"/>
              <w:textAlignment w:val="auto"/>
              <w:rPr>
                <w:rFonts w:hint="eastAsia" w:ascii="Times New Roman" w:hAnsi="Times New Roman" w:eastAsia="宋体" w:cs="Times New Roman"/>
                <w:color w:val="000000"/>
                <w:kern w:val="2"/>
                <w:sz w:val="24"/>
                <w:szCs w:val="24"/>
                <w:highlight w:val="none"/>
                <w:u w:val="single" w:color="auto"/>
                <w:lang w:val="en-US" w:eastAsia="zh-CN" w:bidi="ar-SA"/>
              </w:rPr>
            </w:pPr>
            <w:r>
              <w:rPr>
                <w:rFonts w:hint="eastAsia" w:ascii="Times New Roman" w:hAnsi="Times New Roman" w:eastAsia="宋体" w:cs="Times New Roman"/>
                <w:color w:val="000000"/>
                <w:kern w:val="2"/>
                <w:sz w:val="24"/>
                <w:szCs w:val="24"/>
                <w:highlight w:val="none"/>
                <w:u w:val="single" w:color="auto"/>
                <w:lang w:val="en-US" w:eastAsia="zh-CN" w:bidi="ar-SA"/>
              </w:rPr>
              <w:t>根据《湖南省湘江保护条例》（2023年修正），本工程与相关要求比较见下表。</w:t>
            </w:r>
          </w:p>
          <w:p w14:paraId="52E4895E">
            <w:pPr>
              <w:widowControl/>
              <w:spacing w:before="63" w:beforeLines="20" w:line="240" w:lineRule="auto"/>
              <w:ind w:firstLine="0" w:firstLineChars="0"/>
              <w:jc w:val="center"/>
              <w:rPr>
                <w:rFonts w:hint="default" w:ascii="Times New Roman" w:hAnsi="Times New Roman" w:eastAsia="宋体" w:cs="Times New Roman"/>
                <w:b/>
                <w:color w:val="auto"/>
                <w:kern w:val="0"/>
                <w:sz w:val="24"/>
                <w:szCs w:val="24"/>
                <w:u w:val="single" w:color="auto"/>
                <w:lang w:val="en-US" w:eastAsia="zh-CN" w:bidi="ar-SA"/>
              </w:rPr>
            </w:pPr>
            <w:r>
              <w:rPr>
                <w:rFonts w:ascii="Times New Roman" w:hAnsi="Times New Roman" w:eastAsia="宋体" w:cs="Times New Roman"/>
                <w:b/>
                <w:color w:val="auto"/>
                <w:kern w:val="0"/>
                <w:sz w:val="24"/>
                <w:szCs w:val="24"/>
                <w:u w:val="single" w:color="auto"/>
                <w:lang w:val="en-US" w:eastAsia="zh-CN" w:bidi="ar-SA"/>
              </w:rPr>
              <w:t>表1-</w:t>
            </w:r>
            <w:r>
              <w:rPr>
                <w:rFonts w:hint="eastAsia" w:cs="Times New Roman"/>
                <w:b/>
                <w:color w:val="auto"/>
                <w:kern w:val="0"/>
                <w:sz w:val="24"/>
                <w:szCs w:val="24"/>
                <w:u w:val="single" w:color="auto"/>
                <w:lang w:val="en-US" w:eastAsia="zh-CN" w:bidi="ar-SA"/>
              </w:rPr>
              <w:t>4</w:t>
            </w:r>
            <w:r>
              <w:rPr>
                <w:rFonts w:hint="eastAsia" w:ascii="Times New Roman" w:hAnsi="Times New Roman" w:eastAsia="宋体" w:cs="Times New Roman"/>
                <w:b/>
                <w:color w:val="auto"/>
                <w:kern w:val="0"/>
                <w:sz w:val="24"/>
                <w:szCs w:val="24"/>
                <w:u w:val="single" w:color="auto"/>
                <w:lang w:val="en-US" w:eastAsia="zh-CN" w:bidi="ar-SA"/>
              </w:rPr>
              <w:t xml:space="preserve">  与《湖南省湘江保护条例》（2023年修正）符合性</w:t>
            </w:r>
            <w:r>
              <w:rPr>
                <w:rFonts w:ascii="Times New Roman" w:hAnsi="Times New Roman" w:eastAsia="宋体" w:cs="Times New Roman"/>
                <w:b/>
                <w:color w:val="auto"/>
                <w:kern w:val="0"/>
                <w:sz w:val="24"/>
                <w:szCs w:val="24"/>
                <w:u w:val="single" w:color="auto"/>
                <w:lang w:val="en-US" w:eastAsia="zh-CN" w:bidi="ar-SA"/>
              </w:rPr>
              <w:t>分析</w:t>
            </w:r>
          </w:p>
          <w:tbl>
            <w:tblPr>
              <w:tblStyle w:val="3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36"/>
              <w:gridCol w:w="2229"/>
              <w:gridCol w:w="797"/>
            </w:tblGrid>
            <w:tr w14:paraId="57F18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2826" w:type="pct"/>
                  <w:noWrap w:val="0"/>
                  <w:vAlign w:val="center"/>
                </w:tcPr>
                <w:p w14:paraId="5C9A3BC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kern w:val="0"/>
                      <w:sz w:val="21"/>
                      <w:szCs w:val="21"/>
                      <w:highlight w:val="none"/>
                      <w:u w:val="single" w:color="auto"/>
                    </w:rPr>
                  </w:pPr>
                  <w:r>
                    <w:rPr>
                      <w:rFonts w:hint="default" w:ascii="Times New Roman" w:hAnsi="Times New Roman" w:eastAsia="宋体" w:cs="Times New Roman"/>
                      <w:spacing w:val="0"/>
                      <w:w w:val="100"/>
                      <w:kern w:val="0"/>
                      <w:sz w:val="21"/>
                      <w:szCs w:val="21"/>
                      <w:highlight w:val="none"/>
                      <w:u w:val="single" w:color="auto"/>
                    </w:rPr>
                    <w:t>文件要求</w:t>
                  </w:r>
                </w:p>
              </w:tc>
              <w:tc>
                <w:tcPr>
                  <w:tcW w:w="1600" w:type="pct"/>
                  <w:noWrap w:val="0"/>
                  <w:vAlign w:val="center"/>
                </w:tcPr>
                <w:p w14:paraId="2C18773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kern w:val="0"/>
                      <w:sz w:val="21"/>
                      <w:szCs w:val="21"/>
                      <w:highlight w:val="none"/>
                      <w:u w:val="single" w:color="auto"/>
                    </w:rPr>
                  </w:pPr>
                  <w:r>
                    <w:rPr>
                      <w:rFonts w:hint="default" w:ascii="Times New Roman" w:hAnsi="Times New Roman" w:eastAsia="宋体" w:cs="Times New Roman"/>
                      <w:spacing w:val="0"/>
                      <w:w w:val="100"/>
                      <w:kern w:val="0"/>
                      <w:sz w:val="21"/>
                      <w:szCs w:val="21"/>
                      <w:highlight w:val="none"/>
                      <w:u w:val="single" w:color="auto"/>
                    </w:rPr>
                    <w:t>本项目情况</w:t>
                  </w:r>
                </w:p>
              </w:tc>
              <w:tc>
                <w:tcPr>
                  <w:tcW w:w="572" w:type="pct"/>
                  <w:noWrap w:val="0"/>
                  <w:vAlign w:val="center"/>
                </w:tcPr>
                <w:p w14:paraId="7C81833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kern w:val="0"/>
                      <w:sz w:val="21"/>
                      <w:szCs w:val="21"/>
                      <w:highlight w:val="none"/>
                      <w:u w:val="single" w:color="auto"/>
                      <w:lang w:val="en-US" w:eastAsia="zh-CN"/>
                    </w:rPr>
                  </w:pPr>
                  <w:r>
                    <w:rPr>
                      <w:rFonts w:hint="eastAsia" w:ascii="Times New Roman" w:hAnsi="Times New Roman" w:eastAsia="宋体" w:cs="Times New Roman"/>
                      <w:spacing w:val="0"/>
                      <w:w w:val="100"/>
                      <w:kern w:val="0"/>
                      <w:sz w:val="21"/>
                      <w:szCs w:val="21"/>
                      <w:highlight w:val="none"/>
                      <w:u w:val="single" w:color="auto"/>
                      <w:lang w:val="en-US" w:eastAsia="zh-CN"/>
                    </w:rPr>
                    <w:t>是否符合</w:t>
                  </w:r>
                </w:p>
              </w:tc>
            </w:tr>
            <w:tr w14:paraId="40912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2826" w:type="pct"/>
                  <w:noWrap w:val="0"/>
                  <w:vAlign w:val="center"/>
                </w:tcPr>
                <w:p w14:paraId="183ECCAB">
                  <w:pPr>
                    <w:pStyle w:val="42"/>
                    <w:keepNext w:val="0"/>
                    <w:keepLines w:val="0"/>
                    <w:pageBreakBefore w:val="0"/>
                    <w:widowControl w:val="0"/>
                    <w:kinsoku/>
                    <w:wordWrap/>
                    <w:overflowPunct/>
                    <w:topLinePunct w:val="0"/>
                    <w:autoSpaceDE/>
                    <w:autoSpaceDN/>
                    <w:bidi w:val="0"/>
                    <w:adjustRightInd/>
                    <w:snapToGrid/>
                    <w:spacing w:line="240" w:lineRule="auto"/>
                    <w:ind w:left="0" w:right="0" w:firstLine="0"/>
                    <w:jc w:val="left"/>
                    <w:textAlignment w:val="auto"/>
                    <w:rPr>
                      <w:rFonts w:hint="default" w:ascii="Times New Roman" w:hAnsi="Times New Roman" w:eastAsia="宋体" w:cs="Times New Roman"/>
                      <w:spacing w:val="0"/>
                      <w:w w:val="100"/>
                      <w:kern w:val="0"/>
                      <w:sz w:val="21"/>
                      <w:szCs w:val="21"/>
                      <w:highlight w:val="none"/>
                      <w:u w:val="single" w:color="auto"/>
                      <w:lang w:val="en-US" w:eastAsia="zh-CN"/>
                    </w:rPr>
                  </w:pPr>
                  <w:r>
                    <w:rPr>
                      <w:rFonts w:hint="default" w:ascii="Times New Roman" w:hAnsi="Times New Roman" w:eastAsia="宋体" w:cs="Times New Roman"/>
                      <w:spacing w:val="0"/>
                      <w:w w:val="100"/>
                      <w:kern w:val="0"/>
                      <w:sz w:val="21"/>
                      <w:szCs w:val="21"/>
                      <w:highlight w:val="none"/>
                      <w:u w:val="single" w:color="auto"/>
                      <w:lang w:val="en-US" w:eastAsia="zh-CN"/>
                    </w:rPr>
                    <w:t>禁止在湘江流域饮用水水源一级保护区内设置排污口（渠），禁止新建、改建、扩建与供水设施和保护水源无</w:t>
                  </w:r>
                  <w:r>
                    <w:rPr>
                      <w:rFonts w:hint="eastAsia" w:ascii="Times New Roman" w:hAnsi="Times New Roman" w:eastAsia="宋体" w:cs="Times New Roman"/>
                      <w:spacing w:val="0"/>
                      <w:w w:val="100"/>
                      <w:kern w:val="0"/>
                      <w:sz w:val="21"/>
                      <w:szCs w:val="21"/>
                      <w:highlight w:val="none"/>
                      <w:u w:val="single" w:color="auto"/>
                      <w:lang w:val="en-US" w:eastAsia="zh-CN"/>
                    </w:rPr>
                    <w:t>关</w:t>
                  </w:r>
                  <w:r>
                    <w:rPr>
                      <w:rFonts w:hint="default" w:ascii="Times New Roman" w:hAnsi="Times New Roman" w:eastAsia="宋体" w:cs="Times New Roman"/>
                      <w:spacing w:val="0"/>
                      <w:w w:val="100"/>
                      <w:kern w:val="0"/>
                      <w:sz w:val="21"/>
                      <w:szCs w:val="21"/>
                      <w:highlight w:val="none"/>
                      <w:u w:val="single" w:color="auto"/>
                      <w:lang w:val="en-US" w:eastAsia="zh-CN"/>
                    </w:rPr>
                    <w:t>的建设项目；已经设置排污口（渠）、建成与供水设施和保护水源无关的建设项目，县级以上人民政府应当在省人民政府规定期 限内组织拆除或者关闭。禁止在湘江流域饮用水水源一级保护区内从事网箱养殖、旅游、游泳、垂钓或者其他可能污染饮用水水体的活动</w:t>
                  </w:r>
                  <w:r>
                    <w:rPr>
                      <w:rFonts w:hint="eastAsia" w:ascii="Times New Roman" w:hAnsi="Times New Roman" w:eastAsia="宋体" w:cs="Times New Roman"/>
                      <w:spacing w:val="0"/>
                      <w:w w:val="100"/>
                      <w:kern w:val="0"/>
                      <w:sz w:val="21"/>
                      <w:szCs w:val="21"/>
                      <w:highlight w:val="none"/>
                      <w:u w:val="single" w:color="auto"/>
                      <w:lang w:val="en-US" w:eastAsia="zh-CN"/>
                    </w:rPr>
                    <w:t>。</w:t>
                  </w:r>
                </w:p>
              </w:tc>
              <w:tc>
                <w:tcPr>
                  <w:tcW w:w="1600" w:type="pct"/>
                  <w:noWrap w:val="0"/>
                  <w:vAlign w:val="center"/>
                </w:tcPr>
                <w:p w14:paraId="466A17EA">
                  <w:pPr>
                    <w:pStyle w:val="42"/>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w w:val="100"/>
                      <w:kern w:val="0"/>
                      <w:sz w:val="21"/>
                      <w:szCs w:val="21"/>
                      <w:highlight w:val="none"/>
                      <w:u w:val="single" w:color="auto"/>
                    </w:rPr>
                  </w:pPr>
                  <w:r>
                    <w:rPr>
                      <w:rFonts w:hint="default" w:ascii="Times New Roman" w:hAnsi="Times New Roman" w:eastAsia="宋体" w:cs="Times New Roman"/>
                      <w:spacing w:val="0"/>
                      <w:w w:val="100"/>
                      <w:sz w:val="21"/>
                      <w:szCs w:val="21"/>
                      <w:highlight w:val="none"/>
                      <w:u w:val="single" w:color="auto"/>
                    </w:rPr>
                    <w:t>本项目</w:t>
                  </w:r>
                  <w:r>
                    <w:rPr>
                      <w:rFonts w:hint="eastAsia" w:ascii="Times New Roman" w:hAnsi="Times New Roman" w:eastAsia="宋体" w:cs="Times New Roman"/>
                      <w:spacing w:val="0"/>
                      <w:w w:val="100"/>
                      <w:sz w:val="21"/>
                      <w:szCs w:val="21"/>
                      <w:highlight w:val="none"/>
                      <w:u w:val="single" w:color="auto"/>
                      <w:lang w:val="en-US" w:eastAsia="zh-CN"/>
                    </w:rPr>
                    <w:t>不涉及一级饮用水源保护区。</w:t>
                  </w:r>
                  <w:r>
                    <w:rPr>
                      <w:rFonts w:hint="default" w:ascii="Times New Roman" w:hAnsi="Times New Roman" w:eastAsia="宋体" w:cs="Times New Roman"/>
                      <w:color w:val="auto"/>
                      <w:kern w:val="0"/>
                      <w:szCs w:val="21"/>
                      <w:u w:val="single" w:color="auto"/>
                      <w:lang w:val="en-US" w:eastAsia="zh-CN"/>
                    </w:rPr>
                    <w:t>项目水帘废水作为危险废物处置，委托有资质单位外运处置，不外排，生活污水经化粪池处理后用于周边林地浇灌，不外排</w:t>
                  </w:r>
                  <w:r>
                    <w:rPr>
                      <w:rFonts w:hint="eastAsia" w:ascii="Times New Roman" w:hAnsi="Times New Roman" w:cs="Times New Roman"/>
                      <w:color w:val="auto"/>
                      <w:kern w:val="0"/>
                      <w:szCs w:val="21"/>
                      <w:u w:val="single" w:color="auto"/>
                      <w:lang w:val="en-US" w:eastAsia="zh-CN"/>
                    </w:rPr>
                    <w:t>。</w:t>
                  </w:r>
                </w:p>
              </w:tc>
              <w:tc>
                <w:tcPr>
                  <w:tcW w:w="572" w:type="pct"/>
                  <w:noWrap w:val="0"/>
                  <w:vAlign w:val="center"/>
                </w:tcPr>
                <w:p w14:paraId="32753DB4">
                  <w:pPr>
                    <w:pStyle w:val="4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hAnsi="Times New Roman" w:eastAsia="宋体" w:cs="Times New Roman"/>
                      <w:spacing w:val="0"/>
                      <w:w w:val="100"/>
                      <w:kern w:val="0"/>
                      <w:sz w:val="21"/>
                      <w:szCs w:val="21"/>
                      <w:highlight w:val="none"/>
                      <w:u w:val="single" w:color="auto"/>
                    </w:rPr>
                  </w:pPr>
                  <w:r>
                    <w:rPr>
                      <w:rFonts w:hint="default" w:ascii="Times New Roman" w:hAnsi="Times New Roman" w:eastAsia="宋体" w:cs="Times New Roman"/>
                      <w:spacing w:val="0"/>
                      <w:w w:val="100"/>
                      <w:sz w:val="21"/>
                      <w:szCs w:val="21"/>
                      <w:highlight w:val="none"/>
                      <w:u w:val="single" w:color="auto"/>
                    </w:rPr>
                    <w:t>符合</w:t>
                  </w:r>
                </w:p>
              </w:tc>
            </w:tr>
            <w:tr w14:paraId="26A68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2826" w:type="pct"/>
                  <w:noWrap w:val="0"/>
                  <w:vAlign w:val="center"/>
                </w:tcPr>
                <w:p w14:paraId="1D9CB5DB">
                  <w:pPr>
                    <w:pStyle w:val="42"/>
                    <w:keepNext w:val="0"/>
                    <w:keepLines w:val="0"/>
                    <w:pageBreakBefore w:val="0"/>
                    <w:widowControl w:val="0"/>
                    <w:kinsoku/>
                    <w:wordWrap/>
                    <w:overflowPunct/>
                    <w:topLinePunct w:val="0"/>
                    <w:autoSpaceDE/>
                    <w:autoSpaceDN/>
                    <w:bidi w:val="0"/>
                    <w:adjustRightInd/>
                    <w:snapToGrid/>
                    <w:spacing w:line="240" w:lineRule="auto"/>
                    <w:ind w:left="0" w:right="0" w:firstLine="0"/>
                    <w:jc w:val="left"/>
                    <w:textAlignment w:val="auto"/>
                    <w:rPr>
                      <w:rFonts w:hint="eastAsia" w:ascii="Times New Roman" w:hAnsi="Times New Roman" w:eastAsia="宋体" w:cs="Times New Roman"/>
                      <w:spacing w:val="0"/>
                      <w:w w:val="100"/>
                      <w:kern w:val="0"/>
                      <w:sz w:val="21"/>
                      <w:szCs w:val="21"/>
                      <w:highlight w:val="none"/>
                      <w:u w:val="single" w:color="auto"/>
                      <w:lang w:eastAsia="zh-CN"/>
                    </w:rPr>
                  </w:pPr>
                  <w:r>
                    <w:rPr>
                      <w:rFonts w:hint="default" w:ascii="Times New Roman" w:hAnsi="Times New Roman" w:eastAsia="宋体" w:cs="Times New Roman"/>
                      <w:spacing w:val="0"/>
                      <w:w w:val="100"/>
                      <w:kern w:val="0"/>
                      <w:sz w:val="21"/>
                      <w:szCs w:val="21"/>
                      <w:highlight w:val="none"/>
                      <w:u w:val="single" w:color="auto"/>
                    </w:rPr>
                    <w:t>禁止在湘江流域饮用水水源二级保护区内设置排污口（渠），禁止新建、改建、扩建排放污染物的建设项目；已经设置排污口（渠）、建成排放污染物的建设项目，县级以上人民政 府应当在省人民政府规定期限内组织拆除或者关闭</w:t>
                  </w:r>
                  <w:r>
                    <w:rPr>
                      <w:rFonts w:hint="eastAsia" w:ascii="Times New Roman" w:hAnsi="Times New Roman" w:eastAsia="宋体" w:cs="Times New Roman"/>
                      <w:spacing w:val="0"/>
                      <w:w w:val="100"/>
                      <w:kern w:val="0"/>
                      <w:sz w:val="21"/>
                      <w:szCs w:val="21"/>
                      <w:highlight w:val="none"/>
                      <w:u w:val="single" w:color="auto"/>
                      <w:lang w:eastAsia="zh-CN"/>
                    </w:rPr>
                    <w:t>。</w:t>
                  </w:r>
                </w:p>
              </w:tc>
              <w:tc>
                <w:tcPr>
                  <w:tcW w:w="1600" w:type="pct"/>
                  <w:noWrap w:val="0"/>
                  <w:vAlign w:val="center"/>
                </w:tcPr>
                <w:p w14:paraId="569A3282">
                  <w:pPr>
                    <w:pStyle w:val="4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pacing w:val="0"/>
                      <w:w w:val="100"/>
                      <w:kern w:val="0"/>
                      <w:sz w:val="21"/>
                      <w:szCs w:val="21"/>
                      <w:highlight w:val="none"/>
                      <w:u w:val="single" w:color="auto"/>
                      <w:lang w:eastAsia="zh-CN"/>
                    </w:rPr>
                  </w:pPr>
                  <w:r>
                    <w:rPr>
                      <w:rFonts w:hint="default" w:ascii="Times New Roman" w:hAnsi="Times New Roman" w:eastAsia="宋体" w:cs="Times New Roman"/>
                      <w:spacing w:val="0"/>
                      <w:w w:val="100"/>
                      <w:sz w:val="21"/>
                      <w:szCs w:val="21"/>
                      <w:highlight w:val="none"/>
                      <w:u w:val="single" w:color="auto"/>
                    </w:rPr>
                    <w:t>本项目</w:t>
                  </w:r>
                  <w:r>
                    <w:rPr>
                      <w:rFonts w:hint="eastAsia" w:ascii="Times New Roman" w:hAnsi="Times New Roman" w:eastAsia="宋体" w:cs="Times New Roman"/>
                      <w:spacing w:val="0"/>
                      <w:w w:val="100"/>
                      <w:sz w:val="21"/>
                      <w:szCs w:val="21"/>
                      <w:highlight w:val="none"/>
                      <w:u w:val="single" w:color="auto"/>
                      <w:lang w:val="en-US" w:eastAsia="zh-CN"/>
                    </w:rPr>
                    <w:t>不涉及二级饮用水源保护区。项目水帘废水作为危险废物处置，委托有资质单位外运处置，不外排，生活污水经化粪池处理后用于周边林地浇灌，不外排</w:t>
                  </w:r>
                  <w:r>
                    <w:rPr>
                      <w:rFonts w:hint="eastAsia" w:ascii="Times New Roman" w:hAnsi="Times New Roman" w:cs="Times New Roman"/>
                      <w:spacing w:val="0"/>
                      <w:w w:val="100"/>
                      <w:sz w:val="21"/>
                      <w:szCs w:val="21"/>
                      <w:highlight w:val="none"/>
                      <w:u w:val="single" w:color="auto"/>
                      <w:lang w:val="en-US" w:eastAsia="zh-CN"/>
                    </w:rPr>
                    <w:t>。</w:t>
                  </w:r>
                </w:p>
              </w:tc>
              <w:tc>
                <w:tcPr>
                  <w:tcW w:w="572" w:type="pct"/>
                  <w:noWrap w:val="0"/>
                  <w:vAlign w:val="center"/>
                </w:tcPr>
                <w:p w14:paraId="4D807EE1">
                  <w:pPr>
                    <w:pStyle w:val="4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hAnsi="Times New Roman" w:eastAsia="宋体" w:cs="Times New Roman"/>
                      <w:spacing w:val="0"/>
                      <w:w w:val="100"/>
                      <w:kern w:val="0"/>
                      <w:sz w:val="21"/>
                      <w:szCs w:val="21"/>
                      <w:highlight w:val="none"/>
                      <w:u w:val="single" w:color="auto"/>
                    </w:rPr>
                  </w:pPr>
                  <w:r>
                    <w:rPr>
                      <w:rFonts w:hint="default" w:ascii="Times New Roman" w:hAnsi="Times New Roman" w:eastAsia="宋体" w:cs="Times New Roman"/>
                      <w:spacing w:val="0"/>
                      <w:w w:val="100"/>
                      <w:sz w:val="21"/>
                      <w:szCs w:val="21"/>
                      <w:highlight w:val="none"/>
                      <w:u w:val="single" w:color="auto"/>
                    </w:rPr>
                    <w:t>符合</w:t>
                  </w:r>
                </w:p>
              </w:tc>
            </w:tr>
            <w:tr w14:paraId="46688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2826" w:type="pct"/>
                  <w:noWrap w:val="0"/>
                  <w:vAlign w:val="center"/>
                </w:tcPr>
                <w:p w14:paraId="6E64B0D6">
                  <w:pPr>
                    <w:pStyle w:val="42"/>
                    <w:keepNext w:val="0"/>
                    <w:keepLines w:val="0"/>
                    <w:pageBreakBefore w:val="0"/>
                    <w:widowControl w:val="0"/>
                    <w:kinsoku/>
                    <w:wordWrap/>
                    <w:overflowPunct/>
                    <w:topLinePunct w:val="0"/>
                    <w:autoSpaceDE/>
                    <w:autoSpaceDN/>
                    <w:bidi w:val="0"/>
                    <w:adjustRightInd/>
                    <w:snapToGrid/>
                    <w:spacing w:line="240" w:lineRule="auto"/>
                    <w:ind w:left="0" w:right="0" w:firstLine="0"/>
                    <w:jc w:val="left"/>
                    <w:textAlignment w:val="auto"/>
                    <w:rPr>
                      <w:rFonts w:hint="default" w:ascii="Times New Roman" w:hAnsi="Times New Roman" w:eastAsia="宋体" w:cs="Times New Roman"/>
                      <w:spacing w:val="0"/>
                      <w:w w:val="100"/>
                      <w:sz w:val="21"/>
                      <w:szCs w:val="21"/>
                      <w:highlight w:val="none"/>
                      <w:u w:val="single" w:color="auto"/>
                    </w:rPr>
                  </w:pPr>
                  <w:r>
                    <w:rPr>
                      <w:rFonts w:hint="default" w:ascii="Times New Roman" w:hAnsi="Times New Roman" w:eastAsia="宋体" w:cs="Times New Roman"/>
                      <w:spacing w:val="0"/>
                      <w:w w:val="100"/>
                      <w:sz w:val="21"/>
                      <w:szCs w:val="21"/>
                      <w:highlight w:val="none"/>
                      <w:u w:val="single" w:color="auto"/>
                    </w:rPr>
                    <w:t>禁止在湘江干流岸线一公里范围内新建、扩建化工园区和化工项目。</w:t>
                  </w:r>
                </w:p>
                <w:p w14:paraId="65ECEACD">
                  <w:pPr>
                    <w:pStyle w:val="42"/>
                    <w:keepNext w:val="0"/>
                    <w:keepLines w:val="0"/>
                    <w:pageBreakBefore w:val="0"/>
                    <w:widowControl w:val="0"/>
                    <w:kinsoku/>
                    <w:wordWrap/>
                    <w:overflowPunct/>
                    <w:topLinePunct w:val="0"/>
                    <w:autoSpaceDE/>
                    <w:autoSpaceDN/>
                    <w:bidi w:val="0"/>
                    <w:adjustRightInd/>
                    <w:snapToGrid/>
                    <w:spacing w:line="240" w:lineRule="auto"/>
                    <w:ind w:left="0" w:right="0" w:firstLine="0"/>
                    <w:jc w:val="left"/>
                    <w:textAlignment w:val="auto"/>
                    <w:rPr>
                      <w:rFonts w:hint="default" w:ascii="Times New Roman" w:hAnsi="Times New Roman" w:eastAsia="宋体" w:cs="Times New Roman"/>
                      <w:spacing w:val="0"/>
                      <w:w w:val="100"/>
                      <w:sz w:val="21"/>
                      <w:szCs w:val="21"/>
                      <w:highlight w:val="none"/>
                      <w:u w:val="single" w:color="auto"/>
                    </w:rPr>
                  </w:pPr>
                  <w:r>
                    <w:rPr>
                      <w:rFonts w:hint="default" w:ascii="Times New Roman" w:hAnsi="Times New Roman" w:eastAsia="宋体" w:cs="Times New Roman"/>
                      <w:spacing w:val="0"/>
                      <w:w w:val="100"/>
                      <w:sz w:val="21"/>
                      <w:szCs w:val="21"/>
                      <w:highlight w:val="none"/>
                      <w:u w:val="single" w:color="auto"/>
                    </w:rPr>
                    <w:t>禁止在湘江干流岸线一公里范围内新建、改建、扩建尾矿库；但是以提升安全、生态环境保护水平为目的的改建除外。</w:t>
                  </w:r>
                </w:p>
              </w:tc>
              <w:tc>
                <w:tcPr>
                  <w:tcW w:w="1600" w:type="pct"/>
                  <w:noWrap w:val="0"/>
                  <w:vAlign w:val="center"/>
                </w:tcPr>
                <w:p w14:paraId="608E5E19">
                  <w:pPr>
                    <w:pStyle w:val="42"/>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w w:val="100"/>
                      <w:sz w:val="21"/>
                      <w:szCs w:val="21"/>
                      <w:highlight w:val="none"/>
                      <w:u w:val="single" w:color="auto"/>
                    </w:rPr>
                  </w:pPr>
                  <w:r>
                    <w:rPr>
                      <w:rFonts w:hint="default" w:ascii="Times New Roman" w:hAnsi="Times New Roman" w:eastAsia="宋体" w:cs="Times New Roman"/>
                      <w:color w:val="auto"/>
                      <w:kern w:val="0"/>
                      <w:szCs w:val="21"/>
                      <w:u w:val="single" w:color="auto"/>
                      <w:lang w:val="en-US" w:eastAsia="zh-CN"/>
                    </w:rPr>
                    <w:t xml:space="preserve">本项目距湘江约 </w:t>
                  </w:r>
                  <w:r>
                    <w:rPr>
                      <w:rFonts w:hint="eastAsia" w:ascii="Times New Roman" w:hAnsi="Times New Roman" w:eastAsia="宋体" w:cs="Times New Roman"/>
                      <w:color w:val="auto"/>
                      <w:kern w:val="0"/>
                      <w:szCs w:val="21"/>
                      <w:u w:val="single" w:color="auto"/>
                      <w:lang w:val="en-US" w:eastAsia="zh-CN"/>
                    </w:rPr>
                    <w:t>5.5</w:t>
                  </w:r>
                  <w:r>
                    <w:rPr>
                      <w:rFonts w:hint="default" w:ascii="Times New Roman" w:hAnsi="Times New Roman" w:eastAsia="宋体" w:cs="Times New Roman"/>
                      <w:color w:val="auto"/>
                      <w:kern w:val="0"/>
                      <w:szCs w:val="21"/>
                      <w:u w:val="single" w:color="auto"/>
                      <w:lang w:val="en-US" w:eastAsia="zh-CN"/>
                    </w:rPr>
                    <w:t>km</w:t>
                  </w:r>
                  <w:r>
                    <w:rPr>
                      <w:rFonts w:hint="default" w:ascii="Times New Roman" w:hAnsi="Times New Roman" w:eastAsia="宋体" w:cs="Times New Roman"/>
                      <w:spacing w:val="0"/>
                      <w:w w:val="100"/>
                      <w:sz w:val="21"/>
                      <w:szCs w:val="21"/>
                      <w:highlight w:val="none"/>
                      <w:u w:val="single" w:color="auto"/>
                    </w:rPr>
                    <w:t>，根据项目建设内容可知，本项目</w:t>
                  </w:r>
                  <w:r>
                    <w:rPr>
                      <w:rFonts w:hint="eastAsia" w:ascii="Times New Roman" w:hAnsi="Times New Roman" w:eastAsia="宋体" w:cs="Times New Roman"/>
                      <w:spacing w:val="0"/>
                      <w:w w:val="100"/>
                      <w:sz w:val="21"/>
                      <w:szCs w:val="21"/>
                      <w:highlight w:val="none"/>
                      <w:u w:val="single" w:color="auto"/>
                      <w:lang w:val="en-US" w:eastAsia="zh-CN"/>
                    </w:rPr>
                    <w:t>属于</w:t>
                  </w:r>
                  <w:r>
                    <w:rPr>
                      <w:rFonts w:hint="default" w:ascii="Times New Roman" w:hAnsi="Times New Roman" w:eastAsia="宋体" w:cs="Times New Roman"/>
                      <w:color w:val="auto"/>
                      <w:sz w:val="21"/>
                      <w:szCs w:val="21"/>
                      <w:highlight w:val="none"/>
                      <w:u w:val="single" w:color="auto"/>
                      <w:lang w:val="en-US" w:eastAsia="zh-CN"/>
                    </w:rPr>
                    <w:t>通用设备制造业</w:t>
                  </w:r>
                  <w:r>
                    <w:rPr>
                      <w:rFonts w:hint="eastAsia" w:ascii="Times New Roman" w:hAnsi="Times New Roman" w:cs="Times New Roman"/>
                      <w:color w:val="auto"/>
                      <w:sz w:val="21"/>
                      <w:szCs w:val="21"/>
                      <w:highlight w:val="none"/>
                      <w:u w:val="single" w:color="auto"/>
                      <w:lang w:val="en-US" w:eastAsia="zh-CN"/>
                    </w:rPr>
                    <w:t>和铁路、船舶、航空航天和其他运输设备制造业</w:t>
                  </w:r>
                  <w:r>
                    <w:rPr>
                      <w:rFonts w:hint="eastAsia" w:ascii="Times New Roman" w:hAnsi="Times New Roman" w:eastAsia="宋体" w:cs="Times New Roman"/>
                      <w:spacing w:val="0"/>
                      <w:w w:val="100"/>
                      <w:sz w:val="21"/>
                      <w:szCs w:val="21"/>
                      <w:highlight w:val="none"/>
                      <w:u w:val="single" w:color="auto"/>
                      <w:lang w:val="en-US" w:eastAsia="zh-CN"/>
                    </w:rPr>
                    <w:t>，</w:t>
                  </w:r>
                  <w:r>
                    <w:rPr>
                      <w:rFonts w:hint="default" w:ascii="Times New Roman" w:hAnsi="Times New Roman" w:eastAsia="宋体" w:cs="Times New Roman"/>
                      <w:spacing w:val="0"/>
                      <w:w w:val="100"/>
                      <w:sz w:val="21"/>
                      <w:szCs w:val="21"/>
                      <w:highlight w:val="none"/>
                      <w:u w:val="single" w:color="auto"/>
                    </w:rPr>
                    <w:t>不属于</w:t>
                  </w:r>
                  <w:r>
                    <w:rPr>
                      <w:rFonts w:hint="eastAsia" w:eastAsia="宋体" w:cs="Times New Roman"/>
                      <w:spacing w:val="0"/>
                      <w:w w:val="100"/>
                      <w:sz w:val="21"/>
                      <w:szCs w:val="21"/>
                      <w:highlight w:val="none"/>
                      <w:u w:val="single" w:color="auto"/>
                      <w:lang w:val="en-US" w:eastAsia="zh-CN"/>
                    </w:rPr>
                    <w:t>化工项目</w:t>
                  </w:r>
                  <w:r>
                    <w:rPr>
                      <w:rFonts w:hint="default" w:ascii="Times New Roman" w:hAnsi="Times New Roman" w:eastAsia="宋体" w:cs="Times New Roman"/>
                      <w:spacing w:val="0"/>
                      <w:w w:val="100"/>
                      <w:sz w:val="21"/>
                      <w:szCs w:val="21"/>
                      <w:highlight w:val="none"/>
                      <w:u w:val="single" w:color="auto"/>
                    </w:rPr>
                    <w:t>，</w:t>
                  </w:r>
                  <w:r>
                    <w:rPr>
                      <w:rFonts w:hint="eastAsia" w:eastAsia="宋体" w:cs="Times New Roman"/>
                      <w:spacing w:val="0"/>
                      <w:w w:val="100"/>
                      <w:sz w:val="21"/>
                      <w:szCs w:val="21"/>
                      <w:highlight w:val="none"/>
                      <w:u w:val="single" w:color="auto"/>
                      <w:lang w:val="en-US" w:eastAsia="zh-CN"/>
                    </w:rPr>
                    <w:t>不涉及尾矿库建设。</w:t>
                  </w:r>
                </w:p>
              </w:tc>
              <w:tc>
                <w:tcPr>
                  <w:tcW w:w="572" w:type="pct"/>
                  <w:noWrap w:val="0"/>
                  <w:vAlign w:val="center"/>
                </w:tcPr>
                <w:p w14:paraId="7F83A828">
                  <w:pPr>
                    <w:pStyle w:val="42"/>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spacing w:val="0"/>
                      <w:w w:val="100"/>
                      <w:sz w:val="21"/>
                      <w:szCs w:val="21"/>
                      <w:highlight w:val="none"/>
                      <w:u w:val="single" w:color="auto"/>
                    </w:rPr>
                  </w:pPr>
                  <w:r>
                    <w:rPr>
                      <w:rFonts w:hint="default" w:ascii="Times New Roman" w:hAnsi="Times New Roman" w:eastAsia="宋体" w:cs="Times New Roman"/>
                      <w:spacing w:val="0"/>
                      <w:w w:val="100"/>
                      <w:sz w:val="21"/>
                      <w:szCs w:val="21"/>
                      <w:highlight w:val="none"/>
                      <w:u w:val="single" w:color="auto"/>
                    </w:rPr>
                    <w:t>符合</w:t>
                  </w:r>
                </w:p>
              </w:tc>
            </w:tr>
          </w:tbl>
          <w:p w14:paraId="69178B0F">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cs="Times New Roman"/>
                <w:color w:val="auto"/>
                <w:sz w:val="24"/>
                <w:u w:val="none" w:color="auto"/>
              </w:rPr>
            </w:pPr>
            <w:r>
              <w:rPr>
                <w:rFonts w:hint="eastAsia" w:cs="Times New Roman"/>
                <w:b/>
                <w:bCs/>
                <w:color w:val="auto"/>
                <w:kern w:val="0"/>
                <w:sz w:val="24"/>
                <w:u w:val="none" w:color="auto"/>
                <w:lang w:val="en-US" w:eastAsia="zh-CN" w:bidi="ar"/>
              </w:rPr>
              <w:t>6</w:t>
            </w:r>
            <w:r>
              <w:rPr>
                <w:rFonts w:hint="default" w:ascii="Times New Roman" w:hAnsi="Times New Roman" w:cs="Times New Roman"/>
                <w:b/>
                <w:bCs/>
                <w:color w:val="auto"/>
                <w:kern w:val="0"/>
                <w:sz w:val="24"/>
                <w:u w:val="none" w:color="auto"/>
                <w:lang w:bidi="ar"/>
              </w:rPr>
              <w:t xml:space="preserve">、与《湖南省大气污染防治条例》符合性分析 </w:t>
            </w:r>
          </w:p>
          <w:p w14:paraId="101555AD">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sz w:val="24"/>
                <w:u w:val="none" w:color="auto"/>
              </w:rPr>
            </w:pPr>
            <w:r>
              <w:rPr>
                <w:rFonts w:hint="default" w:ascii="Times New Roman" w:hAnsi="Times New Roman" w:cs="Times New Roman"/>
                <w:color w:val="auto"/>
                <w:kern w:val="0"/>
                <w:sz w:val="24"/>
                <w:u w:val="none" w:color="auto"/>
                <w:lang w:bidi="ar"/>
              </w:rPr>
              <w:t>根据《湖南省大气污染防治条例》第二十七条，在大气污染重点区域城市建成区内禁止新建、扩建钢铁、水泥、有色金属、石油、化工等重污染企业以及新增产能项目。</w:t>
            </w:r>
            <w:r>
              <w:rPr>
                <w:rFonts w:hint="default" w:ascii="Times New Roman" w:hAnsi="Times New Roman" w:eastAsia="宋体" w:cs="Times New Roman"/>
                <w:color w:val="auto"/>
                <w:kern w:val="0"/>
                <w:sz w:val="24"/>
                <w:szCs w:val="24"/>
                <w:u w:val="none" w:color="auto"/>
                <w:lang w:val="en-US" w:eastAsia="zh-CN" w:bidi="ar"/>
              </w:rPr>
              <w:t>项目主要生产风扇、风罩和</w:t>
            </w:r>
            <w:r>
              <w:rPr>
                <w:rFonts w:hint="eastAsia" w:cs="Times New Roman"/>
                <w:color w:val="auto"/>
                <w:kern w:val="0"/>
                <w:sz w:val="24"/>
                <w:szCs w:val="24"/>
                <w:u w:val="none" w:color="auto"/>
                <w:lang w:val="en-US" w:eastAsia="zh-CN" w:bidi="ar"/>
              </w:rPr>
              <w:t>高铁连接板</w:t>
            </w:r>
            <w:r>
              <w:rPr>
                <w:rFonts w:hint="default" w:ascii="Times New Roman" w:hAnsi="Times New Roman" w:eastAsia="宋体" w:cs="Times New Roman"/>
                <w:color w:val="auto"/>
                <w:kern w:val="0"/>
                <w:sz w:val="24"/>
                <w:szCs w:val="24"/>
                <w:u w:val="none" w:color="auto"/>
                <w:lang w:val="en-US" w:eastAsia="zh-CN" w:bidi="ar"/>
              </w:rPr>
              <w:t>，不属于重污染企业</w:t>
            </w:r>
            <w:r>
              <w:rPr>
                <w:rFonts w:hint="default" w:ascii="Times New Roman" w:hAnsi="Times New Roman" w:cs="Times New Roman"/>
                <w:color w:val="auto"/>
                <w:kern w:val="0"/>
                <w:sz w:val="24"/>
                <w:u w:val="none" w:color="auto"/>
                <w:lang w:bidi="ar"/>
              </w:rPr>
              <w:t>。</w:t>
            </w:r>
          </w:p>
          <w:p w14:paraId="5A7F6757">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u w:val="none" w:color="auto"/>
                <w:lang w:bidi="ar"/>
              </w:rPr>
            </w:pPr>
            <w:r>
              <w:rPr>
                <w:rFonts w:hint="default" w:ascii="Times New Roman" w:hAnsi="Times New Roman" w:cs="Times New Roman"/>
                <w:color w:val="auto"/>
                <w:kern w:val="0"/>
                <w:sz w:val="24"/>
                <w:u w:val="none" w:color="auto"/>
                <w:lang w:bidi="ar"/>
              </w:rPr>
              <w:t>因此，本项目符合《湖南省大气污染防治条例》的相关规定。</w:t>
            </w:r>
          </w:p>
          <w:p w14:paraId="427B75ED">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cs="Times New Roman"/>
                <w:b/>
                <w:bCs/>
                <w:color w:val="auto"/>
                <w:kern w:val="0"/>
                <w:sz w:val="24"/>
                <w:szCs w:val="24"/>
                <w:u w:val="none" w:color="auto"/>
                <w:lang w:val="en-US" w:eastAsia="zh-CN" w:bidi="ar"/>
              </w:rPr>
            </w:pPr>
            <w:r>
              <w:rPr>
                <w:rFonts w:hint="eastAsia" w:cs="Times New Roman"/>
                <w:b/>
                <w:bCs/>
                <w:color w:val="auto"/>
                <w:kern w:val="0"/>
                <w:sz w:val="24"/>
                <w:szCs w:val="24"/>
                <w:u w:val="none" w:color="auto"/>
                <w:lang w:val="en-US" w:eastAsia="zh-CN" w:bidi="ar"/>
              </w:rPr>
              <w:t>7</w:t>
            </w:r>
            <w:r>
              <w:rPr>
                <w:rFonts w:hint="default" w:ascii="Times New Roman" w:hAnsi="Times New Roman" w:cs="Times New Roman"/>
                <w:b/>
                <w:bCs/>
                <w:color w:val="auto"/>
                <w:kern w:val="0"/>
                <w:sz w:val="24"/>
                <w:szCs w:val="24"/>
                <w:u w:val="none" w:color="auto"/>
                <w:lang w:val="en-US" w:eastAsia="zh-CN" w:bidi="ar"/>
              </w:rPr>
              <w:t>、项目与《长江经济带发展负面清单指南》（试行，2022版）及《湖南省长江经济带发展负面清单实施细则（试行，2022版）》的相符性分析</w:t>
            </w:r>
          </w:p>
          <w:p w14:paraId="73BD06DE">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b w:val="0"/>
                <w:bCs w:val="0"/>
                <w:color w:val="auto"/>
                <w:kern w:val="0"/>
                <w:sz w:val="24"/>
                <w:szCs w:val="24"/>
                <w:u w:val="none" w:color="auto"/>
                <w:lang w:val="en-US" w:eastAsia="zh-CN" w:bidi="ar"/>
              </w:rPr>
            </w:pPr>
            <w:r>
              <w:rPr>
                <w:rFonts w:hint="default" w:ascii="Times New Roman" w:hAnsi="Times New Roman" w:cs="Times New Roman"/>
                <w:b w:val="0"/>
                <w:bCs w:val="0"/>
                <w:color w:val="auto"/>
                <w:kern w:val="0"/>
                <w:sz w:val="24"/>
                <w:szCs w:val="24"/>
                <w:u w:val="none" w:color="auto"/>
                <w:lang w:val="en-US" w:eastAsia="zh-CN" w:bidi="ar"/>
              </w:rPr>
              <w:t>2022年1月19日，推动长江经济带发展领导小组办公室印发了《长江经济带发展负面清单指南（试行，2022年版）》；2022年6月30日，湖南省推动长江经济带发展领导小组办公室印发了《湖南省长江经济带发展负面清单实施细则（试行，2022年版）》，本项目与其相符性分析见下表。</w:t>
            </w:r>
          </w:p>
          <w:p w14:paraId="1ABD24EB">
            <w:pPr>
              <w:widowControl/>
              <w:spacing w:before="63" w:beforeLines="20" w:line="240" w:lineRule="auto"/>
              <w:ind w:firstLine="0" w:firstLineChars="0"/>
              <w:jc w:val="center"/>
              <w:rPr>
                <w:rFonts w:hint="default" w:ascii="Times New Roman" w:hAnsi="Times New Roman" w:eastAsia="宋体" w:cs="Times New Roman"/>
                <w:b/>
                <w:color w:val="auto"/>
                <w:kern w:val="0"/>
                <w:sz w:val="24"/>
                <w:szCs w:val="24"/>
                <w:u w:val="none" w:color="auto"/>
                <w:lang w:val="en-US" w:eastAsia="zh-CN" w:bidi="ar-SA"/>
              </w:rPr>
            </w:pPr>
            <w:r>
              <w:rPr>
                <w:rFonts w:hint="default" w:ascii="Times New Roman" w:hAnsi="Times New Roman" w:eastAsia="宋体" w:cs="Times New Roman"/>
                <w:b/>
                <w:color w:val="auto"/>
                <w:kern w:val="0"/>
                <w:sz w:val="24"/>
                <w:szCs w:val="24"/>
                <w:u w:val="none" w:color="auto"/>
                <w:lang w:val="en-US" w:eastAsia="zh-CN" w:bidi="ar-SA"/>
              </w:rPr>
              <w:t>表1-</w:t>
            </w:r>
            <w:r>
              <w:rPr>
                <w:rFonts w:hint="eastAsia" w:cs="Times New Roman"/>
                <w:b/>
                <w:color w:val="auto"/>
                <w:kern w:val="0"/>
                <w:sz w:val="24"/>
                <w:szCs w:val="24"/>
                <w:u w:val="none" w:color="auto"/>
                <w:lang w:val="en-US" w:eastAsia="zh-CN" w:bidi="ar-SA"/>
              </w:rPr>
              <w:t>5</w:t>
            </w:r>
            <w:r>
              <w:rPr>
                <w:rFonts w:hint="default" w:ascii="Times New Roman" w:hAnsi="Times New Roman" w:eastAsia="宋体" w:cs="Times New Roman"/>
                <w:b/>
                <w:color w:val="auto"/>
                <w:kern w:val="0"/>
                <w:sz w:val="24"/>
                <w:szCs w:val="24"/>
                <w:u w:val="none" w:color="auto"/>
                <w:lang w:val="en-US" w:eastAsia="zh-CN" w:bidi="ar-SA"/>
              </w:rPr>
              <w:t>与《长江经济带发展负面清单指南》（试行，2022版）及《湖南省长江经济带发展负面清单实施细则（试行，2022版）》的相符性分析</w:t>
            </w:r>
          </w:p>
          <w:tbl>
            <w:tblPr>
              <w:tblStyle w:val="32"/>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527"/>
              <w:gridCol w:w="2855"/>
              <w:gridCol w:w="1332"/>
              <w:gridCol w:w="665"/>
            </w:tblGrid>
            <w:tr w14:paraId="46A3A9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5" w:type="pct"/>
                  <w:tcBorders>
                    <w:tl2br w:val="nil"/>
                    <w:tr2bl w:val="nil"/>
                  </w:tcBorders>
                  <w:noWrap w:val="0"/>
                  <w:vAlign w:val="center"/>
                </w:tcPr>
                <w:p w14:paraId="5D4BA21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序号</w:t>
                  </w:r>
                </w:p>
              </w:tc>
              <w:tc>
                <w:tcPr>
                  <w:tcW w:w="1100" w:type="pct"/>
                  <w:tcBorders>
                    <w:tl2br w:val="nil"/>
                    <w:tr2bl w:val="nil"/>
                  </w:tcBorders>
                  <w:noWrap w:val="0"/>
                  <w:vAlign w:val="center"/>
                </w:tcPr>
                <w:p w14:paraId="4D8F4F7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kern w:val="0"/>
                      <w:sz w:val="21"/>
                      <w:szCs w:val="21"/>
                      <w:u w:val="none" w:color="auto"/>
                      <w:vertAlign w:val="baseline"/>
                      <w:lang w:val="en-US" w:eastAsia="zh-CN" w:bidi="ar"/>
                    </w:rPr>
                  </w:pPr>
                  <w:r>
                    <w:rPr>
                      <w:rFonts w:hint="default" w:ascii="Times New Roman" w:hAnsi="Times New Roman" w:cs="Times New Roman"/>
                      <w:color w:val="auto"/>
                      <w:sz w:val="21"/>
                      <w:szCs w:val="21"/>
                      <w:u w:val="none" w:color="auto"/>
                    </w:rPr>
                    <w:t>《长江经济带发展负面清单指南》</w:t>
                  </w:r>
                </w:p>
              </w:tc>
              <w:tc>
                <w:tcPr>
                  <w:tcW w:w="2055" w:type="pct"/>
                  <w:tcBorders>
                    <w:tl2br w:val="nil"/>
                    <w:tr2bl w:val="nil"/>
                  </w:tcBorders>
                  <w:noWrap w:val="0"/>
                  <w:vAlign w:val="center"/>
                </w:tcPr>
                <w:p w14:paraId="30F3465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sz w:val="21"/>
                      <w:szCs w:val="21"/>
                      <w:u w:val="none" w:color="auto"/>
                    </w:rPr>
                    <w:t>《</w:t>
                  </w:r>
                  <w:r>
                    <w:rPr>
                      <w:rFonts w:hint="default" w:ascii="Times New Roman" w:hAnsi="Times New Roman" w:cs="Times New Roman"/>
                      <w:color w:val="auto"/>
                      <w:sz w:val="21"/>
                      <w:szCs w:val="21"/>
                      <w:u w:val="none" w:color="auto"/>
                      <w:lang w:val="en-US" w:eastAsia="zh-CN"/>
                    </w:rPr>
                    <w:t>湖南省</w:t>
                  </w:r>
                  <w:r>
                    <w:rPr>
                      <w:rFonts w:hint="default" w:ascii="Times New Roman" w:hAnsi="Times New Roman" w:cs="Times New Roman"/>
                      <w:color w:val="auto"/>
                      <w:sz w:val="21"/>
                      <w:szCs w:val="21"/>
                      <w:u w:val="none" w:color="auto"/>
                    </w:rPr>
                    <w:t>长江经济带发展负面清单</w:t>
                  </w:r>
                  <w:r>
                    <w:rPr>
                      <w:rFonts w:hint="default" w:ascii="Times New Roman" w:hAnsi="Times New Roman" w:cs="Times New Roman"/>
                      <w:color w:val="auto"/>
                      <w:sz w:val="21"/>
                      <w:szCs w:val="21"/>
                      <w:u w:val="none" w:color="auto"/>
                      <w:lang w:val="en-US" w:eastAsia="zh-CN"/>
                    </w:rPr>
                    <w:t>实施细则</w:t>
                  </w:r>
                  <w:r>
                    <w:rPr>
                      <w:rFonts w:hint="default" w:ascii="Times New Roman" w:hAnsi="Times New Roman" w:cs="Times New Roman"/>
                      <w:color w:val="auto"/>
                      <w:sz w:val="21"/>
                      <w:szCs w:val="21"/>
                      <w:u w:val="none" w:color="auto"/>
                    </w:rPr>
                    <w:t>》</w:t>
                  </w:r>
                </w:p>
              </w:tc>
              <w:tc>
                <w:tcPr>
                  <w:tcW w:w="959" w:type="pct"/>
                  <w:tcBorders>
                    <w:tl2br w:val="nil"/>
                    <w:tr2bl w:val="nil"/>
                  </w:tcBorders>
                  <w:noWrap w:val="0"/>
                  <w:vAlign w:val="center"/>
                </w:tcPr>
                <w:p w14:paraId="2BAF531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sz w:val="21"/>
                      <w:szCs w:val="21"/>
                      <w:u w:val="none" w:color="auto"/>
                    </w:rPr>
                    <w:t>《长江经济带发展负面清单指南》</w:t>
                  </w:r>
                </w:p>
              </w:tc>
              <w:tc>
                <w:tcPr>
                  <w:tcW w:w="479" w:type="pct"/>
                  <w:tcBorders>
                    <w:tl2br w:val="nil"/>
                    <w:tr2bl w:val="nil"/>
                  </w:tcBorders>
                  <w:noWrap w:val="0"/>
                  <w:vAlign w:val="center"/>
                </w:tcPr>
                <w:p w14:paraId="13CF935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是否相符</w:t>
                  </w:r>
                </w:p>
              </w:tc>
            </w:tr>
            <w:tr w14:paraId="625E29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5" w:type="pct"/>
                  <w:tcBorders>
                    <w:tl2br w:val="nil"/>
                    <w:tr2bl w:val="nil"/>
                  </w:tcBorders>
                  <w:noWrap w:val="0"/>
                  <w:vAlign w:val="center"/>
                </w:tcPr>
                <w:p w14:paraId="6B173A7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1</w:t>
                  </w:r>
                </w:p>
              </w:tc>
              <w:tc>
                <w:tcPr>
                  <w:tcW w:w="1100" w:type="pct"/>
                  <w:tcBorders>
                    <w:tl2br w:val="nil"/>
                    <w:tr2bl w:val="nil"/>
                  </w:tcBorders>
                  <w:noWrap w:val="0"/>
                  <w:vAlign w:val="center"/>
                </w:tcPr>
                <w:p w14:paraId="6441F35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禁止建设不符合全国和省级港口布局规划以及港口总体规划的码头项目，禁止建设不符合《长江干线过江通道布局规划》的过长江通道项目。</w:t>
                  </w:r>
                </w:p>
              </w:tc>
              <w:tc>
                <w:tcPr>
                  <w:tcW w:w="2055" w:type="pct"/>
                  <w:tcBorders>
                    <w:tl2br w:val="nil"/>
                    <w:tr2bl w:val="nil"/>
                  </w:tcBorders>
                  <w:noWrap w:val="0"/>
                  <w:vAlign w:val="center"/>
                </w:tcPr>
                <w:p w14:paraId="6251D03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bidi="ar"/>
                    </w:rPr>
                    <w:t>禁止建设不符合全国和省级港口布局规划以及港口总体规划的码头项目。对不符合港口总体规划的新建、改建和扩建的码头工程</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含舾装码头工程</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及其同时建设的配套设施、防波堤、锚地、护岸等工程，投资主管部门不得审批或核准。码头工程建设项目需要使用港口岸线的，项目单位应当按照国省港口岸线使用的管理规定办理港口岸线使用手续。未取得岸线使用批准文件或者岸线使用意见的，不得开工建设。禁止建设不符合《长江干线过江通道布局规划</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2020</w:t>
                  </w:r>
                  <w:r>
                    <w:rPr>
                      <w:rFonts w:hint="eastAsia"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2035年</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》的过长江通道项目。</w:t>
                  </w:r>
                </w:p>
              </w:tc>
              <w:tc>
                <w:tcPr>
                  <w:tcW w:w="959" w:type="pct"/>
                  <w:tcBorders>
                    <w:tl2br w:val="nil"/>
                    <w:tr2bl w:val="nil"/>
                  </w:tcBorders>
                  <w:noWrap w:val="0"/>
                  <w:vAlign w:val="center"/>
                </w:tcPr>
                <w:p w14:paraId="30011B9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本项目不属于过长江通道项目，不属于码头工程项目。</w:t>
                  </w:r>
                </w:p>
              </w:tc>
              <w:tc>
                <w:tcPr>
                  <w:tcW w:w="479" w:type="pct"/>
                  <w:tcBorders>
                    <w:tl2br w:val="nil"/>
                    <w:tr2bl w:val="nil"/>
                  </w:tcBorders>
                  <w:noWrap w:val="0"/>
                  <w:vAlign w:val="center"/>
                </w:tcPr>
                <w:p w14:paraId="18CD6DB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符合</w:t>
                  </w:r>
                </w:p>
              </w:tc>
            </w:tr>
            <w:tr w14:paraId="2ABE3B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5" w:type="pct"/>
                  <w:tcBorders>
                    <w:tl2br w:val="nil"/>
                    <w:tr2bl w:val="nil"/>
                  </w:tcBorders>
                  <w:noWrap w:val="0"/>
                  <w:vAlign w:val="center"/>
                </w:tcPr>
                <w:p w14:paraId="0155E18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2</w:t>
                  </w:r>
                </w:p>
              </w:tc>
              <w:tc>
                <w:tcPr>
                  <w:tcW w:w="1100" w:type="pct"/>
                  <w:tcBorders>
                    <w:tl2br w:val="nil"/>
                    <w:tr2bl w:val="nil"/>
                  </w:tcBorders>
                  <w:noWrap w:val="0"/>
                  <w:vAlign w:val="center"/>
                </w:tcPr>
                <w:p w14:paraId="377397E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禁止在自然保护区核心区、缓冲区的岸线和河段范围内投资建设旅游和生产经营项目。禁止在风景名胜区核心景区的岸线和河段范围内投资建设与风景名胜资源保护无关的项目。</w:t>
                  </w:r>
                </w:p>
              </w:tc>
              <w:tc>
                <w:tcPr>
                  <w:tcW w:w="2055" w:type="pct"/>
                  <w:tcBorders>
                    <w:tl2br w:val="nil"/>
                    <w:tr2bl w:val="nil"/>
                  </w:tcBorders>
                  <w:noWrap w:val="0"/>
                  <w:vAlign w:val="center"/>
                </w:tcPr>
                <w:p w14:paraId="3E78302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eastAsia="zh-CN" w:bidi="ar"/>
                    </w:rPr>
                  </w:pPr>
                  <w:r>
                    <w:rPr>
                      <w:rFonts w:hint="default" w:ascii="Times New Roman" w:hAnsi="Times New Roman" w:cs="Times New Roman"/>
                      <w:color w:val="auto"/>
                      <w:kern w:val="0"/>
                      <w:sz w:val="21"/>
                      <w:szCs w:val="21"/>
                      <w:u w:val="none" w:color="auto"/>
                      <w:vertAlign w:val="baseline"/>
                      <w:lang w:bidi="ar"/>
                    </w:rPr>
                    <w:t>禁止在自然保护区核心区、缓冲区的岸线和河段范围内投资建设以下旅游和生产经营项目</w:t>
                  </w:r>
                  <w:r>
                    <w:rPr>
                      <w:rFonts w:hint="eastAsia"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一</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高尔夫球场开发、房地产开发、索道建设、会所建设等项目</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二</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光伏发电、风力发电、火力发电建设项目</w:t>
                  </w:r>
                  <w:r>
                    <w:rPr>
                      <w:rFonts w:hint="default" w:ascii="Times New Roman" w:hAnsi="Times New Roman" w:cs="Times New Roman"/>
                      <w:color w:val="auto"/>
                      <w:kern w:val="0"/>
                      <w:sz w:val="21"/>
                      <w:szCs w:val="21"/>
                      <w:u w:val="none" w:color="auto"/>
                      <w:vertAlign w:val="baseline"/>
                      <w:lang w:eastAsia="zh-CN" w:bidi="ar"/>
                    </w:rPr>
                    <w:t>；</w:t>
                  </w:r>
                </w:p>
                <w:p w14:paraId="4B70425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三</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社会资金进行商业性探矿勘查，以及不属于国家紧缺矿种资源的基础地质调查和矿产远景调查等公益性工作的设施建设</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四</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野生动物驯养繁殖、展览基地建设项目</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五</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污染环境、破坏自然资源或自然景观的建设设施</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六</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对自然保护区主要保护对象产生重大影响、改变自然生态系统完整性、原真性、破坏自然景观的设施</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七</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其他不符合自然保护区主体功能定位和国家禁止的设施。机场、铁路、公路、水利、围堰等公益性基础设施的选址选线应多方案优化比选，尽量避让相关自然保护区域、野生动物迁徙洄游通道</w:t>
                  </w:r>
                  <w:r>
                    <w:rPr>
                      <w:rFonts w:hint="eastAsia"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无法避让的，应当采取修建野生动物通道、过鱼设施等措施，消除或者减少对野生动物的不利影响。禁止违反风景名胜区规划，在风景名胜区内设立各类开发区和在核心景区内建设宾馆、招待所、培训中心、疗养院以及与风景名胜资源保护无关的其他建筑物</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已经建设的，应当按照风景名胜区规划，逐步迁出。</w:t>
                  </w:r>
                </w:p>
              </w:tc>
              <w:tc>
                <w:tcPr>
                  <w:tcW w:w="959" w:type="pct"/>
                  <w:tcBorders>
                    <w:tl2br w:val="nil"/>
                    <w:tr2bl w:val="nil"/>
                  </w:tcBorders>
                  <w:noWrap w:val="0"/>
                  <w:vAlign w:val="center"/>
                </w:tcPr>
                <w:p w14:paraId="3A20BA8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本项目位于</w:t>
                  </w:r>
                  <w:r>
                    <w:rPr>
                      <w:rFonts w:hint="eastAsia" w:cs="Times New Roman"/>
                      <w:color w:val="auto"/>
                      <w:kern w:val="0"/>
                      <w:sz w:val="21"/>
                      <w:szCs w:val="21"/>
                      <w:u w:val="none" w:color="auto"/>
                      <w:vertAlign w:val="baseline"/>
                      <w:lang w:val="en-US" w:eastAsia="zh-CN" w:bidi="ar"/>
                    </w:rPr>
                    <w:t>湘潭县易俗河镇飞龙村</w:t>
                  </w:r>
                  <w:r>
                    <w:rPr>
                      <w:rFonts w:hint="default" w:ascii="Times New Roman" w:hAnsi="Times New Roman" w:cs="Times New Roman"/>
                      <w:color w:val="auto"/>
                      <w:kern w:val="0"/>
                      <w:sz w:val="21"/>
                      <w:szCs w:val="21"/>
                      <w:u w:val="none" w:color="auto"/>
                      <w:vertAlign w:val="baseline"/>
                      <w:lang w:val="en-US" w:eastAsia="zh-CN" w:bidi="ar"/>
                    </w:rPr>
                    <w:t>，不属于</w:t>
                  </w:r>
                  <w:r>
                    <w:rPr>
                      <w:rFonts w:hint="default" w:ascii="Times New Roman" w:hAnsi="Times New Roman" w:cs="Times New Roman"/>
                      <w:color w:val="auto"/>
                      <w:kern w:val="0"/>
                      <w:sz w:val="21"/>
                      <w:szCs w:val="21"/>
                      <w:u w:val="none" w:color="auto"/>
                      <w:vertAlign w:val="baseline"/>
                      <w:lang w:bidi="ar"/>
                    </w:rPr>
                    <w:t>自然保护区核心区、缓冲区的岸线和河段范围</w:t>
                  </w:r>
                  <w:r>
                    <w:rPr>
                      <w:rFonts w:hint="default" w:ascii="Times New Roman" w:hAnsi="Times New Roman" w:cs="Times New Roman"/>
                      <w:color w:val="auto"/>
                      <w:kern w:val="0"/>
                      <w:sz w:val="21"/>
                      <w:szCs w:val="21"/>
                      <w:u w:val="none" w:color="auto"/>
                      <w:vertAlign w:val="baseline"/>
                      <w:lang w:eastAsia="zh-CN" w:bidi="ar"/>
                    </w:rPr>
                    <w:t>。</w:t>
                  </w:r>
                </w:p>
              </w:tc>
              <w:tc>
                <w:tcPr>
                  <w:tcW w:w="479" w:type="pct"/>
                  <w:tcBorders>
                    <w:tl2br w:val="nil"/>
                    <w:tr2bl w:val="nil"/>
                  </w:tcBorders>
                  <w:noWrap w:val="0"/>
                  <w:vAlign w:val="center"/>
                </w:tcPr>
                <w:p w14:paraId="6C71FBB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val="en-US" w:eastAsia="zh-CN" w:bidi="ar"/>
                    </w:rPr>
                    <w:t>符合</w:t>
                  </w:r>
                </w:p>
              </w:tc>
            </w:tr>
            <w:tr w14:paraId="206BCD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5" w:type="pct"/>
                  <w:tcBorders>
                    <w:tl2br w:val="nil"/>
                    <w:tr2bl w:val="nil"/>
                  </w:tcBorders>
                  <w:noWrap w:val="0"/>
                  <w:vAlign w:val="center"/>
                </w:tcPr>
                <w:p w14:paraId="1CE5305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3</w:t>
                  </w:r>
                </w:p>
              </w:tc>
              <w:tc>
                <w:tcPr>
                  <w:tcW w:w="1100" w:type="pct"/>
                  <w:tcBorders>
                    <w:tl2br w:val="nil"/>
                    <w:tr2bl w:val="nil"/>
                  </w:tcBorders>
                  <w:noWrap w:val="0"/>
                  <w:vAlign w:val="center"/>
                </w:tcPr>
                <w:p w14:paraId="7ED9859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2055" w:type="pct"/>
                  <w:tcBorders>
                    <w:tl2br w:val="nil"/>
                    <w:tr2bl w:val="nil"/>
                  </w:tcBorders>
                  <w:noWrap w:val="0"/>
                  <w:vAlign w:val="center"/>
                </w:tcPr>
                <w:p w14:paraId="187F284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bidi="ar"/>
                    </w:rPr>
                    <w:t>饮用水水源一级保护区内禁止新建、改建、扩建与供水设施和保护水源无关的建设项目，以及网箱养殖、畜禽养殖、旅游等可能污染饮用水水体的投资建设项目</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禁止向水域排放污水，已设置的排污口必须拆除</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不得设置与供水需要无关的码头，禁止停靠船舶</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禁止堆置和存放工业废渣、城市垃圾、粪便和</w:t>
                  </w:r>
                  <w:r>
                    <w:rPr>
                      <w:rFonts w:hint="eastAsia" w:cs="Times New Roman"/>
                      <w:color w:val="auto"/>
                      <w:kern w:val="0"/>
                      <w:sz w:val="21"/>
                      <w:szCs w:val="21"/>
                      <w:u w:val="none" w:color="auto"/>
                      <w:vertAlign w:val="baseline"/>
                      <w:lang w:eastAsia="zh-CN" w:bidi="ar"/>
                    </w:rPr>
                    <w:t>其他废弃物</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禁止设置油库</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禁止使用含磷洗涤用品。饮用水水源二级保护区内禁止新建、改建、扩建向水体排放污染物的投资建设项目。原有排污口依法拆除或关闭。禁止设立装卸垃圾、粪便、油类和有毒物品的码头。</w:t>
                  </w:r>
                </w:p>
              </w:tc>
              <w:tc>
                <w:tcPr>
                  <w:tcW w:w="959" w:type="pct"/>
                  <w:tcBorders>
                    <w:tl2br w:val="nil"/>
                    <w:tr2bl w:val="nil"/>
                  </w:tcBorders>
                  <w:noWrap w:val="0"/>
                  <w:vAlign w:val="center"/>
                </w:tcPr>
                <w:p w14:paraId="275E5CE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val="en-US" w:bidi="ar"/>
                    </w:rPr>
                  </w:pPr>
                  <w:r>
                    <w:rPr>
                      <w:rFonts w:hint="default" w:ascii="Times New Roman" w:hAnsi="Times New Roman" w:cs="Times New Roman"/>
                      <w:color w:val="auto"/>
                      <w:kern w:val="0"/>
                      <w:sz w:val="21"/>
                      <w:szCs w:val="21"/>
                      <w:u w:val="none" w:color="auto"/>
                      <w:vertAlign w:val="baseline"/>
                      <w:lang w:val="en-US" w:eastAsia="zh-CN" w:bidi="ar"/>
                    </w:rPr>
                    <w:t>本项目位于</w:t>
                  </w:r>
                  <w:r>
                    <w:rPr>
                      <w:rFonts w:hint="eastAsia" w:cs="Times New Roman"/>
                      <w:color w:val="auto"/>
                      <w:kern w:val="0"/>
                      <w:sz w:val="21"/>
                      <w:szCs w:val="21"/>
                      <w:u w:val="none" w:color="auto"/>
                      <w:vertAlign w:val="baseline"/>
                      <w:lang w:val="en-US" w:eastAsia="zh-CN" w:bidi="ar"/>
                    </w:rPr>
                    <w:t>湘潭县易俗河镇飞龙村</w:t>
                  </w:r>
                  <w:r>
                    <w:rPr>
                      <w:rFonts w:hint="default" w:ascii="Times New Roman" w:hAnsi="Times New Roman" w:cs="Times New Roman"/>
                      <w:color w:val="auto"/>
                      <w:kern w:val="0"/>
                      <w:sz w:val="21"/>
                      <w:szCs w:val="21"/>
                      <w:u w:val="none" w:color="auto"/>
                      <w:vertAlign w:val="baseline"/>
                      <w:lang w:val="en-US" w:eastAsia="zh-CN" w:bidi="ar"/>
                    </w:rPr>
                    <w:t>，不属于饮用水源保护区</w:t>
                  </w:r>
                </w:p>
              </w:tc>
              <w:tc>
                <w:tcPr>
                  <w:tcW w:w="479" w:type="pct"/>
                  <w:tcBorders>
                    <w:tl2br w:val="nil"/>
                    <w:tr2bl w:val="nil"/>
                  </w:tcBorders>
                  <w:noWrap w:val="0"/>
                  <w:vAlign w:val="center"/>
                </w:tcPr>
                <w:p w14:paraId="6B410B9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val="en-US" w:eastAsia="zh-CN" w:bidi="ar"/>
                    </w:rPr>
                    <w:t>符合</w:t>
                  </w:r>
                </w:p>
              </w:tc>
            </w:tr>
            <w:tr w14:paraId="5C005F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5" w:type="pct"/>
                  <w:tcBorders>
                    <w:tl2br w:val="nil"/>
                    <w:tr2bl w:val="nil"/>
                  </w:tcBorders>
                  <w:noWrap w:val="0"/>
                  <w:vAlign w:val="center"/>
                </w:tcPr>
                <w:p w14:paraId="5F0AF16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4</w:t>
                  </w:r>
                </w:p>
              </w:tc>
              <w:tc>
                <w:tcPr>
                  <w:tcW w:w="1100" w:type="pct"/>
                  <w:tcBorders>
                    <w:tl2br w:val="nil"/>
                    <w:tr2bl w:val="nil"/>
                  </w:tcBorders>
                  <w:noWrap w:val="0"/>
                  <w:vAlign w:val="center"/>
                </w:tcPr>
                <w:p w14:paraId="70ADBDF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2055" w:type="pct"/>
                  <w:tcBorders>
                    <w:tl2br w:val="nil"/>
                    <w:tr2bl w:val="nil"/>
                  </w:tcBorders>
                  <w:noWrap w:val="0"/>
                  <w:vAlign w:val="center"/>
                </w:tcPr>
                <w:p w14:paraId="67111DB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bidi="ar"/>
                    </w:rPr>
                    <w:t>禁止在水产种质资源保护区的岸线和河段范围内新建排污口、实施非法围垦河道和围湖造田造地等投资建设项目。</w:t>
                  </w:r>
                </w:p>
                <w:p w14:paraId="1BDAAA6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bidi="ar"/>
                    </w:rPr>
                    <w:t>除《中华人民共和国防洪法》规定的紧急防汛期采取的紧急措施外，禁止在国家湿地公园的岸线和河段范围内挖沙、采矿，以及以下不符合主体功能定位的行为和活动</w:t>
                  </w:r>
                  <w:r>
                    <w:rPr>
                      <w:rFonts w:hint="eastAsia"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一</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开</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围</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垦、填埋或者排干湿地。</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二</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截断湿地水源。</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三</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倾倒有毒有害物质、废弃物、垃圾。</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四</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从事房地产、度假村、高尔夫球场、风力发电、光伏发电等任何不符合主体功能定位的建设项目和开发活动。</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五</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破坏野生动物栖息地和迁徙通道、鱼类洄游通道，滥采滥捕野生动植物。</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六</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引入外来物种。</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七</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擅自放牧、捕捞、取土、取水、排污、放生。</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八</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bidi="ar"/>
                    </w:rPr>
                    <w:t>其他破坏湿地及其生态功能的活动。</w:t>
                  </w:r>
                </w:p>
              </w:tc>
              <w:tc>
                <w:tcPr>
                  <w:tcW w:w="959" w:type="pct"/>
                  <w:tcBorders>
                    <w:tl2br w:val="nil"/>
                    <w:tr2bl w:val="nil"/>
                  </w:tcBorders>
                  <w:noWrap w:val="0"/>
                  <w:vAlign w:val="center"/>
                </w:tcPr>
                <w:p w14:paraId="3181B78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本项目位于</w:t>
                  </w:r>
                  <w:r>
                    <w:rPr>
                      <w:rFonts w:hint="eastAsia" w:cs="Times New Roman"/>
                      <w:color w:val="auto"/>
                      <w:kern w:val="0"/>
                      <w:sz w:val="21"/>
                      <w:szCs w:val="21"/>
                      <w:u w:val="none" w:color="auto"/>
                      <w:vertAlign w:val="baseline"/>
                      <w:lang w:val="en-US" w:eastAsia="zh-CN" w:bidi="ar"/>
                    </w:rPr>
                    <w:t>湘潭县易俗河镇飞龙村</w:t>
                  </w:r>
                  <w:r>
                    <w:rPr>
                      <w:rFonts w:hint="default" w:ascii="Times New Roman" w:hAnsi="Times New Roman" w:cs="Times New Roman"/>
                      <w:color w:val="auto"/>
                      <w:kern w:val="0"/>
                      <w:sz w:val="21"/>
                      <w:szCs w:val="21"/>
                      <w:u w:val="none" w:color="auto"/>
                      <w:vertAlign w:val="baseline"/>
                      <w:lang w:val="en-US" w:eastAsia="zh-CN" w:bidi="ar"/>
                    </w:rPr>
                    <w:t>，不属于</w:t>
                  </w:r>
                  <w:r>
                    <w:rPr>
                      <w:rFonts w:hint="default" w:ascii="Times New Roman" w:hAnsi="Times New Roman" w:cs="Times New Roman"/>
                      <w:color w:val="auto"/>
                      <w:kern w:val="0"/>
                      <w:sz w:val="21"/>
                      <w:szCs w:val="21"/>
                      <w:u w:val="none" w:color="auto"/>
                      <w:vertAlign w:val="baseline"/>
                      <w:lang w:bidi="ar"/>
                    </w:rPr>
                    <w:t>水产种质资源保护区的岸线和河段范围</w:t>
                  </w:r>
                  <w:r>
                    <w:rPr>
                      <w:rFonts w:hint="default" w:ascii="Times New Roman" w:hAnsi="Times New Roman" w:cs="Times New Roman"/>
                      <w:color w:val="auto"/>
                      <w:kern w:val="0"/>
                      <w:sz w:val="21"/>
                      <w:szCs w:val="21"/>
                      <w:u w:val="none" w:color="auto"/>
                      <w:vertAlign w:val="baseline"/>
                      <w:lang w:val="en-US" w:eastAsia="zh-CN" w:bidi="ar"/>
                    </w:rPr>
                    <w:t>以及</w:t>
                  </w:r>
                  <w:r>
                    <w:rPr>
                      <w:rFonts w:hint="default" w:ascii="Times New Roman" w:hAnsi="Times New Roman" w:cs="Times New Roman"/>
                      <w:color w:val="auto"/>
                      <w:kern w:val="0"/>
                      <w:sz w:val="21"/>
                      <w:szCs w:val="21"/>
                      <w:u w:val="none" w:color="auto"/>
                      <w:vertAlign w:val="baseline"/>
                      <w:lang w:bidi="ar"/>
                    </w:rPr>
                    <w:t>国家湿地公园的岸线和河段范围</w:t>
                  </w:r>
                  <w:r>
                    <w:rPr>
                      <w:rFonts w:hint="default" w:ascii="Times New Roman" w:hAnsi="Times New Roman" w:cs="Times New Roman"/>
                      <w:color w:val="auto"/>
                      <w:kern w:val="0"/>
                      <w:sz w:val="21"/>
                      <w:szCs w:val="21"/>
                      <w:u w:val="none" w:color="auto"/>
                      <w:vertAlign w:val="baseline"/>
                      <w:lang w:eastAsia="zh-CN" w:bidi="ar"/>
                    </w:rPr>
                    <w:t>。</w:t>
                  </w:r>
                </w:p>
              </w:tc>
              <w:tc>
                <w:tcPr>
                  <w:tcW w:w="479" w:type="pct"/>
                  <w:tcBorders>
                    <w:tl2br w:val="nil"/>
                    <w:tr2bl w:val="nil"/>
                  </w:tcBorders>
                  <w:noWrap w:val="0"/>
                  <w:vAlign w:val="center"/>
                </w:tcPr>
                <w:p w14:paraId="5BCF83F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val="en-US" w:eastAsia="zh-CN" w:bidi="ar"/>
                    </w:rPr>
                    <w:t>符合</w:t>
                  </w:r>
                </w:p>
              </w:tc>
            </w:tr>
            <w:tr w14:paraId="68ADEA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5" w:type="pct"/>
                  <w:tcBorders>
                    <w:tl2br w:val="nil"/>
                    <w:tr2bl w:val="nil"/>
                  </w:tcBorders>
                  <w:noWrap w:val="0"/>
                  <w:vAlign w:val="center"/>
                </w:tcPr>
                <w:p w14:paraId="466D1F5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5</w:t>
                  </w:r>
                </w:p>
              </w:tc>
              <w:tc>
                <w:tcPr>
                  <w:tcW w:w="1100" w:type="pct"/>
                  <w:tcBorders>
                    <w:tl2br w:val="nil"/>
                    <w:tr2bl w:val="nil"/>
                  </w:tcBorders>
                  <w:noWrap w:val="0"/>
                  <w:vAlign w:val="center"/>
                </w:tcPr>
                <w:p w14:paraId="7074724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kern w:val="0"/>
                      <w:sz w:val="21"/>
                      <w:szCs w:val="21"/>
                      <w:u w:val="none" w:color="auto"/>
                      <w:vertAlign w:val="baseline"/>
                      <w:lang w:val="en-US" w:eastAsia="zh-CN" w:bidi="ar"/>
                    </w:rPr>
                  </w:pPr>
                  <w:r>
                    <w:rPr>
                      <w:rFonts w:hint="default" w:ascii="Times New Roman" w:hAnsi="Times New Roman" w:cs="Times New Roman"/>
                      <w:color w:val="auto"/>
                      <w:sz w:val="21"/>
                      <w:szCs w:val="21"/>
                      <w:u w:val="none" w:color="auto"/>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2055" w:type="pct"/>
                  <w:tcBorders>
                    <w:tl2br w:val="nil"/>
                    <w:tr2bl w:val="nil"/>
                  </w:tcBorders>
                  <w:noWrap w:val="0"/>
                  <w:vAlign w:val="center"/>
                </w:tcPr>
                <w:p w14:paraId="5C65A39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sz w:val="21"/>
                      <w:szCs w:val="21"/>
                      <w:u w:val="none" w:color="auto"/>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填湖造地、围湖造田及非法围垦河道，禁止非法建设矮围网围、填埋湿地等侵占河湖水域或者违法利用、占用河湖岸线的行为。禁止在《全国重要江河湖泊水功能区划》划定的河段及湖泊保护区、保留区内投资建设不利于水资源及自然生态保护的项目。</w:t>
                  </w:r>
                </w:p>
              </w:tc>
              <w:tc>
                <w:tcPr>
                  <w:tcW w:w="959" w:type="pct"/>
                  <w:tcBorders>
                    <w:tl2br w:val="nil"/>
                    <w:tr2bl w:val="nil"/>
                  </w:tcBorders>
                  <w:noWrap w:val="0"/>
                  <w:vAlign w:val="center"/>
                </w:tcPr>
                <w:p w14:paraId="2A72D59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本项目不占用</w:t>
                  </w:r>
                  <w:r>
                    <w:rPr>
                      <w:rFonts w:hint="default" w:ascii="Times New Roman" w:hAnsi="Times New Roman" w:cs="Times New Roman"/>
                      <w:color w:val="auto"/>
                      <w:kern w:val="0"/>
                      <w:sz w:val="21"/>
                      <w:szCs w:val="21"/>
                      <w:u w:val="none" w:color="auto"/>
                      <w:vertAlign w:val="baseline"/>
                      <w:lang w:bidi="ar"/>
                    </w:rPr>
                    <w:t>长江流域河湖岸线。</w:t>
                  </w:r>
                </w:p>
              </w:tc>
              <w:tc>
                <w:tcPr>
                  <w:tcW w:w="479" w:type="pct"/>
                  <w:tcBorders>
                    <w:tl2br w:val="nil"/>
                    <w:tr2bl w:val="nil"/>
                  </w:tcBorders>
                  <w:noWrap w:val="0"/>
                  <w:vAlign w:val="center"/>
                </w:tcPr>
                <w:p w14:paraId="567FA1D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val="en-US" w:eastAsia="zh-CN" w:bidi="ar"/>
                    </w:rPr>
                    <w:t>符合</w:t>
                  </w:r>
                </w:p>
              </w:tc>
            </w:tr>
            <w:tr w14:paraId="5E6B2F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5" w:type="pct"/>
                  <w:tcBorders>
                    <w:tl2br w:val="nil"/>
                    <w:tr2bl w:val="nil"/>
                  </w:tcBorders>
                  <w:noWrap w:val="0"/>
                  <w:vAlign w:val="center"/>
                </w:tcPr>
                <w:p w14:paraId="2921E43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6</w:t>
                  </w:r>
                </w:p>
              </w:tc>
              <w:tc>
                <w:tcPr>
                  <w:tcW w:w="1100" w:type="pct"/>
                  <w:tcBorders>
                    <w:tl2br w:val="nil"/>
                    <w:tr2bl w:val="nil"/>
                  </w:tcBorders>
                  <w:noWrap w:val="0"/>
                  <w:vAlign w:val="center"/>
                </w:tcPr>
                <w:p w14:paraId="6F646D62">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color w:val="auto"/>
                      <w:kern w:val="0"/>
                      <w:sz w:val="21"/>
                      <w:szCs w:val="21"/>
                      <w:u w:val="none" w:color="auto"/>
                      <w:vertAlign w:val="baseline"/>
                      <w:lang w:val="en-US" w:eastAsia="zh-CN" w:bidi="ar"/>
                    </w:rPr>
                  </w:pPr>
                  <w:r>
                    <w:rPr>
                      <w:rFonts w:hint="default" w:ascii="Times New Roman" w:hAnsi="Times New Roman" w:cs="Times New Roman"/>
                      <w:color w:val="auto"/>
                      <w:sz w:val="21"/>
                      <w:szCs w:val="21"/>
                      <w:u w:val="none" w:color="auto"/>
                    </w:rPr>
                    <w:t>禁止未经许可在长江干支流及湖泊新设、改设或扩大排污口。</w:t>
                  </w:r>
                </w:p>
              </w:tc>
              <w:tc>
                <w:tcPr>
                  <w:tcW w:w="2055" w:type="pct"/>
                  <w:tcBorders>
                    <w:tl2br w:val="nil"/>
                    <w:tr2bl w:val="nil"/>
                  </w:tcBorders>
                  <w:noWrap w:val="0"/>
                  <w:vAlign w:val="center"/>
                </w:tcPr>
                <w:p w14:paraId="6A50FDD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sz w:val="21"/>
                      <w:szCs w:val="21"/>
                      <w:u w:val="none" w:color="auto"/>
                    </w:rPr>
                    <w:t>禁止未经许可在长江干支流及湖泊新设、改设或扩大排污口。</w:t>
                  </w:r>
                </w:p>
              </w:tc>
              <w:tc>
                <w:tcPr>
                  <w:tcW w:w="959" w:type="pct"/>
                  <w:tcBorders>
                    <w:tl2br w:val="nil"/>
                    <w:tr2bl w:val="nil"/>
                  </w:tcBorders>
                  <w:noWrap w:val="0"/>
                  <w:vAlign w:val="center"/>
                </w:tcPr>
                <w:p w14:paraId="61F4295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本项目不在</w:t>
                  </w:r>
                  <w:r>
                    <w:rPr>
                      <w:rFonts w:hint="default" w:ascii="Times New Roman" w:hAnsi="Times New Roman" w:cs="Times New Roman"/>
                      <w:color w:val="auto"/>
                      <w:kern w:val="0"/>
                      <w:sz w:val="21"/>
                      <w:szCs w:val="21"/>
                      <w:u w:val="none" w:color="auto"/>
                      <w:vertAlign w:val="baseline"/>
                      <w:lang w:bidi="ar"/>
                    </w:rPr>
                    <w:t>长江干支流及湖泊新设、改设或扩大排污口。</w:t>
                  </w:r>
                </w:p>
              </w:tc>
              <w:tc>
                <w:tcPr>
                  <w:tcW w:w="479" w:type="pct"/>
                  <w:tcBorders>
                    <w:tl2br w:val="nil"/>
                    <w:tr2bl w:val="nil"/>
                  </w:tcBorders>
                  <w:noWrap w:val="0"/>
                  <w:vAlign w:val="center"/>
                </w:tcPr>
                <w:p w14:paraId="20F3579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val="en-US" w:eastAsia="zh-CN" w:bidi="ar"/>
                    </w:rPr>
                    <w:t>符合</w:t>
                  </w:r>
                </w:p>
              </w:tc>
            </w:tr>
            <w:tr w14:paraId="25034D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5" w:type="pct"/>
                  <w:tcBorders>
                    <w:tl2br w:val="nil"/>
                    <w:tr2bl w:val="nil"/>
                  </w:tcBorders>
                  <w:noWrap w:val="0"/>
                  <w:vAlign w:val="center"/>
                </w:tcPr>
                <w:p w14:paraId="3530D3B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7</w:t>
                  </w:r>
                </w:p>
              </w:tc>
              <w:tc>
                <w:tcPr>
                  <w:tcW w:w="1100" w:type="pct"/>
                  <w:tcBorders>
                    <w:tl2br w:val="nil"/>
                    <w:tr2bl w:val="nil"/>
                  </w:tcBorders>
                  <w:noWrap w:val="0"/>
                  <w:vAlign w:val="center"/>
                </w:tcPr>
                <w:p w14:paraId="0464F28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kern w:val="0"/>
                      <w:sz w:val="21"/>
                      <w:szCs w:val="21"/>
                      <w:u w:val="none" w:color="auto"/>
                      <w:vertAlign w:val="baseline"/>
                      <w:lang w:val="en-US" w:eastAsia="zh-CN" w:bidi="ar"/>
                    </w:rPr>
                  </w:pPr>
                  <w:r>
                    <w:rPr>
                      <w:rFonts w:hint="default" w:ascii="Times New Roman" w:hAnsi="Times New Roman" w:cs="Times New Roman"/>
                      <w:color w:val="auto"/>
                      <w:sz w:val="21"/>
                      <w:szCs w:val="21"/>
                      <w:u w:val="none" w:color="auto"/>
                    </w:rPr>
                    <w:t>禁止在</w:t>
                  </w:r>
                  <w:r>
                    <w:rPr>
                      <w:rFonts w:hint="eastAsia" w:cs="Times New Roman"/>
                      <w:color w:val="auto"/>
                      <w:sz w:val="21"/>
                      <w:szCs w:val="21"/>
                      <w:u w:val="none" w:color="auto"/>
                      <w:lang w:eastAsia="zh-CN"/>
                    </w:rPr>
                    <w:t>“</w:t>
                  </w:r>
                  <w:r>
                    <w:rPr>
                      <w:rFonts w:hint="default" w:ascii="Times New Roman" w:hAnsi="Times New Roman" w:cs="Times New Roman"/>
                      <w:color w:val="auto"/>
                      <w:sz w:val="21"/>
                      <w:szCs w:val="21"/>
                      <w:u w:val="none" w:color="auto"/>
                    </w:rPr>
                    <w:t>一江一口两湖七河</w:t>
                  </w:r>
                  <w:r>
                    <w:rPr>
                      <w:rFonts w:hint="eastAsia" w:cs="Times New Roman"/>
                      <w:color w:val="auto"/>
                      <w:sz w:val="21"/>
                      <w:szCs w:val="21"/>
                      <w:u w:val="none" w:color="auto"/>
                      <w:lang w:eastAsia="zh-CN"/>
                    </w:rPr>
                    <w:t>”</w:t>
                  </w:r>
                  <w:r>
                    <w:rPr>
                      <w:rFonts w:hint="default" w:ascii="Times New Roman" w:hAnsi="Times New Roman" w:cs="Times New Roman"/>
                      <w:color w:val="auto"/>
                      <w:sz w:val="21"/>
                      <w:szCs w:val="21"/>
                      <w:u w:val="none" w:color="auto"/>
                    </w:rPr>
                    <w:t>和332个水生生物保护区开展生产性捕捞。</w:t>
                  </w:r>
                </w:p>
              </w:tc>
              <w:tc>
                <w:tcPr>
                  <w:tcW w:w="2055" w:type="pct"/>
                  <w:tcBorders>
                    <w:tl2br w:val="nil"/>
                    <w:tr2bl w:val="nil"/>
                  </w:tcBorders>
                  <w:noWrap w:val="0"/>
                  <w:vAlign w:val="center"/>
                </w:tcPr>
                <w:p w14:paraId="2548CDE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sz w:val="21"/>
                      <w:szCs w:val="21"/>
                      <w:u w:val="none" w:color="auto"/>
                    </w:rPr>
                    <w:t>禁止在洞庭湖、湘江、资江、沅江、澧水干流和45个水生生物保护区开展生产性捕捞。在相关自然保护区域和禁猎</w:t>
                  </w:r>
                  <w:r>
                    <w:rPr>
                      <w:rFonts w:hint="default" w:ascii="Times New Roman" w:hAnsi="Times New Roman" w:cs="Times New Roman"/>
                      <w:color w:val="auto"/>
                      <w:sz w:val="21"/>
                      <w:szCs w:val="21"/>
                      <w:u w:val="none" w:color="auto"/>
                      <w:lang w:eastAsia="zh-CN"/>
                    </w:rPr>
                    <w:t>（</w:t>
                  </w:r>
                  <w:r>
                    <w:rPr>
                      <w:rFonts w:hint="default" w:ascii="Times New Roman" w:hAnsi="Times New Roman" w:cs="Times New Roman"/>
                      <w:color w:val="auto"/>
                      <w:sz w:val="21"/>
                      <w:szCs w:val="21"/>
                      <w:u w:val="none" w:color="auto"/>
                    </w:rPr>
                    <w:t>渔</w:t>
                  </w:r>
                  <w:r>
                    <w:rPr>
                      <w:rFonts w:hint="default" w:ascii="Times New Roman" w:hAnsi="Times New Roman" w:cs="Times New Roman"/>
                      <w:color w:val="auto"/>
                      <w:sz w:val="21"/>
                      <w:szCs w:val="21"/>
                      <w:u w:val="none" w:color="auto"/>
                      <w:lang w:eastAsia="zh-CN"/>
                    </w:rPr>
                    <w:t>）</w:t>
                  </w:r>
                  <w:r>
                    <w:rPr>
                      <w:rFonts w:hint="default" w:ascii="Times New Roman" w:hAnsi="Times New Roman" w:cs="Times New Roman"/>
                      <w:color w:val="auto"/>
                      <w:sz w:val="21"/>
                      <w:szCs w:val="21"/>
                      <w:u w:val="none" w:color="auto"/>
                    </w:rPr>
                    <w:t>区、禁猎</w:t>
                  </w:r>
                  <w:r>
                    <w:rPr>
                      <w:rFonts w:hint="default" w:ascii="Times New Roman" w:hAnsi="Times New Roman" w:cs="Times New Roman"/>
                      <w:color w:val="auto"/>
                      <w:sz w:val="21"/>
                      <w:szCs w:val="21"/>
                      <w:u w:val="none" w:color="auto"/>
                      <w:lang w:eastAsia="zh-CN"/>
                    </w:rPr>
                    <w:t>（</w:t>
                  </w:r>
                  <w:r>
                    <w:rPr>
                      <w:rFonts w:hint="default" w:ascii="Times New Roman" w:hAnsi="Times New Roman" w:cs="Times New Roman"/>
                      <w:color w:val="auto"/>
                      <w:sz w:val="21"/>
                      <w:szCs w:val="21"/>
                      <w:u w:val="none" w:color="auto"/>
                    </w:rPr>
                    <w:t>渔</w:t>
                  </w:r>
                  <w:r>
                    <w:rPr>
                      <w:rFonts w:hint="default" w:ascii="Times New Roman" w:hAnsi="Times New Roman" w:cs="Times New Roman"/>
                      <w:color w:val="auto"/>
                      <w:sz w:val="21"/>
                      <w:szCs w:val="21"/>
                      <w:u w:val="none" w:color="auto"/>
                      <w:lang w:eastAsia="zh-CN"/>
                    </w:rPr>
                    <w:t>）</w:t>
                  </w:r>
                  <w:r>
                    <w:rPr>
                      <w:rFonts w:hint="default" w:ascii="Times New Roman" w:hAnsi="Times New Roman" w:cs="Times New Roman"/>
                      <w:color w:val="auto"/>
                      <w:sz w:val="21"/>
                      <w:szCs w:val="21"/>
                      <w:u w:val="none" w:color="auto"/>
                    </w:rPr>
                    <w:t>期内，禁止猎捕以及其他妨碍野生动物生息繁衍的活动，但法律法规另有规定的除外。</w:t>
                  </w:r>
                </w:p>
              </w:tc>
              <w:tc>
                <w:tcPr>
                  <w:tcW w:w="959" w:type="pct"/>
                  <w:tcBorders>
                    <w:tl2br w:val="nil"/>
                    <w:tr2bl w:val="nil"/>
                  </w:tcBorders>
                  <w:noWrap w:val="0"/>
                  <w:vAlign w:val="center"/>
                </w:tcPr>
                <w:p w14:paraId="4D25FE8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本项目不涉及生产性捕捞</w:t>
                  </w:r>
                </w:p>
              </w:tc>
              <w:tc>
                <w:tcPr>
                  <w:tcW w:w="479" w:type="pct"/>
                  <w:tcBorders>
                    <w:tl2br w:val="nil"/>
                    <w:tr2bl w:val="nil"/>
                  </w:tcBorders>
                  <w:noWrap w:val="0"/>
                  <w:vAlign w:val="center"/>
                </w:tcPr>
                <w:p w14:paraId="7CF47B3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val="en-US" w:eastAsia="zh-CN" w:bidi="ar"/>
                    </w:rPr>
                    <w:t>符合</w:t>
                  </w:r>
                </w:p>
              </w:tc>
            </w:tr>
            <w:tr w14:paraId="5C184B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5" w:type="pct"/>
                  <w:tcBorders>
                    <w:tl2br w:val="nil"/>
                    <w:tr2bl w:val="nil"/>
                  </w:tcBorders>
                  <w:noWrap w:val="0"/>
                  <w:vAlign w:val="center"/>
                </w:tcPr>
                <w:p w14:paraId="798817E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8</w:t>
                  </w:r>
                </w:p>
              </w:tc>
              <w:tc>
                <w:tcPr>
                  <w:tcW w:w="1100" w:type="pct"/>
                  <w:tcBorders>
                    <w:tl2br w:val="nil"/>
                    <w:tr2bl w:val="nil"/>
                  </w:tcBorders>
                  <w:noWrap w:val="0"/>
                  <w:vAlign w:val="center"/>
                </w:tcPr>
                <w:p w14:paraId="4A1D1C16">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color w:val="auto"/>
                      <w:kern w:val="0"/>
                      <w:sz w:val="21"/>
                      <w:szCs w:val="21"/>
                      <w:u w:val="none" w:color="auto"/>
                      <w:vertAlign w:val="baseline"/>
                      <w:lang w:val="en-US" w:eastAsia="zh-CN" w:bidi="ar"/>
                    </w:rPr>
                  </w:pPr>
                  <w:r>
                    <w:rPr>
                      <w:rFonts w:hint="default" w:ascii="Times New Roman" w:hAnsi="Times New Roman" w:cs="Times New Roman"/>
                      <w:color w:val="auto"/>
                      <w:sz w:val="21"/>
                      <w:szCs w:val="21"/>
                      <w:u w:val="none" w:color="auto"/>
                    </w:rPr>
                    <w:t>禁止在长江干支流、重要湖泊岸线一公里范围内新建、扩建化工园区和化工项目。禁止在长江</w:t>
                  </w:r>
                  <w:r>
                    <w:rPr>
                      <w:rFonts w:hint="eastAsia" w:cs="Times New Roman"/>
                      <w:color w:val="auto"/>
                      <w:sz w:val="21"/>
                      <w:szCs w:val="21"/>
                      <w:u w:val="none" w:color="auto"/>
                      <w:lang w:eastAsia="zh-CN"/>
                    </w:rPr>
                    <w:t>干流</w:t>
                  </w:r>
                  <w:r>
                    <w:rPr>
                      <w:rFonts w:hint="default" w:ascii="Times New Roman" w:hAnsi="Times New Roman" w:cs="Times New Roman"/>
                      <w:color w:val="auto"/>
                      <w:sz w:val="21"/>
                      <w:szCs w:val="21"/>
                      <w:u w:val="none" w:color="auto"/>
                    </w:rPr>
                    <w:t>岸线三公里范围内和重要支流岸线一公里范围内新建、改建、扩建尾矿库、冶炼渣库和磷石膏库，以提升安全、生态环境保护水平为目的的改建除外。</w:t>
                  </w:r>
                </w:p>
              </w:tc>
              <w:tc>
                <w:tcPr>
                  <w:tcW w:w="2055" w:type="pct"/>
                  <w:tcBorders>
                    <w:tl2br w:val="nil"/>
                    <w:tr2bl w:val="nil"/>
                  </w:tcBorders>
                  <w:noWrap w:val="0"/>
                  <w:vAlign w:val="center"/>
                </w:tcPr>
                <w:p w14:paraId="02E61D6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sz w:val="21"/>
                      <w:szCs w:val="21"/>
                      <w:u w:val="none" w:color="auto"/>
                    </w:rPr>
                    <w:t>禁止在长江湖南段和洞庭湖、湘江、资江、沅江、澧水干流岸线一公里范围内新建、扩建化工园区和化工项目。禁止在长江湖南段岸线三公里范围内和湘江、资江、沅江、澧水岸线一公里范围内新建、改建、扩建尾矿库、冶炼渣库和磷石膏库，以提升安全、生态环境保护水平为目的的改建除外。</w:t>
                  </w:r>
                </w:p>
              </w:tc>
              <w:tc>
                <w:tcPr>
                  <w:tcW w:w="959" w:type="pct"/>
                  <w:tcBorders>
                    <w:tl2br w:val="nil"/>
                    <w:tr2bl w:val="nil"/>
                  </w:tcBorders>
                  <w:noWrap w:val="0"/>
                  <w:vAlign w:val="center"/>
                </w:tcPr>
                <w:p w14:paraId="0CAAF5E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eastAsia" w:cs="Times New Roman"/>
                      <w:color w:val="auto"/>
                      <w:kern w:val="0"/>
                      <w:sz w:val="21"/>
                      <w:szCs w:val="21"/>
                      <w:u w:val="none" w:color="auto"/>
                      <w:vertAlign w:val="baseline"/>
                      <w:lang w:val="en-US" w:eastAsia="zh-CN" w:bidi="ar"/>
                    </w:rPr>
                    <w:t>本项目不涉及</w:t>
                  </w:r>
                </w:p>
              </w:tc>
              <w:tc>
                <w:tcPr>
                  <w:tcW w:w="479" w:type="pct"/>
                  <w:tcBorders>
                    <w:tl2br w:val="nil"/>
                    <w:tr2bl w:val="nil"/>
                  </w:tcBorders>
                  <w:noWrap w:val="0"/>
                  <w:vAlign w:val="center"/>
                </w:tcPr>
                <w:p w14:paraId="48A9E89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val="en-US" w:eastAsia="zh-CN" w:bidi="ar"/>
                    </w:rPr>
                    <w:t>符合</w:t>
                  </w:r>
                </w:p>
              </w:tc>
            </w:tr>
            <w:tr w14:paraId="1D3D35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405" w:type="pct"/>
                  <w:tcBorders>
                    <w:tl2br w:val="nil"/>
                    <w:tr2bl w:val="nil"/>
                  </w:tcBorders>
                  <w:noWrap w:val="0"/>
                  <w:vAlign w:val="center"/>
                </w:tcPr>
                <w:p w14:paraId="3AAE643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9</w:t>
                  </w:r>
                </w:p>
              </w:tc>
              <w:tc>
                <w:tcPr>
                  <w:tcW w:w="1100" w:type="pct"/>
                  <w:tcBorders>
                    <w:tl2br w:val="nil"/>
                    <w:tr2bl w:val="nil"/>
                  </w:tcBorders>
                  <w:noWrap w:val="0"/>
                  <w:vAlign w:val="center"/>
                </w:tcPr>
                <w:p w14:paraId="67BE0A8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kern w:val="0"/>
                      <w:sz w:val="21"/>
                      <w:szCs w:val="21"/>
                      <w:u w:val="none" w:color="auto"/>
                      <w:vertAlign w:val="baseline"/>
                      <w:lang w:val="en-US" w:eastAsia="zh-CN" w:bidi="ar"/>
                    </w:rPr>
                  </w:pPr>
                  <w:r>
                    <w:rPr>
                      <w:rFonts w:hint="default" w:ascii="Times New Roman" w:hAnsi="Times New Roman" w:cs="Times New Roman"/>
                      <w:color w:val="auto"/>
                      <w:sz w:val="21"/>
                      <w:szCs w:val="21"/>
                      <w:u w:val="none" w:color="auto"/>
                    </w:rPr>
                    <w:t>禁止在合规园区外新建、扩建钢铁、石化、化工、焦化、建材、有色、制浆造纸等高污染项目。</w:t>
                  </w:r>
                </w:p>
              </w:tc>
              <w:tc>
                <w:tcPr>
                  <w:tcW w:w="2055" w:type="pct"/>
                  <w:tcBorders>
                    <w:tl2br w:val="nil"/>
                    <w:tr2bl w:val="nil"/>
                  </w:tcBorders>
                  <w:noWrap w:val="0"/>
                  <w:vAlign w:val="center"/>
                </w:tcPr>
                <w:p w14:paraId="239677E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sz w:val="21"/>
                      <w:szCs w:val="21"/>
                      <w:u w:val="none" w:color="auto"/>
                    </w:rPr>
                    <w:t>禁止在合规园区外新建、扩建钢铁、石化、化工、焦化、建材、有色、制浆造纸等高污染项目。高污染项目严格按照生态环境部《环境保护综合名录</w:t>
                  </w:r>
                  <w:r>
                    <w:rPr>
                      <w:rFonts w:hint="default" w:ascii="Times New Roman" w:hAnsi="Times New Roman" w:cs="Times New Roman"/>
                      <w:color w:val="auto"/>
                      <w:sz w:val="21"/>
                      <w:szCs w:val="21"/>
                      <w:u w:val="none" w:color="auto"/>
                      <w:lang w:eastAsia="zh-CN"/>
                    </w:rPr>
                    <w:t>（</w:t>
                  </w:r>
                  <w:r>
                    <w:rPr>
                      <w:rFonts w:hint="default" w:ascii="Times New Roman" w:hAnsi="Times New Roman" w:cs="Times New Roman"/>
                      <w:color w:val="auto"/>
                      <w:sz w:val="21"/>
                      <w:szCs w:val="21"/>
                      <w:u w:val="none" w:color="auto"/>
                    </w:rPr>
                    <w:t>2021年版</w:t>
                  </w:r>
                  <w:r>
                    <w:rPr>
                      <w:rFonts w:hint="default" w:ascii="Times New Roman" w:hAnsi="Times New Roman" w:cs="Times New Roman"/>
                      <w:color w:val="auto"/>
                      <w:sz w:val="21"/>
                      <w:szCs w:val="21"/>
                      <w:u w:val="none" w:color="auto"/>
                      <w:lang w:eastAsia="zh-CN"/>
                    </w:rPr>
                    <w:t>）</w:t>
                  </w:r>
                  <w:r>
                    <w:rPr>
                      <w:rFonts w:hint="default" w:ascii="Times New Roman" w:hAnsi="Times New Roman" w:cs="Times New Roman"/>
                      <w:color w:val="auto"/>
                      <w:sz w:val="21"/>
                      <w:szCs w:val="21"/>
                      <w:u w:val="none" w:color="auto"/>
                    </w:rPr>
                    <w:t>》有关要求执行。</w:t>
                  </w:r>
                </w:p>
              </w:tc>
              <w:tc>
                <w:tcPr>
                  <w:tcW w:w="959" w:type="pct"/>
                  <w:tcBorders>
                    <w:tl2br w:val="nil"/>
                    <w:tr2bl w:val="nil"/>
                  </w:tcBorders>
                  <w:noWrap w:val="0"/>
                  <w:vAlign w:val="center"/>
                </w:tcPr>
                <w:p w14:paraId="3A66535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本项目</w:t>
                  </w:r>
                  <w:r>
                    <w:rPr>
                      <w:rFonts w:hint="eastAsia" w:cs="Times New Roman"/>
                      <w:color w:val="auto"/>
                      <w:kern w:val="0"/>
                      <w:sz w:val="21"/>
                      <w:szCs w:val="21"/>
                      <w:u w:val="none" w:color="auto"/>
                      <w:vertAlign w:val="baseline"/>
                      <w:lang w:val="en-US" w:eastAsia="zh-CN" w:bidi="ar"/>
                    </w:rPr>
                    <w:t>为烘炉、风机、包装等设备制造、铁路运输设备制造，不属于</w:t>
                  </w:r>
                  <w:r>
                    <w:rPr>
                      <w:rFonts w:hint="default" w:ascii="Times New Roman" w:hAnsi="Times New Roman" w:cs="Times New Roman"/>
                      <w:color w:val="auto"/>
                      <w:sz w:val="21"/>
                      <w:szCs w:val="21"/>
                      <w:u w:val="none" w:color="auto"/>
                    </w:rPr>
                    <w:t>生态环境部《环境保护综合名录</w:t>
                  </w:r>
                  <w:r>
                    <w:rPr>
                      <w:rFonts w:hint="default" w:ascii="Times New Roman" w:hAnsi="Times New Roman" w:cs="Times New Roman"/>
                      <w:color w:val="auto"/>
                      <w:sz w:val="21"/>
                      <w:szCs w:val="21"/>
                      <w:u w:val="none" w:color="auto"/>
                      <w:lang w:eastAsia="zh-CN"/>
                    </w:rPr>
                    <w:t>（</w:t>
                  </w:r>
                  <w:r>
                    <w:rPr>
                      <w:rFonts w:hint="default" w:ascii="Times New Roman" w:hAnsi="Times New Roman" w:cs="Times New Roman"/>
                      <w:color w:val="auto"/>
                      <w:sz w:val="21"/>
                      <w:szCs w:val="21"/>
                      <w:u w:val="none" w:color="auto"/>
                    </w:rPr>
                    <w:t>2021年版</w:t>
                  </w:r>
                  <w:r>
                    <w:rPr>
                      <w:rFonts w:hint="default" w:ascii="Times New Roman" w:hAnsi="Times New Roman" w:cs="Times New Roman"/>
                      <w:color w:val="auto"/>
                      <w:sz w:val="21"/>
                      <w:szCs w:val="21"/>
                      <w:u w:val="none" w:color="auto"/>
                      <w:lang w:eastAsia="zh-CN"/>
                    </w:rPr>
                    <w:t>）</w:t>
                  </w:r>
                  <w:r>
                    <w:rPr>
                      <w:rFonts w:hint="default" w:ascii="Times New Roman" w:hAnsi="Times New Roman" w:cs="Times New Roman"/>
                      <w:color w:val="auto"/>
                      <w:sz w:val="21"/>
                      <w:szCs w:val="21"/>
                      <w:u w:val="none" w:color="auto"/>
                    </w:rPr>
                    <w:t>》</w:t>
                  </w:r>
                  <w:r>
                    <w:rPr>
                      <w:rFonts w:hint="eastAsia" w:ascii="Times New Roman" w:hAnsi="Times New Roman" w:cs="Times New Roman"/>
                      <w:color w:val="auto"/>
                      <w:sz w:val="21"/>
                      <w:szCs w:val="21"/>
                      <w:u w:val="none" w:color="auto"/>
                      <w:lang w:val="en-US" w:eastAsia="zh-CN"/>
                    </w:rPr>
                    <w:t>中</w:t>
                  </w:r>
                  <w:r>
                    <w:rPr>
                      <w:rFonts w:hint="default" w:ascii="Times New Roman" w:hAnsi="Times New Roman" w:cs="Times New Roman"/>
                      <w:color w:val="auto"/>
                      <w:kern w:val="0"/>
                      <w:sz w:val="21"/>
                      <w:szCs w:val="21"/>
                      <w:u w:val="none" w:color="auto"/>
                      <w:vertAlign w:val="baseline"/>
                      <w:lang w:bidi="ar"/>
                    </w:rPr>
                    <w:t>高污染项目。</w:t>
                  </w:r>
                </w:p>
              </w:tc>
              <w:tc>
                <w:tcPr>
                  <w:tcW w:w="479" w:type="pct"/>
                  <w:tcBorders>
                    <w:tl2br w:val="nil"/>
                    <w:tr2bl w:val="nil"/>
                  </w:tcBorders>
                  <w:noWrap w:val="0"/>
                  <w:vAlign w:val="center"/>
                </w:tcPr>
                <w:p w14:paraId="42F1BB2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val="en-US" w:eastAsia="zh-CN" w:bidi="ar"/>
                    </w:rPr>
                    <w:t>符合</w:t>
                  </w:r>
                </w:p>
              </w:tc>
            </w:tr>
            <w:tr w14:paraId="3F306F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5" w:type="pct"/>
                  <w:tcBorders>
                    <w:tl2br w:val="nil"/>
                    <w:tr2bl w:val="nil"/>
                  </w:tcBorders>
                  <w:noWrap w:val="0"/>
                  <w:vAlign w:val="center"/>
                </w:tcPr>
                <w:p w14:paraId="572C099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10</w:t>
                  </w:r>
                </w:p>
              </w:tc>
              <w:tc>
                <w:tcPr>
                  <w:tcW w:w="1100" w:type="pct"/>
                  <w:tcBorders>
                    <w:tl2br w:val="nil"/>
                    <w:tr2bl w:val="nil"/>
                  </w:tcBorders>
                  <w:noWrap w:val="0"/>
                  <w:vAlign w:val="center"/>
                </w:tcPr>
                <w:p w14:paraId="6FBFA81A">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cs="Times New Roman"/>
                      <w:color w:val="auto"/>
                      <w:kern w:val="0"/>
                      <w:sz w:val="21"/>
                      <w:szCs w:val="21"/>
                      <w:u w:val="none" w:color="auto"/>
                      <w:vertAlign w:val="baseline"/>
                      <w:lang w:val="en-US" w:eastAsia="zh-CN" w:bidi="ar"/>
                    </w:rPr>
                  </w:pPr>
                  <w:r>
                    <w:rPr>
                      <w:rFonts w:hint="default" w:ascii="Times New Roman" w:hAnsi="Times New Roman" w:cs="Times New Roman"/>
                      <w:color w:val="auto"/>
                      <w:sz w:val="21"/>
                      <w:szCs w:val="21"/>
                      <w:u w:val="none" w:color="auto"/>
                    </w:rPr>
                    <w:t>禁止新建、扩建不符合国家石化、现代煤化工等产业布局规划的项目。</w:t>
                  </w:r>
                </w:p>
              </w:tc>
              <w:tc>
                <w:tcPr>
                  <w:tcW w:w="2055" w:type="pct"/>
                  <w:tcBorders>
                    <w:tl2br w:val="nil"/>
                    <w:tr2bl w:val="nil"/>
                  </w:tcBorders>
                  <w:noWrap w:val="0"/>
                  <w:vAlign w:val="center"/>
                </w:tcPr>
                <w:p w14:paraId="32622F4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sz w:val="21"/>
                      <w:szCs w:val="21"/>
                      <w:u w:val="none" w:color="auto"/>
                    </w:rPr>
                    <w:t>禁止新建、扩建不符合国家石化、现代煤化工等产业布局规划的项目。未通过认定的化工园区，不得新建、改扩建化工项目</w:t>
                  </w:r>
                  <w:r>
                    <w:rPr>
                      <w:rFonts w:hint="default" w:ascii="Times New Roman" w:hAnsi="Times New Roman" w:cs="Times New Roman"/>
                      <w:color w:val="auto"/>
                      <w:sz w:val="21"/>
                      <w:szCs w:val="21"/>
                      <w:u w:val="none" w:color="auto"/>
                      <w:lang w:eastAsia="zh-CN"/>
                    </w:rPr>
                    <w:t>（</w:t>
                  </w:r>
                  <w:r>
                    <w:rPr>
                      <w:rFonts w:hint="default" w:ascii="Times New Roman" w:hAnsi="Times New Roman" w:cs="Times New Roman"/>
                      <w:color w:val="auto"/>
                      <w:sz w:val="21"/>
                      <w:szCs w:val="21"/>
                      <w:u w:val="none" w:color="auto"/>
                    </w:rPr>
                    <w:t>安全、环保、节能和智能化改造项目除外</w:t>
                  </w:r>
                  <w:r>
                    <w:rPr>
                      <w:rFonts w:hint="default" w:ascii="Times New Roman" w:hAnsi="Times New Roman" w:cs="Times New Roman"/>
                      <w:color w:val="auto"/>
                      <w:sz w:val="21"/>
                      <w:szCs w:val="21"/>
                      <w:u w:val="none" w:color="auto"/>
                      <w:lang w:eastAsia="zh-CN"/>
                    </w:rPr>
                    <w:t>）</w:t>
                  </w:r>
                  <w:r>
                    <w:rPr>
                      <w:rFonts w:hint="default" w:ascii="Times New Roman" w:hAnsi="Times New Roman" w:cs="Times New Roman"/>
                      <w:color w:val="auto"/>
                      <w:sz w:val="21"/>
                      <w:szCs w:val="21"/>
                      <w:u w:val="none" w:color="auto"/>
                    </w:rPr>
                    <w:t>。</w:t>
                  </w:r>
                </w:p>
              </w:tc>
              <w:tc>
                <w:tcPr>
                  <w:tcW w:w="959" w:type="pct"/>
                  <w:tcBorders>
                    <w:tl2br w:val="nil"/>
                    <w:tr2bl w:val="nil"/>
                  </w:tcBorders>
                  <w:noWrap w:val="0"/>
                  <w:vAlign w:val="center"/>
                </w:tcPr>
                <w:p w14:paraId="1F08E3E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本项目不属于石化、现代煤化工等产业。</w:t>
                  </w:r>
                </w:p>
              </w:tc>
              <w:tc>
                <w:tcPr>
                  <w:tcW w:w="479" w:type="pct"/>
                  <w:tcBorders>
                    <w:tl2br w:val="nil"/>
                    <w:tr2bl w:val="nil"/>
                  </w:tcBorders>
                  <w:noWrap w:val="0"/>
                  <w:vAlign w:val="center"/>
                </w:tcPr>
                <w:p w14:paraId="761B649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val="en-US" w:eastAsia="zh-CN" w:bidi="ar"/>
                    </w:rPr>
                    <w:t>符合</w:t>
                  </w:r>
                </w:p>
              </w:tc>
            </w:tr>
            <w:tr w14:paraId="4CC10B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5" w:type="pct"/>
                  <w:tcBorders>
                    <w:tl2br w:val="nil"/>
                    <w:tr2bl w:val="nil"/>
                  </w:tcBorders>
                  <w:noWrap w:val="0"/>
                  <w:vAlign w:val="center"/>
                </w:tcPr>
                <w:p w14:paraId="121EC7B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11</w:t>
                  </w:r>
                </w:p>
              </w:tc>
              <w:tc>
                <w:tcPr>
                  <w:tcW w:w="1100" w:type="pct"/>
                  <w:tcBorders>
                    <w:tl2br w:val="nil"/>
                    <w:tr2bl w:val="nil"/>
                  </w:tcBorders>
                  <w:noWrap w:val="0"/>
                  <w:vAlign w:val="center"/>
                </w:tcPr>
                <w:p w14:paraId="669AFCF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kern w:val="0"/>
                      <w:sz w:val="21"/>
                      <w:szCs w:val="21"/>
                      <w:u w:val="none" w:color="auto"/>
                      <w:vertAlign w:val="baseline"/>
                      <w:lang w:val="en-US" w:eastAsia="zh-CN" w:bidi="ar"/>
                    </w:rPr>
                  </w:pPr>
                  <w:r>
                    <w:rPr>
                      <w:rFonts w:hint="default" w:ascii="Times New Roman" w:hAnsi="Times New Roman" w:cs="Times New Roman"/>
                      <w:color w:val="auto"/>
                      <w:sz w:val="21"/>
                      <w:szCs w:val="21"/>
                      <w:u w:val="none" w:color="auto"/>
                    </w:rPr>
                    <w:t>禁止新建、扩建法律法规和相关政策明令禁止的落后产能项目。禁止新建、扩建不符合国家产能置换要求的严重过剩产能行业的项目。禁止新建、扩建不符合要求的高耗能高排放项目。</w:t>
                  </w:r>
                </w:p>
              </w:tc>
              <w:tc>
                <w:tcPr>
                  <w:tcW w:w="2055" w:type="pct"/>
                  <w:tcBorders>
                    <w:tl2br w:val="nil"/>
                    <w:tr2bl w:val="nil"/>
                  </w:tcBorders>
                  <w:noWrap w:val="0"/>
                  <w:vAlign w:val="center"/>
                </w:tcPr>
                <w:p w14:paraId="4A11E7E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sz w:val="21"/>
                      <w:szCs w:val="21"/>
                      <w:u w:val="none" w:color="auto"/>
                    </w:rPr>
                    <w:t>禁止新建、扩建法律法规和相关政策明令禁止的落后产能项目</w:t>
                  </w:r>
                  <w:r>
                    <w:rPr>
                      <w:rFonts w:hint="default" w:ascii="Times New Roman" w:hAnsi="Times New Roman" w:cs="Times New Roman"/>
                      <w:color w:val="auto"/>
                      <w:sz w:val="21"/>
                      <w:szCs w:val="21"/>
                      <w:u w:val="none" w:color="auto"/>
                      <w:lang w:eastAsia="zh-CN"/>
                    </w:rPr>
                    <w:t>；</w:t>
                  </w:r>
                  <w:r>
                    <w:rPr>
                      <w:rFonts w:hint="default" w:ascii="Times New Roman" w:hAnsi="Times New Roman" w:cs="Times New Roman"/>
                      <w:color w:val="auto"/>
                      <w:sz w:val="21"/>
                      <w:szCs w:val="21"/>
                      <w:u w:val="none" w:color="auto"/>
                    </w:rPr>
                    <w:t>对不符合要求的落后产能存量项目依法依规退出。禁止新建、扩建不符合国家产能置换要求的严重过剩产能行业</w:t>
                  </w:r>
                  <w:r>
                    <w:rPr>
                      <w:rFonts w:hint="default" w:ascii="Times New Roman" w:hAnsi="Times New Roman" w:cs="Times New Roman"/>
                      <w:color w:val="auto"/>
                      <w:sz w:val="21"/>
                      <w:szCs w:val="21"/>
                      <w:u w:val="none" w:color="auto"/>
                      <w:lang w:eastAsia="zh-CN"/>
                    </w:rPr>
                    <w:t>（</w:t>
                  </w:r>
                  <w:r>
                    <w:rPr>
                      <w:rFonts w:hint="default" w:ascii="Times New Roman" w:hAnsi="Times New Roman" w:cs="Times New Roman"/>
                      <w:color w:val="auto"/>
                      <w:sz w:val="21"/>
                      <w:szCs w:val="21"/>
                      <w:u w:val="none" w:color="auto"/>
                    </w:rPr>
                    <w:t>钢铁、水泥、电解铝、平板玻璃、船舶等行业</w:t>
                  </w:r>
                  <w:r>
                    <w:rPr>
                      <w:rFonts w:hint="default" w:ascii="Times New Roman" w:hAnsi="Times New Roman" w:cs="Times New Roman"/>
                      <w:color w:val="auto"/>
                      <w:sz w:val="21"/>
                      <w:szCs w:val="21"/>
                      <w:u w:val="none" w:color="auto"/>
                      <w:lang w:eastAsia="zh-CN"/>
                    </w:rPr>
                    <w:t>）</w:t>
                  </w:r>
                  <w:r>
                    <w:rPr>
                      <w:rFonts w:hint="default" w:ascii="Times New Roman" w:hAnsi="Times New Roman" w:cs="Times New Roman"/>
                      <w:color w:val="auto"/>
                      <w:sz w:val="21"/>
                      <w:szCs w:val="21"/>
                      <w:u w:val="none" w:color="auto"/>
                    </w:rPr>
                    <w:t>的项目。对确有必要新建、扩建的，必须严格执行产能置换实施办法，实施减量或等量置换，依法依规办理有关手续。禁止新建、扩建不符合要求的高耗能高排放项目。</w:t>
                  </w:r>
                </w:p>
              </w:tc>
              <w:tc>
                <w:tcPr>
                  <w:tcW w:w="959" w:type="pct"/>
                  <w:tcBorders>
                    <w:tl2br w:val="nil"/>
                    <w:tr2bl w:val="nil"/>
                  </w:tcBorders>
                  <w:noWrap w:val="0"/>
                  <w:vAlign w:val="center"/>
                </w:tcPr>
                <w:p w14:paraId="3AB3A59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u w:val="none" w:color="auto"/>
                      <w:vertAlign w:val="baseline"/>
                      <w:lang w:val="en-US" w:eastAsia="zh-CN" w:bidi="ar"/>
                    </w:rPr>
                  </w:pPr>
                  <w:r>
                    <w:rPr>
                      <w:rFonts w:hint="default" w:ascii="Times New Roman" w:hAnsi="Times New Roman" w:cs="Times New Roman"/>
                      <w:color w:val="auto"/>
                      <w:kern w:val="0"/>
                      <w:sz w:val="21"/>
                      <w:szCs w:val="21"/>
                      <w:u w:val="none" w:color="auto"/>
                      <w:vertAlign w:val="baseline"/>
                      <w:lang w:val="en-US" w:eastAsia="zh-CN" w:bidi="ar"/>
                    </w:rPr>
                    <w:t>本项目不属于</w:t>
                  </w:r>
                  <w:r>
                    <w:rPr>
                      <w:rFonts w:hint="default" w:ascii="Times New Roman" w:hAnsi="Times New Roman" w:cs="Times New Roman"/>
                      <w:color w:val="auto"/>
                      <w:kern w:val="0"/>
                      <w:sz w:val="21"/>
                      <w:szCs w:val="21"/>
                      <w:u w:val="none" w:color="auto"/>
                      <w:vertAlign w:val="baseline"/>
                      <w:lang w:bidi="ar"/>
                    </w:rPr>
                    <w:t>法律法规和相关政策明令禁止的落后产能项目</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val="en-US" w:eastAsia="zh-CN" w:bidi="ar"/>
                    </w:rPr>
                    <w:t>不属于</w:t>
                  </w:r>
                  <w:r>
                    <w:rPr>
                      <w:rFonts w:hint="default" w:ascii="Times New Roman" w:hAnsi="Times New Roman" w:cs="Times New Roman"/>
                      <w:color w:val="auto"/>
                      <w:kern w:val="0"/>
                      <w:sz w:val="21"/>
                      <w:szCs w:val="21"/>
                      <w:u w:val="none" w:color="auto"/>
                      <w:vertAlign w:val="baseline"/>
                      <w:lang w:bidi="ar"/>
                    </w:rPr>
                    <w:t>不符合国家产能置换要求的严重过剩产能行业的项目</w:t>
                  </w:r>
                  <w:r>
                    <w:rPr>
                      <w:rFonts w:hint="default" w:ascii="Times New Roman" w:hAnsi="Times New Roman" w:cs="Times New Roman"/>
                      <w:color w:val="auto"/>
                      <w:kern w:val="0"/>
                      <w:sz w:val="21"/>
                      <w:szCs w:val="21"/>
                      <w:u w:val="none" w:color="auto"/>
                      <w:vertAlign w:val="baseline"/>
                      <w:lang w:eastAsia="zh-CN" w:bidi="ar"/>
                    </w:rPr>
                    <w:t>；</w:t>
                  </w:r>
                  <w:r>
                    <w:rPr>
                      <w:rFonts w:hint="default" w:ascii="Times New Roman" w:hAnsi="Times New Roman" w:cs="Times New Roman"/>
                      <w:color w:val="auto"/>
                      <w:kern w:val="0"/>
                      <w:sz w:val="21"/>
                      <w:szCs w:val="21"/>
                      <w:u w:val="none" w:color="auto"/>
                      <w:vertAlign w:val="baseline"/>
                      <w:lang w:val="en-US" w:eastAsia="zh-CN" w:bidi="ar"/>
                    </w:rPr>
                    <w:t>不属于</w:t>
                  </w:r>
                  <w:r>
                    <w:rPr>
                      <w:rFonts w:hint="default" w:ascii="Times New Roman" w:hAnsi="Times New Roman" w:cs="Times New Roman"/>
                      <w:color w:val="auto"/>
                      <w:kern w:val="0"/>
                      <w:sz w:val="21"/>
                      <w:szCs w:val="21"/>
                      <w:u w:val="none" w:color="auto"/>
                      <w:vertAlign w:val="baseline"/>
                      <w:lang w:bidi="ar"/>
                    </w:rPr>
                    <w:t>不符合要求的高耗能高排放项目</w:t>
                  </w:r>
                  <w:r>
                    <w:rPr>
                      <w:rFonts w:hint="default" w:ascii="Times New Roman" w:hAnsi="Times New Roman" w:cs="Times New Roman"/>
                      <w:color w:val="auto"/>
                      <w:kern w:val="0"/>
                      <w:sz w:val="21"/>
                      <w:szCs w:val="21"/>
                      <w:u w:val="none" w:color="auto"/>
                      <w:vertAlign w:val="baseline"/>
                      <w:lang w:eastAsia="zh-CN" w:bidi="ar"/>
                    </w:rPr>
                    <w:t>。</w:t>
                  </w:r>
                </w:p>
              </w:tc>
              <w:tc>
                <w:tcPr>
                  <w:tcW w:w="479" w:type="pct"/>
                  <w:tcBorders>
                    <w:tl2br w:val="nil"/>
                    <w:tr2bl w:val="nil"/>
                  </w:tcBorders>
                  <w:noWrap w:val="0"/>
                  <w:vAlign w:val="center"/>
                </w:tcPr>
                <w:p w14:paraId="25202EA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u w:val="none" w:color="auto"/>
                      <w:vertAlign w:val="baseline"/>
                      <w:lang w:bidi="ar"/>
                    </w:rPr>
                  </w:pPr>
                  <w:r>
                    <w:rPr>
                      <w:rFonts w:hint="default" w:ascii="Times New Roman" w:hAnsi="Times New Roman" w:cs="Times New Roman"/>
                      <w:color w:val="auto"/>
                      <w:kern w:val="0"/>
                      <w:sz w:val="21"/>
                      <w:szCs w:val="21"/>
                      <w:u w:val="none" w:color="auto"/>
                      <w:vertAlign w:val="baseline"/>
                      <w:lang w:val="en-US" w:eastAsia="zh-CN" w:bidi="ar"/>
                    </w:rPr>
                    <w:t>符合</w:t>
                  </w:r>
                </w:p>
              </w:tc>
            </w:tr>
          </w:tbl>
          <w:p w14:paraId="3C64D0D6">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u w:val="none" w:color="auto"/>
                <w:lang w:val="en-US" w:eastAsia="zh-CN" w:bidi="ar"/>
              </w:rPr>
            </w:pPr>
            <w:r>
              <w:rPr>
                <w:rFonts w:hint="default" w:ascii="Times New Roman" w:hAnsi="Times New Roman" w:eastAsia="宋体" w:cs="Times New Roman"/>
                <w:color w:val="auto"/>
                <w:kern w:val="0"/>
                <w:sz w:val="24"/>
                <w:u w:val="none" w:color="auto"/>
                <w:lang w:val="en-US" w:eastAsia="zh-CN" w:bidi="ar"/>
              </w:rPr>
              <w:t>综上所述，本项目符合《长江经济带发展负面清单指南》（试行，2022版）及《湖南省长江经济带发展负面清单实施细则（试行，2022版）》中相关规定。</w:t>
            </w:r>
          </w:p>
          <w:p w14:paraId="4DB49546">
            <w:pPr>
              <w:pStyle w:val="15"/>
              <w:keepNext w:val="0"/>
              <w:keepLines w:val="0"/>
              <w:pageBreakBefore w:val="0"/>
              <w:numPr>
                <w:ilvl w:val="0"/>
                <w:numId w:val="0"/>
              </w:numPr>
              <w:kinsoku/>
              <w:wordWrap/>
              <w:overflowPunct/>
              <w:topLinePunct w:val="0"/>
              <w:bidi w:val="0"/>
              <w:spacing w:before="0" w:after="0" w:line="348" w:lineRule="auto"/>
              <w:ind w:right="0" w:rightChars="0" w:firstLine="482" w:firstLineChars="200"/>
              <w:textAlignment w:val="auto"/>
              <w:rPr>
                <w:rFonts w:hint="eastAsia" w:ascii="Times New Roman" w:hAnsi="Times New Roman" w:cs="Times New Roman"/>
                <w:b/>
                <w:bCs/>
                <w:color w:val="auto"/>
                <w:kern w:val="2"/>
                <w:sz w:val="24"/>
                <w:szCs w:val="24"/>
                <w:highlight w:val="none"/>
                <w:u w:val="none" w:color="auto"/>
                <w:lang w:val="en-US" w:eastAsia="zh-CN" w:bidi="ar-SA"/>
              </w:rPr>
            </w:pPr>
            <w:r>
              <w:rPr>
                <w:rFonts w:hint="eastAsia" w:cs="Times New Roman"/>
                <w:b/>
                <w:bCs/>
                <w:color w:val="auto"/>
                <w:kern w:val="2"/>
                <w:sz w:val="24"/>
                <w:szCs w:val="24"/>
                <w:highlight w:val="none"/>
                <w:u w:val="none" w:color="auto"/>
                <w:lang w:val="en-US" w:eastAsia="zh-CN" w:bidi="ar-SA"/>
              </w:rPr>
              <w:t>8、</w:t>
            </w:r>
            <w:r>
              <w:rPr>
                <w:rFonts w:hint="eastAsia" w:ascii="Times New Roman" w:hAnsi="Times New Roman" w:cs="Times New Roman"/>
                <w:b/>
                <w:bCs/>
                <w:color w:val="auto"/>
                <w:kern w:val="2"/>
                <w:sz w:val="24"/>
                <w:szCs w:val="24"/>
                <w:highlight w:val="none"/>
                <w:u w:val="none" w:color="auto"/>
                <w:lang w:val="en-US" w:eastAsia="zh-CN" w:bidi="ar-SA"/>
              </w:rPr>
              <w:t>与《湖南省</w:t>
            </w:r>
            <w:r>
              <w:rPr>
                <w:rFonts w:hint="eastAsia" w:cs="Times New Roman"/>
                <w:b/>
                <w:bCs/>
                <w:color w:val="auto"/>
                <w:kern w:val="2"/>
                <w:sz w:val="24"/>
                <w:szCs w:val="24"/>
                <w:highlight w:val="none"/>
                <w:u w:val="none" w:color="auto"/>
                <w:lang w:val="en-US" w:eastAsia="zh-CN" w:bidi="ar-SA"/>
              </w:rPr>
              <w:t>“</w:t>
            </w:r>
            <w:r>
              <w:rPr>
                <w:rFonts w:hint="eastAsia" w:ascii="Times New Roman" w:hAnsi="Times New Roman" w:cs="Times New Roman"/>
                <w:b/>
                <w:bCs/>
                <w:color w:val="auto"/>
                <w:kern w:val="2"/>
                <w:sz w:val="24"/>
                <w:szCs w:val="24"/>
                <w:highlight w:val="none"/>
                <w:u w:val="none" w:color="auto"/>
                <w:lang w:val="en-US" w:eastAsia="zh-CN" w:bidi="ar-SA"/>
              </w:rPr>
              <w:t>两高</w:t>
            </w:r>
            <w:r>
              <w:rPr>
                <w:rFonts w:hint="eastAsia" w:cs="Times New Roman"/>
                <w:b/>
                <w:bCs/>
                <w:color w:val="auto"/>
                <w:kern w:val="2"/>
                <w:sz w:val="24"/>
                <w:szCs w:val="24"/>
                <w:highlight w:val="none"/>
                <w:u w:val="none" w:color="auto"/>
                <w:lang w:val="en-US" w:eastAsia="zh-CN" w:bidi="ar-SA"/>
              </w:rPr>
              <w:t>”</w:t>
            </w:r>
            <w:r>
              <w:rPr>
                <w:rFonts w:hint="eastAsia" w:ascii="Times New Roman" w:hAnsi="Times New Roman" w:cs="Times New Roman"/>
                <w:b/>
                <w:bCs/>
                <w:color w:val="auto"/>
                <w:kern w:val="2"/>
                <w:sz w:val="24"/>
                <w:szCs w:val="24"/>
                <w:highlight w:val="none"/>
                <w:u w:val="none" w:color="auto"/>
                <w:lang w:val="en-US" w:eastAsia="zh-CN" w:bidi="ar-SA"/>
              </w:rPr>
              <w:t>项目管理目录》符合性分析</w:t>
            </w:r>
          </w:p>
          <w:p w14:paraId="0C99D5B7">
            <w:pPr>
              <w:pStyle w:val="15"/>
              <w:keepNext w:val="0"/>
              <w:keepLines w:val="0"/>
              <w:pageBreakBefore w:val="0"/>
              <w:numPr>
                <w:ilvl w:val="0"/>
                <w:numId w:val="0"/>
              </w:numPr>
              <w:kinsoku/>
              <w:wordWrap/>
              <w:overflowPunct/>
              <w:topLinePunct w:val="0"/>
              <w:bidi w:val="0"/>
              <w:spacing w:before="0" w:after="0" w:line="348" w:lineRule="auto"/>
              <w:ind w:right="0" w:rightChars="0" w:firstLine="480" w:firstLineChars="200"/>
              <w:textAlignment w:val="auto"/>
              <w:rPr>
                <w:rFonts w:hint="eastAsia" w:eastAsia="宋体" w:cs="Times New Roman"/>
                <w:color w:val="auto"/>
                <w:sz w:val="24"/>
                <w:szCs w:val="24"/>
                <w:u w:val="none" w:color="auto"/>
                <w:lang w:val="en-US" w:eastAsia="zh-CN"/>
              </w:rPr>
            </w:pPr>
            <w:r>
              <w:rPr>
                <w:rFonts w:hint="eastAsia" w:ascii="Times New Roman" w:hAnsi="Times New Roman" w:cs="Times New Roman"/>
                <w:b w:val="0"/>
                <w:bCs w:val="0"/>
                <w:color w:val="auto"/>
                <w:kern w:val="2"/>
                <w:sz w:val="24"/>
                <w:szCs w:val="24"/>
                <w:highlight w:val="none"/>
                <w:u w:val="none" w:color="auto"/>
                <w:lang w:val="en-US" w:eastAsia="zh-CN" w:bidi="ar-SA"/>
              </w:rPr>
              <w:t>本项目行业类别涉及C3714高铁设备、配件制造；C3462风机、风扇制造</w:t>
            </w:r>
            <w:r>
              <w:rPr>
                <w:rFonts w:hint="eastAsia" w:eastAsia="宋体" w:cs="Times New Roman"/>
                <w:color w:val="auto"/>
                <w:sz w:val="24"/>
                <w:szCs w:val="24"/>
                <w:u w:val="none" w:color="auto"/>
                <w:lang w:val="en-US" w:eastAsia="zh-CN"/>
              </w:rPr>
              <w:t>，对照湖南省发展和改革委员会关于印发《湖南省</w:t>
            </w:r>
            <w:r>
              <w:rPr>
                <w:rFonts w:hint="eastAsia" w:cs="Times New Roman"/>
                <w:color w:val="auto"/>
                <w:sz w:val="24"/>
                <w:szCs w:val="24"/>
                <w:u w:val="none" w:color="auto"/>
                <w:lang w:val="en-US" w:eastAsia="zh-CN"/>
              </w:rPr>
              <w:t>“</w:t>
            </w:r>
            <w:r>
              <w:rPr>
                <w:rFonts w:hint="eastAsia" w:eastAsia="宋体" w:cs="Times New Roman"/>
                <w:color w:val="auto"/>
                <w:sz w:val="24"/>
                <w:szCs w:val="24"/>
                <w:u w:val="none" w:color="auto"/>
                <w:lang w:val="en-US" w:eastAsia="zh-CN"/>
              </w:rPr>
              <w:t>两高</w:t>
            </w:r>
            <w:r>
              <w:rPr>
                <w:rFonts w:hint="eastAsia" w:cs="Times New Roman"/>
                <w:color w:val="auto"/>
                <w:sz w:val="24"/>
                <w:szCs w:val="24"/>
                <w:u w:val="none" w:color="auto"/>
                <w:lang w:val="en-US" w:eastAsia="zh-CN"/>
              </w:rPr>
              <w:t>”</w:t>
            </w:r>
            <w:r>
              <w:rPr>
                <w:rFonts w:hint="eastAsia" w:eastAsia="宋体" w:cs="Times New Roman"/>
                <w:color w:val="auto"/>
                <w:sz w:val="24"/>
                <w:szCs w:val="24"/>
                <w:u w:val="none" w:color="auto"/>
                <w:lang w:val="en-US" w:eastAsia="zh-CN"/>
              </w:rPr>
              <w:t>项目管理目录》的通知，项目不在其</w:t>
            </w:r>
            <w:r>
              <w:rPr>
                <w:rFonts w:hint="eastAsia" w:cs="Times New Roman"/>
                <w:color w:val="auto"/>
                <w:sz w:val="24"/>
                <w:szCs w:val="24"/>
                <w:u w:val="none" w:color="auto"/>
                <w:lang w:val="en-US" w:eastAsia="zh-CN"/>
              </w:rPr>
              <w:t>“</w:t>
            </w:r>
            <w:r>
              <w:rPr>
                <w:rFonts w:hint="eastAsia" w:eastAsia="宋体" w:cs="Times New Roman"/>
                <w:color w:val="auto"/>
                <w:sz w:val="24"/>
                <w:szCs w:val="24"/>
                <w:u w:val="none" w:color="auto"/>
                <w:lang w:val="en-US" w:eastAsia="zh-CN"/>
              </w:rPr>
              <w:t>两高</w:t>
            </w:r>
            <w:r>
              <w:rPr>
                <w:rFonts w:hint="eastAsia" w:cs="Times New Roman"/>
                <w:color w:val="auto"/>
                <w:sz w:val="24"/>
                <w:szCs w:val="24"/>
                <w:u w:val="none" w:color="auto"/>
                <w:lang w:val="en-US" w:eastAsia="zh-CN"/>
              </w:rPr>
              <w:t>”</w:t>
            </w:r>
            <w:r>
              <w:rPr>
                <w:rFonts w:hint="eastAsia" w:eastAsia="宋体" w:cs="Times New Roman"/>
                <w:color w:val="auto"/>
                <w:sz w:val="24"/>
                <w:szCs w:val="24"/>
                <w:u w:val="none" w:color="auto"/>
                <w:lang w:val="en-US" w:eastAsia="zh-CN"/>
              </w:rPr>
              <w:t>项目管理目录内。</w:t>
            </w:r>
          </w:p>
          <w:p w14:paraId="421A4BD8">
            <w:pPr>
              <w:pStyle w:val="15"/>
              <w:keepNext w:val="0"/>
              <w:keepLines w:val="0"/>
              <w:pageBreakBefore w:val="0"/>
              <w:numPr>
                <w:ilvl w:val="0"/>
                <w:numId w:val="0"/>
              </w:numPr>
              <w:kinsoku/>
              <w:wordWrap/>
              <w:overflowPunct/>
              <w:topLinePunct w:val="0"/>
              <w:bidi w:val="0"/>
              <w:spacing w:before="0" w:after="0" w:line="348" w:lineRule="auto"/>
              <w:ind w:right="0" w:rightChars="0" w:firstLine="482" w:firstLineChars="200"/>
              <w:textAlignment w:val="auto"/>
              <w:rPr>
                <w:rFonts w:hint="eastAsia" w:ascii="Times New Roman" w:hAnsi="Times New Roman" w:eastAsia="宋体" w:cs="Times New Roman"/>
                <w:b/>
                <w:bCs/>
                <w:color w:val="auto"/>
                <w:kern w:val="2"/>
                <w:sz w:val="24"/>
                <w:szCs w:val="24"/>
                <w:highlight w:val="none"/>
                <w:u w:val="single" w:color="auto"/>
                <w:lang w:val="en-US" w:eastAsia="zh-CN" w:bidi="ar-SA"/>
              </w:rPr>
            </w:pPr>
            <w:r>
              <w:rPr>
                <w:rFonts w:hint="eastAsia" w:ascii="Times New Roman" w:hAnsi="Times New Roman" w:eastAsia="宋体" w:cs="Times New Roman"/>
                <w:b/>
                <w:bCs/>
                <w:color w:val="auto"/>
                <w:kern w:val="2"/>
                <w:sz w:val="24"/>
                <w:szCs w:val="24"/>
                <w:highlight w:val="none"/>
                <w:u w:val="single" w:color="auto"/>
                <w:lang w:val="en-US" w:eastAsia="zh-CN" w:bidi="ar-SA"/>
              </w:rPr>
              <w:t>9、与《重点行业挥发性有机物综合治理方案》（环大气〔2019〕53 号） 相符性</w:t>
            </w:r>
          </w:p>
          <w:p w14:paraId="05DC77B0">
            <w:pPr>
              <w:pStyle w:val="74"/>
              <w:ind w:firstLine="472"/>
              <w:rPr>
                <w:rFonts w:cs="Times New Roman"/>
                <w:spacing w:val="-2"/>
                <w:kern w:val="2"/>
                <w:position w:val="-6"/>
                <w:sz w:val="24"/>
                <w:szCs w:val="24"/>
                <w:u w:val="single" w:color="auto"/>
                <w:lang w:bidi="ar"/>
              </w:rPr>
            </w:pPr>
            <w:r>
              <w:rPr>
                <w:rFonts w:hint="default" w:ascii="Times New Roman" w:hAnsi="Times New Roman" w:eastAsia="宋体" w:cs="Times New Roman"/>
                <w:color w:val="auto"/>
                <w:kern w:val="0"/>
                <w:sz w:val="24"/>
                <w:szCs w:val="24"/>
                <w:u w:val="single" w:color="auto"/>
                <w:lang w:val="en-US" w:eastAsia="zh-CN" w:bidi="ar"/>
              </w:rPr>
              <w:t>本项目与《重点行业挥发性有机物综合治理方案》（环大气〔2019〕53 号）的相符性分析见下表所示。</w:t>
            </w:r>
          </w:p>
          <w:p w14:paraId="75E842B9">
            <w:pPr>
              <w:widowControl/>
              <w:spacing w:before="63" w:beforeLines="20" w:line="240" w:lineRule="auto"/>
              <w:ind w:firstLine="0" w:firstLineChars="0"/>
              <w:jc w:val="center"/>
              <w:rPr>
                <w:rFonts w:hint="default" w:ascii="Times New Roman" w:hAnsi="Times New Roman" w:eastAsia="宋体" w:cs="Times New Roman"/>
                <w:b/>
                <w:color w:val="auto"/>
                <w:kern w:val="0"/>
                <w:sz w:val="24"/>
                <w:szCs w:val="24"/>
                <w:u w:val="single" w:color="auto"/>
                <w:lang w:val="en-US" w:eastAsia="zh-CN" w:bidi="ar-SA"/>
              </w:rPr>
            </w:pPr>
            <w:r>
              <w:rPr>
                <w:rFonts w:hint="default" w:ascii="Times New Roman" w:hAnsi="Times New Roman" w:eastAsia="宋体" w:cs="Times New Roman"/>
                <w:b/>
                <w:color w:val="auto"/>
                <w:kern w:val="0"/>
                <w:sz w:val="24"/>
                <w:szCs w:val="24"/>
                <w:u w:val="single" w:color="auto"/>
                <w:lang w:val="en-US" w:eastAsia="zh-CN" w:bidi="ar-SA"/>
              </w:rPr>
              <w:t>表1</w:t>
            </w:r>
            <w:r>
              <w:rPr>
                <w:rFonts w:hint="eastAsia" w:ascii="Times New Roman" w:hAnsi="Times New Roman" w:eastAsia="宋体" w:cs="Times New Roman"/>
                <w:b/>
                <w:color w:val="auto"/>
                <w:kern w:val="0"/>
                <w:sz w:val="24"/>
                <w:szCs w:val="24"/>
                <w:u w:val="single" w:color="auto"/>
                <w:lang w:val="en-US" w:eastAsia="zh-CN" w:bidi="ar-SA"/>
              </w:rPr>
              <w:t>-</w:t>
            </w:r>
            <w:r>
              <w:rPr>
                <w:rFonts w:hint="eastAsia" w:cs="Times New Roman"/>
                <w:b/>
                <w:color w:val="auto"/>
                <w:kern w:val="0"/>
                <w:sz w:val="24"/>
                <w:szCs w:val="24"/>
                <w:u w:val="single" w:color="auto"/>
                <w:lang w:val="en-US" w:eastAsia="zh-CN" w:bidi="ar-SA"/>
              </w:rPr>
              <w:t>6</w:t>
            </w:r>
            <w:r>
              <w:rPr>
                <w:rFonts w:hint="default" w:ascii="Times New Roman" w:hAnsi="Times New Roman" w:eastAsia="宋体" w:cs="Times New Roman"/>
                <w:b/>
                <w:color w:val="auto"/>
                <w:kern w:val="0"/>
                <w:sz w:val="24"/>
                <w:szCs w:val="24"/>
                <w:u w:val="single" w:color="auto"/>
                <w:lang w:val="en-US" w:eastAsia="zh-CN" w:bidi="ar-SA"/>
              </w:rPr>
              <w:t xml:space="preserve"> 与《重点行业挥发性有机物综合治理方案》（环大气〔2019〕53 号）的相符性分析</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3"/>
              <w:gridCol w:w="2458"/>
              <w:gridCol w:w="595"/>
            </w:tblGrid>
            <w:tr w14:paraId="1F528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pct"/>
                  <w:vAlign w:val="center"/>
                </w:tcPr>
                <w:p w14:paraId="6A549E5A">
                  <w:pPr>
                    <w:spacing w:line="320" w:lineRule="exact"/>
                    <w:jc w:val="center"/>
                    <w:rPr>
                      <w:rFonts w:ascii="黑体" w:hAnsi="黑体" w:eastAsia="黑体" w:cs="黑体"/>
                      <w:bCs/>
                      <w:color w:val="000000"/>
                      <w:szCs w:val="21"/>
                      <w:u w:val="single" w:color="auto"/>
                    </w:rPr>
                  </w:pPr>
                  <w:r>
                    <w:rPr>
                      <w:rFonts w:hint="eastAsia" w:ascii="黑体" w:hAnsi="黑体" w:eastAsia="黑体" w:cs="黑体"/>
                      <w:bCs/>
                      <w:color w:val="000000"/>
                      <w:szCs w:val="21"/>
                      <w:u w:val="single" w:color="auto"/>
                    </w:rPr>
                    <w:t>政策要求</w:t>
                  </w:r>
                </w:p>
              </w:tc>
              <w:tc>
                <w:tcPr>
                  <w:tcW w:w="1764" w:type="pct"/>
                  <w:vAlign w:val="center"/>
                </w:tcPr>
                <w:p w14:paraId="4B4BD94E">
                  <w:pPr>
                    <w:spacing w:line="320" w:lineRule="exact"/>
                    <w:jc w:val="center"/>
                    <w:rPr>
                      <w:rFonts w:ascii="黑体" w:hAnsi="黑体" w:eastAsia="黑体" w:cs="黑体"/>
                      <w:bCs/>
                      <w:color w:val="000000"/>
                      <w:szCs w:val="21"/>
                      <w:u w:val="single" w:color="auto"/>
                    </w:rPr>
                  </w:pPr>
                  <w:r>
                    <w:rPr>
                      <w:rFonts w:hint="eastAsia" w:ascii="黑体" w:hAnsi="黑体" w:eastAsia="黑体" w:cs="黑体"/>
                      <w:bCs/>
                      <w:color w:val="000000"/>
                      <w:szCs w:val="21"/>
                      <w:u w:val="single" w:color="auto"/>
                    </w:rPr>
                    <w:t>本项目情况</w:t>
                  </w:r>
                </w:p>
              </w:tc>
              <w:tc>
                <w:tcPr>
                  <w:tcW w:w="427" w:type="pct"/>
                  <w:vAlign w:val="center"/>
                </w:tcPr>
                <w:p w14:paraId="37DC73C8">
                  <w:pPr>
                    <w:spacing w:line="320" w:lineRule="exact"/>
                    <w:jc w:val="center"/>
                    <w:rPr>
                      <w:rFonts w:ascii="黑体" w:hAnsi="黑体" w:eastAsia="黑体" w:cs="黑体"/>
                      <w:bCs/>
                      <w:color w:val="000000"/>
                      <w:szCs w:val="21"/>
                      <w:u w:val="single" w:color="auto"/>
                    </w:rPr>
                  </w:pPr>
                  <w:r>
                    <w:rPr>
                      <w:rFonts w:hint="eastAsia" w:ascii="黑体" w:hAnsi="黑体" w:eastAsia="黑体" w:cs="黑体"/>
                      <w:bCs/>
                      <w:color w:val="000000"/>
                      <w:szCs w:val="21"/>
                      <w:u w:val="single" w:color="auto"/>
                    </w:rPr>
                    <w:t>符合性</w:t>
                  </w:r>
                </w:p>
              </w:tc>
            </w:tr>
            <w:tr w14:paraId="4DB4F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pct"/>
                  <w:vAlign w:val="center"/>
                </w:tcPr>
                <w:p w14:paraId="3D564024">
                  <w:pPr>
                    <w:pStyle w:val="75"/>
                    <w:jc w:val="both"/>
                    <w:rPr>
                      <w:kern w:val="0"/>
                      <w:position w:val="-24"/>
                      <w:szCs w:val="21"/>
                      <w:u w:val="single" w:color="auto"/>
                    </w:rPr>
                  </w:pPr>
                  <w:r>
                    <w:rPr>
                      <w:kern w:val="0"/>
                      <w:position w:val="-24"/>
                      <w:szCs w:val="21"/>
                      <w:u w:val="single" w:color="auto"/>
                    </w:rPr>
                    <w:t>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w:t>
                  </w:r>
                </w:p>
              </w:tc>
              <w:tc>
                <w:tcPr>
                  <w:tcW w:w="1764" w:type="pct"/>
                  <w:vAlign w:val="center"/>
                </w:tcPr>
                <w:p w14:paraId="30E7673E">
                  <w:pPr>
                    <w:pStyle w:val="75"/>
                    <w:jc w:val="both"/>
                    <w:rPr>
                      <w:kern w:val="0"/>
                      <w:position w:val="-24"/>
                      <w:szCs w:val="21"/>
                      <w:u w:val="single" w:color="auto"/>
                    </w:rPr>
                  </w:pPr>
                  <w:r>
                    <w:rPr>
                      <w:rFonts w:hint="eastAsia"/>
                      <w:kern w:val="0"/>
                      <w:position w:val="-24"/>
                      <w:szCs w:val="21"/>
                      <w:u w:val="single" w:color="auto"/>
                      <w:lang w:val="en-US" w:eastAsia="zh-CN"/>
                    </w:rPr>
                    <w:t>本项目使用的为高固份油漆</w:t>
                  </w:r>
                  <w:r>
                    <w:rPr>
                      <w:rFonts w:hint="eastAsia"/>
                      <w:kern w:val="0"/>
                      <w:position w:val="-24"/>
                      <w:szCs w:val="21"/>
                      <w:u w:val="single" w:color="auto"/>
                    </w:rPr>
                    <w:t>，尽可能从源头减少</w:t>
                  </w:r>
                  <w:r>
                    <w:rPr>
                      <w:kern w:val="0"/>
                      <w:position w:val="-24"/>
                      <w:szCs w:val="21"/>
                      <w:u w:val="single" w:color="auto"/>
                    </w:rPr>
                    <w:t>VOCs产生</w:t>
                  </w:r>
                  <w:r>
                    <w:rPr>
                      <w:rFonts w:hint="eastAsia"/>
                      <w:kern w:val="0"/>
                      <w:position w:val="-24"/>
                      <w:szCs w:val="21"/>
                      <w:u w:val="single" w:color="auto"/>
                    </w:rPr>
                    <w:t>。</w:t>
                  </w:r>
                </w:p>
              </w:tc>
              <w:tc>
                <w:tcPr>
                  <w:tcW w:w="427" w:type="pct"/>
                  <w:vAlign w:val="center"/>
                </w:tcPr>
                <w:p w14:paraId="387077E9">
                  <w:pPr>
                    <w:pStyle w:val="75"/>
                    <w:rPr>
                      <w:kern w:val="0"/>
                      <w:position w:val="-24"/>
                      <w:szCs w:val="21"/>
                      <w:u w:val="single" w:color="auto"/>
                    </w:rPr>
                  </w:pPr>
                  <w:r>
                    <w:rPr>
                      <w:kern w:val="0"/>
                      <w:position w:val="-24"/>
                      <w:szCs w:val="21"/>
                      <w:u w:val="single" w:color="auto"/>
                    </w:rPr>
                    <w:t>符合</w:t>
                  </w:r>
                </w:p>
              </w:tc>
            </w:tr>
            <w:tr w14:paraId="50072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pct"/>
                  <w:vAlign w:val="center"/>
                </w:tcPr>
                <w:p w14:paraId="33584E1E">
                  <w:pPr>
                    <w:pStyle w:val="75"/>
                    <w:jc w:val="both"/>
                    <w:rPr>
                      <w:kern w:val="0"/>
                      <w:position w:val="-24"/>
                      <w:szCs w:val="21"/>
                      <w:u w:val="single" w:color="auto"/>
                    </w:rPr>
                  </w:pPr>
                  <w:r>
                    <w:rPr>
                      <w:kern w:val="0"/>
                      <w:position w:val="-24"/>
                      <w:szCs w:val="21"/>
                      <w:u w:val="single" w:color="auto"/>
                    </w:rPr>
                    <w:t>重点对含VOCs物料储存、转移和输送、设备与管线组件泄漏、敞开液面逸散以及工艺过程等五类排放源实施管控，通过采取设备与场所密闭、工艺改进、废气有效收集等措施，削减VOCs无组织排放。加强设备与场所密闭管理。含VOCs物料应储存于密闭容器、包装袋，高效密封储罐，封闭式储库、料仓等。含VOCs物料转移和输送，应采用密闭管道或密闭容器、罐车等。高VOCs含量废水（废水液面上方100毫米处VOCs检测浓度超过200ppm，其中，重点区域超过100ppm，以碳计）的集输、储存和处理过程，应加盖密闭。含VOCs物料生产和使用过程，应采取有效收集措施或在密闭空间中操作。推进使用先进生产工艺。通过采用全密闭、连续化、自动化等生产技术，以及高效工艺与设备等，减少工艺过程无组织排放。</w:t>
                  </w:r>
                </w:p>
              </w:tc>
              <w:tc>
                <w:tcPr>
                  <w:tcW w:w="1764" w:type="pct"/>
                  <w:vMerge w:val="restart"/>
                  <w:vAlign w:val="center"/>
                </w:tcPr>
                <w:p w14:paraId="5DB9A0F3">
                  <w:pPr>
                    <w:pStyle w:val="75"/>
                    <w:jc w:val="both"/>
                    <w:rPr>
                      <w:rFonts w:hint="eastAsia" w:eastAsia="宋体"/>
                      <w:kern w:val="0"/>
                      <w:position w:val="-24"/>
                      <w:szCs w:val="21"/>
                      <w:u w:val="single" w:color="auto"/>
                      <w:lang w:val="en-US" w:eastAsia="zh-CN"/>
                    </w:rPr>
                  </w:pPr>
                  <w:r>
                    <w:rPr>
                      <w:rFonts w:hint="eastAsia"/>
                      <w:spacing w:val="7"/>
                      <w:szCs w:val="21"/>
                      <w:u w:val="single" w:color="auto"/>
                    </w:rPr>
                    <w:t>本项目涉VOCs原料为</w:t>
                  </w:r>
                  <w:r>
                    <w:rPr>
                      <w:rFonts w:hint="eastAsia"/>
                      <w:spacing w:val="7"/>
                      <w:szCs w:val="21"/>
                      <w:u w:val="single" w:color="auto"/>
                      <w:lang w:val="en-US" w:eastAsia="zh-CN"/>
                    </w:rPr>
                    <w:t>涂料、固化剂以及稀释剂</w:t>
                  </w:r>
                  <w:r>
                    <w:rPr>
                      <w:rFonts w:hint="eastAsia"/>
                      <w:spacing w:val="7"/>
                      <w:szCs w:val="21"/>
                      <w:u w:val="single" w:color="auto"/>
                    </w:rPr>
                    <w:t>。喷涂所用到涂料含VOCs物料储存于密闭容器，封闭式储库。</w:t>
                  </w:r>
                  <w:r>
                    <w:rPr>
                      <w:rFonts w:hint="eastAsia"/>
                      <w:spacing w:val="7"/>
                      <w:szCs w:val="21"/>
                      <w:u w:val="single" w:color="auto"/>
                      <w:lang w:eastAsia="zh-CN"/>
                    </w:rPr>
                    <w:t>项目喷漆工序均在密闭负压喷漆房中进行。高铁连接板喷漆、风扇、风罩喷漆以及晾干工序产生的废气经水帘除尘+干式过滤除去颗粒物（漆雾）后，与烤漆废气经活性炭吸附+催化燃烧设施（TA001）处理后通过15m排气筒（DA001）排放；用于高铁连接板喷涂的喷漆房与烤漆房位于车间二中的密闭负压车间，高铁连接板喷涂的喷漆房与烤漆房未收集的有机废气经密闭车间负压收集后再经二级活性炭吸附设施（TA002）处理后通过15m排气筒（DA002）排放。调漆区于车间二中的密闭负压车间中进行，产生的有机废气经密闭车间负压收集后经二级活性炭吸附设施（TA002）处理后通过15m排气筒（DA002）排放。</w:t>
                  </w:r>
                </w:p>
              </w:tc>
              <w:tc>
                <w:tcPr>
                  <w:tcW w:w="427" w:type="pct"/>
                  <w:vAlign w:val="center"/>
                </w:tcPr>
                <w:p w14:paraId="35607221">
                  <w:pPr>
                    <w:pStyle w:val="75"/>
                    <w:rPr>
                      <w:kern w:val="0"/>
                      <w:position w:val="-24"/>
                      <w:szCs w:val="21"/>
                      <w:u w:val="single" w:color="auto"/>
                    </w:rPr>
                  </w:pPr>
                  <w:r>
                    <w:rPr>
                      <w:kern w:val="0"/>
                      <w:position w:val="-24"/>
                      <w:szCs w:val="21"/>
                      <w:u w:val="single" w:color="auto"/>
                    </w:rPr>
                    <w:t>符合</w:t>
                  </w:r>
                </w:p>
              </w:tc>
            </w:tr>
            <w:tr w14:paraId="1E358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pct"/>
                  <w:vAlign w:val="center"/>
                </w:tcPr>
                <w:p w14:paraId="3E3EA7FC">
                  <w:pPr>
                    <w:pStyle w:val="75"/>
                    <w:jc w:val="both"/>
                    <w:rPr>
                      <w:kern w:val="0"/>
                      <w:position w:val="-24"/>
                      <w:szCs w:val="21"/>
                      <w:u w:val="single" w:color="auto"/>
                    </w:rPr>
                  </w:pPr>
                  <w:r>
                    <w:rPr>
                      <w:kern w:val="0"/>
                      <w:position w:val="-24"/>
                      <w:szCs w:val="21"/>
                      <w:u w:val="single" w:color="auto"/>
                    </w:rPr>
                    <w:t>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VOCs治理效率。</w:t>
                  </w:r>
                </w:p>
              </w:tc>
              <w:tc>
                <w:tcPr>
                  <w:tcW w:w="1764" w:type="pct"/>
                  <w:vMerge w:val="continue"/>
                  <w:vAlign w:val="center"/>
                </w:tcPr>
                <w:p w14:paraId="04BF361B">
                  <w:pPr>
                    <w:pStyle w:val="75"/>
                    <w:jc w:val="both"/>
                    <w:rPr>
                      <w:rFonts w:hint="eastAsia" w:eastAsia="宋体"/>
                      <w:kern w:val="0"/>
                      <w:position w:val="-24"/>
                      <w:szCs w:val="21"/>
                      <w:u w:val="single" w:color="auto"/>
                      <w:lang w:eastAsia="zh-CN"/>
                    </w:rPr>
                  </w:pPr>
                </w:p>
              </w:tc>
              <w:tc>
                <w:tcPr>
                  <w:tcW w:w="427" w:type="pct"/>
                  <w:vAlign w:val="center"/>
                </w:tcPr>
                <w:p w14:paraId="368B6F31">
                  <w:pPr>
                    <w:pStyle w:val="75"/>
                    <w:rPr>
                      <w:kern w:val="0"/>
                      <w:position w:val="-24"/>
                      <w:szCs w:val="21"/>
                      <w:highlight w:val="green"/>
                      <w:u w:val="single" w:color="auto"/>
                    </w:rPr>
                  </w:pPr>
                  <w:r>
                    <w:rPr>
                      <w:kern w:val="0"/>
                      <w:position w:val="-24"/>
                      <w:szCs w:val="21"/>
                      <w:u w:val="single" w:color="auto"/>
                    </w:rPr>
                    <w:t>符合</w:t>
                  </w:r>
                </w:p>
              </w:tc>
            </w:tr>
          </w:tbl>
          <w:p w14:paraId="07538C10">
            <w:pPr>
              <w:autoSpaceDE w:val="0"/>
              <w:autoSpaceDN w:val="0"/>
              <w:adjustRightInd w:val="0"/>
              <w:snapToGrid w:val="0"/>
              <w:spacing w:line="360" w:lineRule="auto"/>
              <w:ind w:firstLine="480" w:firstLineChars="200"/>
              <w:rPr>
                <w:rFonts w:hint="eastAsia"/>
                <w:snapToGrid w:val="0"/>
                <w:sz w:val="24"/>
                <w:szCs w:val="32"/>
                <w:u w:val="single" w:color="auto"/>
              </w:rPr>
            </w:pPr>
            <w:r>
              <w:rPr>
                <w:snapToGrid w:val="0"/>
                <w:sz w:val="24"/>
                <w:szCs w:val="32"/>
                <w:u w:val="single" w:color="auto"/>
              </w:rPr>
              <w:t>综上所述，本项目符合《重点行业挥发性有机物综合治理方案》（环大气〔2019〕53 号）的要求</w:t>
            </w:r>
            <w:r>
              <w:rPr>
                <w:rFonts w:hint="eastAsia"/>
                <w:snapToGrid w:val="0"/>
                <w:sz w:val="24"/>
                <w:szCs w:val="32"/>
                <w:u w:val="single" w:color="auto"/>
              </w:rPr>
              <w:t>。</w:t>
            </w:r>
          </w:p>
          <w:p w14:paraId="5D1638A1">
            <w:pPr>
              <w:pStyle w:val="15"/>
              <w:keepNext w:val="0"/>
              <w:keepLines w:val="0"/>
              <w:pageBreakBefore w:val="0"/>
              <w:numPr>
                <w:ilvl w:val="0"/>
                <w:numId w:val="0"/>
              </w:numPr>
              <w:kinsoku/>
              <w:wordWrap/>
              <w:overflowPunct/>
              <w:topLinePunct w:val="0"/>
              <w:bidi w:val="0"/>
              <w:spacing w:before="0" w:after="0" w:line="348" w:lineRule="auto"/>
              <w:ind w:right="0" w:rightChars="0" w:firstLine="482" w:firstLineChars="200"/>
              <w:textAlignment w:val="auto"/>
              <w:rPr>
                <w:rFonts w:hint="eastAsia" w:ascii="Times New Roman" w:hAnsi="Times New Roman" w:eastAsia="宋体" w:cs="Times New Roman"/>
                <w:b/>
                <w:bCs/>
                <w:color w:val="auto"/>
                <w:kern w:val="2"/>
                <w:sz w:val="24"/>
                <w:szCs w:val="24"/>
                <w:highlight w:val="none"/>
                <w:u w:val="single" w:color="auto"/>
                <w:lang w:val="en-US" w:eastAsia="zh-CN" w:bidi="ar-SA"/>
              </w:rPr>
            </w:pPr>
            <w:r>
              <w:rPr>
                <w:rFonts w:hint="eastAsia" w:ascii="Times New Roman" w:hAnsi="Times New Roman" w:eastAsia="宋体" w:cs="Times New Roman"/>
                <w:b/>
                <w:bCs/>
                <w:color w:val="auto"/>
                <w:kern w:val="2"/>
                <w:sz w:val="24"/>
                <w:szCs w:val="24"/>
                <w:highlight w:val="none"/>
                <w:u w:val="single" w:color="auto"/>
                <w:lang w:val="en-US" w:eastAsia="zh-CN" w:bidi="ar-SA"/>
              </w:rPr>
              <w:t>10、与《挥发性有机物污染防治技术政策》（公告 2013年第 31 号）相符性分析</w:t>
            </w:r>
          </w:p>
          <w:p w14:paraId="1BD3BA20">
            <w:pPr>
              <w:autoSpaceDE w:val="0"/>
              <w:autoSpaceDN w:val="0"/>
              <w:adjustRightInd w:val="0"/>
              <w:snapToGrid w:val="0"/>
              <w:spacing w:line="360" w:lineRule="auto"/>
              <w:ind w:firstLine="480" w:firstLineChars="200"/>
              <w:rPr>
                <w:snapToGrid w:val="0"/>
                <w:sz w:val="24"/>
                <w:szCs w:val="32"/>
                <w:u w:val="single"/>
              </w:rPr>
            </w:pPr>
            <w:r>
              <w:rPr>
                <w:rFonts w:hint="eastAsia"/>
                <w:snapToGrid w:val="0"/>
                <w:sz w:val="24"/>
                <w:szCs w:val="32"/>
                <w:u w:val="single"/>
              </w:rPr>
              <w:t>《挥发性有机物污染防治技术政策》（公告 2013年第 31 号）中提出，</w:t>
            </w:r>
            <w:r>
              <w:rPr>
                <w:snapToGrid w:val="0"/>
                <w:sz w:val="24"/>
                <w:szCs w:val="32"/>
                <w:u w:val="single"/>
              </w:rPr>
              <w:t>在涂装、印刷、粘合、工业清洗等含VOCs产品的使用过程中的VOCs污染防治技术措施包括：鼓励使用通过环境标志产品认证的环保型涂料；含VOCs 产品的使用过程中，应采取废气收集措施，提高废气收集效率，减少废气的无组织排放与逸散，并对收集后的废气进行回收或处理后达标排放。</w:t>
            </w:r>
          </w:p>
          <w:p w14:paraId="5FD068A9">
            <w:pPr>
              <w:pStyle w:val="15"/>
              <w:keepNext w:val="0"/>
              <w:keepLines w:val="0"/>
              <w:pageBreakBefore w:val="0"/>
              <w:numPr>
                <w:ilvl w:val="0"/>
                <w:numId w:val="0"/>
              </w:numPr>
              <w:kinsoku/>
              <w:wordWrap/>
              <w:overflowPunct/>
              <w:topLinePunct w:val="0"/>
              <w:bidi w:val="0"/>
              <w:spacing w:before="0" w:after="0" w:line="348" w:lineRule="auto"/>
              <w:ind w:right="0" w:rightChars="0" w:firstLine="480" w:firstLineChars="200"/>
              <w:textAlignment w:val="auto"/>
              <w:rPr>
                <w:rFonts w:hint="eastAsia"/>
                <w:snapToGrid w:val="0"/>
                <w:sz w:val="24"/>
                <w:szCs w:val="32"/>
                <w:u w:val="single"/>
                <w:lang w:val="en-US" w:eastAsia="zh-CN"/>
              </w:rPr>
            </w:pPr>
            <w:r>
              <w:rPr>
                <w:rFonts w:hint="eastAsia"/>
                <w:snapToGrid w:val="0"/>
                <w:sz w:val="24"/>
                <w:szCs w:val="32"/>
                <w:u w:val="single"/>
              </w:rPr>
              <w:t>本项目位于</w:t>
            </w:r>
            <w:r>
              <w:rPr>
                <w:rFonts w:hint="eastAsia"/>
                <w:snapToGrid w:val="0"/>
                <w:sz w:val="24"/>
                <w:szCs w:val="32"/>
                <w:u w:val="single"/>
                <w:lang w:val="en-US" w:eastAsia="zh-CN"/>
              </w:rPr>
              <w:t>湘潭县易俗河镇飞龙村龙大组。</w:t>
            </w:r>
            <w:r>
              <w:rPr>
                <w:rFonts w:hint="eastAsia"/>
                <w:snapToGrid w:val="0"/>
                <w:sz w:val="24"/>
                <w:szCs w:val="32"/>
                <w:u w:val="single"/>
              </w:rPr>
              <w:t>本项目涉VOCs原料为</w:t>
            </w:r>
            <w:r>
              <w:rPr>
                <w:rFonts w:hint="eastAsia"/>
                <w:snapToGrid w:val="0"/>
                <w:sz w:val="24"/>
                <w:szCs w:val="32"/>
                <w:u w:val="single"/>
                <w:lang w:val="en-US" w:eastAsia="zh-CN"/>
              </w:rPr>
              <w:t>涂料、固化剂以及稀释剂</w:t>
            </w:r>
            <w:r>
              <w:rPr>
                <w:rFonts w:hint="eastAsia"/>
                <w:snapToGrid w:val="0"/>
                <w:sz w:val="24"/>
                <w:szCs w:val="32"/>
                <w:u w:val="single"/>
              </w:rPr>
              <w:t>。本项目设置了全密闭喷漆房，采取</w:t>
            </w:r>
            <w:r>
              <w:rPr>
                <w:rFonts w:hint="eastAsia"/>
                <w:snapToGrid w:val="0"/>
                <w:sz w:val="24"/>
                <w:szCs w:val="32"/>
                <w:u w:val="single"/>
                <w:lang w:val="en-US" w:eastAsia="zh-CN"/>
              </w:rPr>
              <w:t>车间</w:t>
            </w:r>
            <w:r>
              <w:rPr>
                <w:rFonts w:hint="eastAsia"/>
                <w:snapToGrid w:val="0"/>
                <w:sz w:val="24"/>
                <w:szCs w:val="32"/>
                <w:u w:val="single"/>
              </w:rPr>
              <w:t>负压收集，废气收集率不低于 9</w:t>
            </w:r>
            <w:r>
              <w:rPr>
                <w:rFonts w:hint="eastAsia"/>
                <w:snapToGrid w:val="0"/>
                <w:sz w:val="24"/>
                <w:szCs w:val="32"/>
                <w:u w:val="single"/>
                <w:lang w:val="en-US" w:eastAsia="zh-CN"/>
              </w:rPr>
              <w:t>0</w:t>
            </w:r>
            <w:r>
              <w:rPr>
                <w:rFonts w:hint="eastAsia"/>
                <w:snapToGrid w:val="0"/>
                <w:sz w:val="24"/>
                <w:szCs w:val="32"/>
                <w:u w:val="single"/>
              </w:rPr>
              <w:t>%</w:t>
            </w:r>
            <w:r>
              <w:rPr>
                <w:rFonts w:hint="eastAsia"/>
                <w:snapToGrid w:val="0"/>
                <w:sz w:val="24"/>
                <w:szCs w:val="32"/>
                <w:u w:val="single"/>
                <w:lang w:eastAsia="zh-CN"/>
              </w:rPr>
              <w:t>。项目喷漆工序均在密闭负压喷漆房中进行，高铁连接板喷漆、风扇、风罩喷漆以及晾干工序产生的废气经水帘除尘+干式过滤除去颗粒物（漆雾）后，与烤漆废气经活性炭吸附+催化燃烧设施（TA001）处理后通过15m排气筒（DA001）排放；用于高铁连接板喷涂的喷漆房与烤漆房位于车间二中的密闭负压车间，高铁连接板喷涂的喷漆房与烤漆房未收集的有机废气经密闭车间负压收集后再经二级活性炭吸附设施（TA002）处理后通过15m排气筒（DA002）排放。调漆区于车间二中的密闭负压车间中进行，产生的有机废气经密闭车间负压收集后经二级活性炭吸附设施（TA002）处理后通过15m排气筒（DA002）排放。</w:t>
            </w:r>
          </w:p>
          <w:p w14:paraId="15DADD99">
            <w:pPr>
              <w:pStyle w:val="15"/>
              <w:keepNext w:val="0"/>
              <w:keepLines w:val="0"/>
              <w:pageBreakBefore w:val="0"/>
              <w:numPr>
                <w:ilvl w:val="0"/>
                <w:numId w:val="0"/>
              </w:numPr>
              <w:kinsoku/>
              <w:wordWrap/>
              <w:overflowPunct/>
              <w:topLinePunct w:val="0"/>
              <w:bidi w:val="0"/>
              <w:spacing w:before="0" w:after="0" w:line="348" w:lineRule="auto"/>
              <w:ind w:right="0" w:rightChars="0" w:firstLine="482" w:firstLineChars="200"/>
              <w:textAlignment w:val="auto"/>
              <w:rPr>
                <w:rFonts w:hint="eastAsia" w:ascii="Times New Roman" w:hAnsi="Times New Roman" w:eastAsia="宋体" w:cs="Times New Roman"/>
                <w:b/>
                <w:bCs/>
                <w:color w:val="auto"/>
                <w:kern w:val="2"/>
                <w:sz w:val="24"/>
                <w:szCs w:val="24"/>
                <w:highlight w:val="none"/>
                <w:u w:val="none" w:color="auto"/>
                <w:lang w:val="en-US" w:eastAsia="zh-CN" w:bidi="ar-SA"/>
              </w:rPr>
            </w:pPr>
            <w:r>
              <w:rPr>
                <w:rFonts w:hint="eastAsia" w:ascii="Times New Roman" w:hAnsi="Times New Roman" w:eastAsia="宋体" w:cs="Times New Roman"/>
                <w:b/>
                <w:bCs/>
                <w:color w:val="auto"/>
                <w:kern w:val="2"/>
                <w:sz w:val="24"/>
                <w:szCs w:val="24"/>
                <w:highlight w:val="none"/>
                <w:u w:val="none" w:color="auto"/>
                <w:lang w:val="en-US" w:eastAsia="zh-CN" w:bidi="ar-SA"/>
              </w:rPr>
              <w:t>11、与《挥发性有机物无组织排放控制标准》（GB37822-2019） 符合性分析</w:t>
            </w:r>
          </w:p>
          <w:p w14:paraId="0874069C">
            <w:pPr>
              <w:pStyle w:val="42"/>
              <w:spacing w:line="364" w:lineRule="auto"/>
              <w:ind w:left="113" w:right="209" w:firstLine="480"/>
              <w:rPr>
                <w:sz w:val="24"/>
                <w:u w:val="single"/>
              </w:rPr>
            </w:pPr>
            <w:r>
              <w:rPr>
                <w:sz w:val="24"/>
                <w:u w:val="single"/>
              </w:rPr>
              <w:t>根据《挥发性有机物无组织排放控制标准》（</w:t>
            </w:r>
            <w:r>
              <w:rPr>
                <w:rFonts w:ascii="Times New Roman" w:eastAsia="Times New Roman"/>
                <w:sz w:val="24"/>
                <w:u w:val="single"/>
              </w:rPr>
              <w:t>GB37822-2019</w:t>
            </w:r>
            <w:r>
              <w:rPr>
                <w:sz w:val="24"/>
                <w:u w:val="single"/>
              </w:rPr>
              <w:t>）， 本项目与其符合性分析见下表。</w:t>
            </w:r>
          </w:p>
          <w:p w14:paraId="662E41D9">
            <w:pPr>
              <w:widowControl/>
              <w:spacing w:before="63" w:beforeLines="20" w:line="240" w:lineRule="auto"/>
              <w:ind w:firstLine="0" w:firstLineChars="0"/>
              <w:jc w:val="center"/>
              <w:rPr>
                <w:rFonts w:hint="default" w:ascii="Times New Roman" w:hAnsi="Times New Roman" w:eastAsia="宋体" w:cs="Times New Roman"/>
                <w:b/>
                <w:color w:val="auto"/>
                <w:kern w:val="0"/>
                <w:sz w:val="24"/>
                <w:szCs w:val="24"/>
                <w:u w:val="none" w:color="auto"/>
                <w:lang w:val="en-US" w:eastAsia="zh-CN" w:bidi="ar-SA"/>
              </w:rPr>
            </w:pPr>
            <w:r>
              <w:rPr>
                <w:rFonts w:hint="default" w:ascii="Times New Roman" w:hAnsi="Times New Roman" w:eastAsia="宋体" w:cs="Times New Roman"/>
                <w:b/>
                <w:color w:val="auto"/>
                <w:kern w:val="0"/>
                <w:sz w:val="24"/>
                <w:szCs w:val="24"/>
                <w:u w:val="none" w:color="auto"/>
                <w:lang w:val="en-US" w:eastAsia="zh-CN" w:bidi="ar-SA"/>
              </w:rPr>
              <w:t>表 1-</w:t>
            </w:r>
            <w:r>
              <w:rPr>
                <w:rFonts w:hint="eastAsia" w:cs="Times New Roman"/>
                <w:b/>
                <w:color w:val="auto"/>
                <w:kern w:val="0"/>
                <w:sz w:val="24"/>
                <w:szCs w:val="24"/>
                <w:u w:val="none" w:color="auto"/>
                <w:lang w:val="en-US" w:eastAsia="zh-CN" w:bidi="ar-SA"/>
              </w:rPr>
              <w:t>7</w:t>
            </w:r>
            <w:r>
              <w:rPr>
                <w:rFonts w:hint="default" w:ascii="Times New Roman" w:hAnsi="Times New Roman" w:eastAsia="宋体" w:cs="Times New Roman"/>
                <w:b/>
                <w:color w:val="auto"/>
                <w:kern w:val="0"/>
                <w:sz w:val="24"/>
                <w:szCs w:val="24"/>
                <w:u w:val="none" w:color="auto"/>
                <w:lang w:val="en-US" w:eastAsia="zh-CN" w:bidi="ar-SA"/>
              </w:rPr>
              <w:t xml:space="preserve"> 本项目与《挥发性有机物无组织排放控制标准》符合性</w:t>
            </w:r>
          </w:p>
          <w:tbl>
            <w:tblPr>
              <w:tblStyle w:val="31"/>
              <w:tblW w:w="7098"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11"/>
              <w:gridCol w:w="2508"/>
              <w:gridCol w:w="3362"/>
              <w:gridCol w:w="817"/>
            </w:tblGrid>
            <w:tr w14:paraId="68FE0E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0" w:hRule="atLeast"/>
                <w:jc w:val="center"/>
              </w:trPr>
              <w:tc>
                <w:tcPr>
                  <w:tcW w:w="411" w:type="dxa"/>
                  <w:tcBorders>
                    <w:top w:val="single" w:color="000000" w:sz="12" w:space="0"/>
                    <w:left w:val="single" w:color="000000" w:sz="12" w:space="0"/>
                    <w:bottom w:val="single" w:color="000000" w:sz="4" w:space="0"/>
                    <w:right w:val="single" w:color="000000" w:sz="4" w:space="0"/>
                  </w:tcBorders>
                  <w:vAlign w:val="center"/>
                </w:tcPr>
                <w:p w14:paraId="17A0FDFF">
                  <w:pPr>
                    <w:autoSpaceDE w:val="0"/>
                    <w:autoSpaceDN w:val="0"/>
                    <w:jc w:val="center"/>
                    <w:rPr>
                      <w:u w:val="single"/>
                    </w:rPr>
                  </w:pPr>
                  <w:r>
                    <w:rPr>
                      <w:u w:val="single"/>
                    </w:rPr>
                    <w:t>序号</w:t>
                  </w:r>
                </w:p>
              </w:tc>
              <w:tc>
                <w:tcPr>
                  <w:tcW w:w="2508" w:type="dxa"/>
                  <w:tcBorders>
                    <w:top w:val="single" w:color="000000" w:sz="12" w:space="0"/>
                    <w:left w:val="single" w:color="000000" w:sz="4" w:space="0"/>
                    <w:bottom w:val="single" w:color="000000" w:sz="4" w:space="0"/>
                    <w:right w:val="single" w:color="000000" w:sz="4" w:space="0"/>
                  </w:tcBorders>
                  <w:vAlign w:val="center"/>
                </w:tcPr>
                <w:p w14:paraId="163CE326">
                  <w:pPr>
                    <w:autoSpaceDE w:val="0"/>
                    <w:autoSpaceDN w:val="0"/>
                    <w:jc w:val="center"/>
                    <w:rPr>
                      <w:u w:val="single"/>
                    </w:rPr>
                  </w:pPr>
                  <w:r>
                    <w:rPr>
                      <w:u w:val="single"/>
                    </w:rPr>
                    <w:t>《挥发性有机物无组织排放控制标准》</w:t>
                  </w:r>
                </w:p>
              </w:tc>
              <w:tc>
                <w:tcPr>
                  <w:tcW w:w="3362" w:type="dxa"/>
                  <w:tcBorders>
                    <w:top w:val="single" w:color="000000" w:sz="12" w:space="0"/>
                    <w:left w:val="single" w:color="000000" w:sz="4" w:space="0"/>
                    <w:bottom w:val="single" w:color="000000" w:sz="4" w:space="0"/>
                    <w:right w:val="single" w:color="000000" w:sz="4" w:space="0"/>
                  </w:tcBorders>
                  <w:vAlign w:val="center"/>
                </w:tcPr>
                <w:p w14:paraId="38E2F588">
                  <w:pPr>
                    <w:autoSpaceDE w:val="0"/>
                    <w:autoSpaceDN w:val="0"/>
                    <w:jc w:val="center"/>
                    <w:rPr>
                      <w:u w:val="single"/>
                    </w:rPr>
                  </w:pPr>
                  <w:r>
                    <w:rPr>
                      <w:u w:val="single"/>
                    </w:rPr>
                    <w:t>本项目</w:t>
                  </w:r>
                </w:p>
              </w:tc>
              <w:tc>
                <w:tcPr>
                  <w:tcW w:w="817" w:type="dxa"/>
                  <w:tcBorders>
                    <w:top w:val="single" w:color="000000" w:sz="12" w:space="0"/>
                    <w:left w:val="single" w:color="000000" w:sz="4" w:space="0"/>
                    <w:bottom w:val="single" w:color="000000" w:sz="4" w:space="0"/>
                    <w:right w:val="single" w:color="000000" w:sz="12" w:space="0"/>
                  </w:tcBorders>
                  <w:vAlign w:val="center"/>
                </w:tcPr>
                <w:p w14:paraId="75F23C3E">
                  <w:pPr>
                    <w:autoSpaceDE w:val="0"/>
                    <w:autoSpaceDN w:val="0"/>
                    <w:jc w:val="center"/>
                    <w:rPr>
                      <w:u w:val="single"/>
                    </w:rPr>
                  </w:pPr>
                  <w:r>
                    <w:rPr>
                      <w:u w:val="single"/>
                    </w:rPr>
                    <w:t>符合性</w:t>
                  </w:r>
                </w:p>
              </w:tc>
            </w:tr>
            <w:tr w14:paraId="6BFA7C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43" w:hRule="atLeast"/>
                <w:jc w:val="center"/>
              </w:trPr>
              <w:tc>
                <w:tcPr>
                  <w:tcW w:w="411" w:type="dxa"/>
                  <w:tcBorders>
                    <w:top w:val="single" w:color="000000" w:sz="4" w:space="0"/>
                    <w:left w:val="single" w:color="000000" w:sz="12" w:space="0"/>
                    <w:bottom w:val="single" w:color="000000" w:sz="4" w:space="0"/>
                    <w:right w:val="single" w:color="000000" w:sz="4" w:space="0"/>
                  </w:tcBorders>
                  <w:vAlign w:val="center"/>
                </w:tcPr>
                <w:p w14:paraId="75815D7C">
                  <w:pPr>
                    <w:autoSpaceDE w:val="0"/>
                    <w:autoSpaceDN w:val="0"/>
                    <w:jc w:val="center"/>
                    <w:rPr>
                      <w:u w:val="single"/>
                    </w:rPr>
                  </w:pPr>
                  <w:r>
                    <w:rPr>
                      <w:u w:val="single"/>
                    </w:rPr>
                    <w:t>1</w:t>
                  </w:r>
                </w:p>
              </w:tc>
              <w:tc>
                <w:tcPr>
                  <w:tcW w:w="2508" w:type="dxa"/>
                  <w:tcBorders>
                    <w:top w:val="single" w:color="000000" w:sz="4" w:space="0"/>
                    <w:left w:val="single" w:color="000000" w:sz="4" w:space="0"/>
                    <w:bottom w:val="single" w:color="000000" w:sz="4" w:space="0"/>
                    <w:right w:val="single" w:color="000000" w:sz="4" w:space="0"/>
                  </w:tcBorders>
                  <w:vAlign w:val="center"/>
                </w:tcPr>
                <w:p w14:paraId="7EEC6092">
                  <w:pPr>
                    <w:autoSpaceDE w:val="0"/>
                    <w:autoSpaceDN w:val="0"/>
                    <w:jc w:val="center"/>
                    <w:rPr>
                      <w:u w:val="single"/>
                    </w:rPr>
                  </w:pPr>
                  <w:r>
                    <w:rPr>
                      <w:u w:val="single"/>
                    </w:rPr>
                    <w:t>VOCs 质量占比大于 10% 的含 VOCs 的产品，其使用过程应采用密闭设备或在密闭空间内操作，废气应排至 VOCs 废气收集处理系统；无法密闭的，应采取局部气体收集措施，废气应排至VOCs 废气收集处理系统。</w:t>
                  </w:r>
                </w:p>
              </w:tc>
              <w:tc>
                <w:tcPr>
                  <w:tcW w:w="3362" w:type="dxa"/>
                  <w:tcBorders>
                    <w:top w:val="single" w:color="000000" w:sz="4" w:space="0"/>
                    <w:left w:val="single" w:color="000000" w:sz="4" w:space="0"/>
                    <w:bottom w:val="single" w:color="000000" w:sz="4" w:space="0"/>
                    <w:right w:val="single" w:color="000000" w:sz="4" w:space="0"/>
                  </w:tcBorders>
                  <w:vAlign w:val="center"/>
                </w:tcPr>
                <w:p w14:paraId="1DEB0A4E">
                  <w:pPr>
                    <w:autoSpaceDE w:val="0"/>
                    <w:autoSpaceDN w:val="0"/>
                    <w:jc w:val="center"/>
                    <w:rPr>
                      <w:u w:val="single"/>
                    </w:rPr>
                  </w:pPr>
                  <w:r>
                    <w:rPr>
                      <w:u w:val="single"/>
                    </w:rPr>
                    <w:t>本项目</w:t>
                  </w:r>
                  <w:r>
                    <w:rPr>
                      <w:rFonts w:hint="eastAsia"/>
                      <w:u w:val="single"/>
                      <w:lang w:val="en-US" w:eastAsia="zh-CN"/>
                    </w:rPr>
                    <w:t>涂料</w:t>
                  </w:r>
                  <w:r>
                    <w:rPr>
                      <w:u w:val="single"/>
                    </w:rPr>
                    <w:t>、</w:t>
                  </w:r>
                  <w:r>
                    <w:rPr>
                      <w:rFonts w:hint="eastAsia"/>
                      <w:u w:val="single"/>
                      <w:lang w:val="en-US" w:eastAsia="zh-CN"/>
                    </w:rPr>
                    <w:t>固化剂、</w:t>
                  </w:r>
                  <w:r>
                    <w:rPr>
                      <w:u w:val="single"/>
                    </w:rPr>
                    <w:t>稀释剂等 VOCs 质量占比大于10%，</w:t>
                  </w:r>
                  <w:r>
                    <w:rPr>
                      <w:rFonts w:hint="eastAsia"/>
                      <w:u w:val="single"/>
                    </w:rPr>
                    <w:t>本项目设置了全密闭喷漆房，采取</w:t>
                  </w:r>
                  <w:r>
                    <w:rPr>
                      <w:rFonts w:hint="eastAsia"/>
                      <w:u w:val="single"/>
                      <w:lang w:val="en-US" w:eastAsia="zh-CN"/>
                    </w:rPr>
                    <w:t>车间</w:t>
                  </w:r>
                  <w:r>
                    <w:rPr>
                      <w:rFonts w:hint="eastAsia"/>
                      <w:u w:val="single"/>
                    </w:rPr>
                    <w:t>负压收集，废气收集率不低于 9</w:t>
                  </w:r>
                  <w:r>
                    <w:rPr>
                      <w:rFonts w:hint="eastAsia"/>
                      <w:u w:val="single"/>
                      <w:lang w:val="en-US" w:eastAsia="zh-CN"/>
                    </w:rPr>
                    <w:t>0</w:t>
                  </w:r>
                  <w:r>
                    <w:rPr>
                      <w:rFonts w:hint="eastAsia"/>
                      <w:u w:val="single"/>
                    </w:rPr>
                    <w:t>%</w:t>
                  </w:r>
                  <w:r>
                    <w:rPr>
                      <w:rFonts w:hint="eastAsia"/>
                      <w:u w:val="single"/>
                      <w:lang w:eastAsia="zh-CN"/>
                    </w:rPr>
                    <w:t>。项目喷漆工序均在密闭负压喷漆房中进行。高铁连接板喷漆、风扇、风罩喷漆以及晾干工序产生的废气经水帘除尘+干式过滤除去颗粒物（漆雾）后，与烤漆废气经活性炭吸附+催化燃烧设施（TA001）处理后通过15m排气筒（DA001）排放；用于高铁连接板喷涂的喷漆房与烤漆房位于车间二中的密闭负压车间，高铁连接板喷涂的喷漆房与烤漆房未收集的有机废气经密闭车间负压收集后再经二级活性炭吸附设施（TA002）处理后通过15m排气筒（DA002）排放。调漆区于车间二中的密闭负压车间中进行，产生的有机废气经密闭车间负压收集后经二级活性炭吸附设施（TA002）处理后通过15m排气筒（DA002）排放。</w:t>
                  </w:r>
                </w:p>
              </w:tc>
              <w:tc>
                <w:tcPr>
                  <w:tcW w:w="817" w:type="dxa"/>
                  <w:tcBorders>
                    <w:top w:val="single" w:color="000000" w:sz="4" w:space="0"/>
                    <w:left w:val="single" w:color="000000" w:sz="4" w:space="0"/>
                    <w:bottom w:val="single" w:color="000000" w:sz="4" w:space="0"/>
                    <w:right w:val="single" w:color="000000" w:sz="12" w:space="0"/>
                  </w:tcBorders>
                  <w:vAlign w:val="center"/>
                </w:tcPr>
                <w:p w14:paraId="6B4C5F8C">
                  <w:pPr>
                    <w:autoSpaceDE w:val="0"/>
                    <w:autoSpaceDN w:val="0"/>
                    <w:jc w:val="center"/>
                    <w:rPr>
                      <w:u w:val="single"/>
                    </w:rPr>
                  </w:pPr>
                  <w:r>
                    <w:rPr>
                      <w:u w:val="single"/>
                    </w:rPr>
                    <w:t>符合</w:t>
                  </w:r>
                </w:p>
              </w:tc>
            </w:tr>
            <w:tr w14:paraId="4B2F26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5" w:hRule="atLeast"/>
                <w:jc w:val="center"/>
              </w:trPr>
              <w:tc>
                <w:tcPr>
                  <w:tcW w:w="411" w:type="dxa"/>
                  <w:tcBorders>
                    <w:top w:val="single" w:color="000000" w:sz="4" w:space="0"/>
                    <w:left w:val="single" w:color="000000" w:sz="12" w:space="0"/>
                    <w:bottom w:val="single" w:color="000000" w:sz="4" w:space="0"/>
                    <w:right w:val="single" w:color="000000" w:sz="4" w:space="0"/>
                  </w:tcBorders>
                  <w:vAlign w:val="center"/>
                </w:tcPr>
                <w:p w14:paraId="03921FD6">
                  <w:pPr>
                    <w:autoSpaceDE w:val="0"/>
                    <w:autoSpaceDN w:val="0"/>
                    <w:jc w:val="center"/>
                    <w:rPr>
                      <w:u w:val="single"/>
                    </w:rPr>
                  </w:pPr>
                  <w:r>
                    <w:rPr>
                      <w:u w:val="single"/>
                    </w:rPr>
                    <w:t>2</w:t>
                  </w:r>
                </w:p>
              </w:tc>
              <w:tc>
                <w:tcPr>
                  <w:tcW w:w="2508" w:type="dxa"/>
                  <w:tcBorders>
                    <w:top w:val="single" w:color="000000" w:sz="4" w:space="0"/>
                    <w:left w:val="single" w:color="000000" w:sz="4" w:space="0"/>
                    <w:bottom w:val="single" w:color="000000" w:sz="4" w:space="0"/>
                    <w:right w:val="single" w:color="000000" w:sz="4" w:space="0"/>
                  </w:tcBorders>
                  <w:vAlign w:val="center"/>
                </w:tcPr>
                <w:p w14:paraId="17DC0F1D">
                  <w:pPr>
                    <w:autoSpaceDE w:val="0"/>
                    <w:autoSpaceDN w:val="0"/>
                    <w:jc w:val="center"/>
                    <w:rPr>
                      <w:u w:val="single"/>
                    </w:rPr>
                  </w:pPr>
                  <w:r>
                    <w:rPr>
                      <w:u w:val="single"/>
                    </w:rPr>
                    <w:t>企业应建立台账</w:t>
                  </w:r>
                </w:p>
              </w:tc>
              <w:tc>
                <w:tcPr>
                  <w:tcW w:w="3362" w:type="dxa"/>
                  <w:tcBorders>
                    <w:top w:val="single" w:color="000000" w:sz="4" w:space="0"/>
                    <w:left w:val="single" w:color="000000" w:sz="4" w:space="0"/>
                    <w:bottom w:val="single" w:color="000000" w:sz="4" w:space="0"/>
                    <w:right w:val="single" w:color="000000" w:sz="4" w:space="0"/>
                  </w:tcBorders>
                  <w:vAlign w:val="center"/>
                </w:tcPr>
                <w:p w14:paraId="703C921D">
                  <w:pPr>
                    <w:autoSpaceDE w:val="0"/>
                    <w:autoSpaceDN w:val="0"/>
                    <w:jc w:val="center"/>
                    <w:rPr>
                      <w:u w:val="single"/>
                    </w:rPr>
                  </w:pPr>
                  <w:r>
                    <w:rPr>
                      <w:u w:val="single"/>
                    </w:rPr>
                    <w:t>企业在运营期间，建立台账，记录含</w:t>
                  </w:r>
                </w:p>
                <w:p w14:paraId="5EBE66C8">
                  <w:pPr>
                    <w:autoSpaceDE w:val="0"/>
                    <w:autoSpaceDN w:val="0"/>
                    <w:jc w:val="center"/>
                    <w:rPr>
                      <w:u w:val="single"/>
                    </w:rPr>
                  </w:pPr>
                  <w:r>
                    <w:rPr>
                      <w:u w:val="single"/>
                    </w:rPr>
                    <w:t>VOCs 的原辅材料、产品的名称、使</w:t>
                  </w:r>
                </w:p>
                <w:p w14:paraId="4979F76C">
                  <w:pPr>
                    <w:autoSpaceDE w:val="0"/>
                    <w:autoSpaceDN w:val="0"/>
                    <w:jc w:val="center"/>
                    <w:rPr>
                      <w:u w:val="single"/>
                    </w:rPr>
                  </w:pPr>
                  <w:r>
                    <w:rPr>
                      <w:u w:val="single"/>
                    </w:rPr>
                    <w:t>用量、回收量、废弃量、去向等信息</w:t>
                  </w:r>
                </w:p>
              </w:tc>
              <w:tc>
                <w:tcPr>
                  <w:tcW w:w="817" w:type="dxa"/>
                  <w:tcBorders>
                    <w:top w:val="single" w:color="000000" w:sz="4" w:space="0"/>
                    <w:left w:val="single" w:color="000000" w:sz="4" w:space="0"/>
                    <w:bottom w:val="single" w:color="000000" w:sz="4" w:space="0"/>
                    <w:right w:val="single" w:color="000000" w:sz="12" w:space="0"/>
                  </w:tcBorders>
                  <w:vAlign w:val="center"/>
                </w:tcPr>
                <w:p w14:paraId="6715D23C">
                  <w:pPr>
                    <w:autoSpaceDE w:val="0"/>
                    <w:autoSpaceDN w:val="0"/>
                    <w:jc w:val="center"/>
                    <w:rPr>
                      <w:u w:val="single"/>
                    </w:rPr>
                  </w:pPr>
                  <w:r>
                    <w:rPr>
                      <w:u w:val="single"/>
                    </w:rPr>
                    <w:t>符合</w:t>
                  </w:r>
                </w:p>
              </w:tc>
            </w:tr>
            <w:tr w14:paraId="089A1A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71" w:hRule="atLeast"/>
                <w:jc w:val="center"/>
              </w:trPr>
              <w:tc>
                <w:tcPr>
                  <w:tcW w:w="411" w:type="dxa"/>
                  <w:tcBorders>
                    <w:top w:val="single" w:color="000000" w:sz="4" w:space="0"/>
                    <w:left w:val="single" w:color="000000" w:sz="12" w:space="0"/>
                    <w:bottom w:val="single" w:color="000000" w:sz="4" w:space="0"/>
                    <w:right w:val="single" w:color="000000" w:sz="4" w:space="0"/>
                  </w:tcBorders>
                  <w:vAlign w:val="center"/>
                </w:tcPr>
                <w:p w14:paraId="6AD6B420">
                  <w:pPr>
                    <w:autoSpaceDE w:val="0"/>
                    <w:autoSpaceDN w:val="0"/>
                    <w:jc w:val="center"/>
                    <w:rPr>
                      <w:u w:val="single"/>
                    </w:rPr>
                  </w:pPr>
                  <w:r>
                    <w:rPr>
                      <w:u w:val="single"/>
                    </w:rPr>
                    <w:t>3</w:t>
                  </w:r>
                </w:p>
              </w:tc>
              <w:tc>
                <w:tcPr>
                  <w:tcW w:w="2508" w:type="dxa"/>
                  <w:tcBorders>
                    <w:top w:val="single" w:color="000000" w:sz="4" w:space="0"/>
                    <w:left w:val="single" w:color="000000" w:sz="4" w:space="0"/>
                    <w:bottom w:val="single" w:color="000000" w:sz="4" w:space="0"/>
                    <w:right w:val="single" w:color="000000" w:sz="4" w:space="0"/>
                  </w:tcBorders>
                  <w:vAlign w:val="center"/>
                </w:tcPr>
                <w:p w14:paraId="49C91E4B">
                  <w:pPr>
                    <w:autoSpaceDE w:val="0"/>
                    <w:autoSpaceDN w:val="0"/>
                    <w:jc w:val="center"/>
                    <w:rPr>
                      <w:u w:val="single"/>
                    </w:rPr>
                  </w:pPr>
                  <w:r>
                    <w:rPr>
                      <w:u w:val="single"/>
                    </w:rPr>
                    <w:t>车间通风，采用合理的通</w:t>
                  </w:r>
                </w:p>
                <w:p w14:paraId="439C0806">
                  <w:pPr>
                    <w:autoSpaceDE w:val="0"/>
                    <w:autoSpaceDN w:val="0"/>
                    <w:jc w:val="center"/>
                    <w:rPr>
                      <w:u w:val="single"/>
                    </w:rPr>
                  </w:pPr>
                  <w:r>
                    <w:rPr>
                      <w:u w:val="single"/>
                    </w:rPr>
                    <w:t>风量</w:t>
                  </w:r>
                </w:p>
              </w:tc>
              <w:tc>
                <w:tcPr>
                  <w:tcW w:w="3362" w:type="dxa"/>
                  <w:tcBorders>
                    <w:top w:val="single" w:color="000000" w:sz="4" w:space="0"/>
                    <w:left w:val="single" w:color="000000" w:sz="4" w:space="0"/>
                    <w:bottom w:val="single" w:color="000000" w:sz="4" w:space="0"/>
                    <w:right w:val="single" w:color="000000" w:sz="4" w:space="0"/>
                  </w:tcBorders>
                  <w:vAlign w:val="center"/>
                </w:tcPr>
                <w:p w14:paraId="53ECB3C8">
                  <w:pPr>
                    <w:autoSpaceDE w:val="0"/>
                    <w:autoSpaceDN w:val="0"/>
                    <w:jc w:val="center"/>
                    <w:rPr>
                      <w:u w:val="single"/>
                    </w:rPr>
                  </w:pPr>
                  <w:r>
                    <w:rPr>
                      <w:u w:val="single"/>
                    </w:rPr>
                    <w:t>项目厂房通风量设置合理</w:t>
                  </w:r>
                </w:p>
              </w:tc>
              <w:tc>
                <w:tcPr>
                  <w:tcW w:w="817" w:type="dxa"/>
                  <w:tcBorders>
                    <w:top w:val="single" w:color="000000" w:sz="4" w:space="0"/>
                    <w:left w:val="single" w:color="000000" w:sz="4" w:space="0"/>
                    <w:bottom w:val="single" w:color="000000" w:sz="4" w:space="0"/>
                    <w:right w:val="single" w:color="000000" w:sz="12" w:space="0"/>
                  </w:tcBorders>
                  <w:vAlign w:val="center"/>
                </w:tcPr>
                <w:p w14:paraId="3AB9E52F">
                  <w:pPr>
                    <w:autoSpaceDE w:val="0"/>
                    <w:autoSpaceDN w:val="0"/>
                    <w:jc w:val="center"/>
                    <w:rPr>
                      <w:u w:val="single"/>
                    </w:rPr>
                  </w:pPr>
                  <w:r>
                    <w:rPr>
                      <w:u w:val="single"/>
                    </w:rPr>
                    <w:t>符合</w:t>
                  </w:r>
                </w:p>
              </w:tc>
            </w:tr>
            <w:tr w14:paraId="595A95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5" w:hRule="atLeast"/>
                <w:jc w:val="center"/>
              </w:trPr>
              <w:tc>
                <w:tcPr>
                  <w:tcW w:w="411" w:type="dxa"/>
                  <w:tcBorders>
                    <w:top w:val="single" w:color="000000" w:sz="4" w:space="0"/>
                    <w:left w:val="single" w:color="000000" w:sz="12" w:space="0"/>
                    <w:bottom w:val="single" w:color="000000" w:sz="4" w:space="0"/>
                    <w:right w:val="single" w:color="000000" w:sz="4" w:space="0"/>
                  </w:tcBorders>
                  <w:vAlign w:val="center"/>
                </w:tcPr>
                <w:p w14:paraId="1AFC9B89">
                  <w:pPr>
                    <w:autoSpaceDE w:val="0"/>
                    <w:autoSpaceDN w:val="0"/>
                    <w:jc w:val="center"/>
                    <w:rPr>
                      <w:u w:val="single"/>
                    </w:rPr>
                  </w:pPr>
                </w:p>
                <w:p w14:paraId="67E792B6">
                  <w:pPr>
                    <w:autoSpaceDE w:val="0"/>
                    <w:autoSpaceDN w:val="0"/>
                    <w:jc w:val="center"/>
                    <w:rPr>
                      <w:u w:val="single"/>
                    </w:rPr>
                  </w:pPr>
                  <w:r>
                    <w:rPr>
                      <w:u w:val="single"/>
                    </w:rPr>
                    <w:t>4</w:t>
                  </w:r>
                </w:p>
              </w:tc>
              <w:tc>
                <w:tcPr>
                  <w:tcW w:w="2508" w:type="dxa"/>
                  <w:tcBorders>
                    <w:top w:val="single" w:color="000000" w:sz="4" w:space="0"/>
                    <w:left w:val="single" w:color="000000" w:sz="4" w:space="0"/>
                    <w:bottom w:val="single" w:color="000000" w:sz="4" w:space="0"/>
                    <w:right w:val="single" w:color="000000" w:sz="4" w:space="0"/>
                  </w:tcBorders>
                  <w:vAlign w:val="center"/>
                </w:tcPr>
                <w:p w14:paraId="39F435F2">
                  <w:pPr>
                    <w:autoSpaceDE w:val="0"/>
                    <w:autoSpaceDN w:val="0"/>
                    <w:jc w:val="center"/>
                    <w:rPr>
                      <w:u w:val="single"/>
                    </w:rPr>
                  </w:pPr>
                  <w:r>
                    <w:rPr>
                      <w:u w:val="single"/>
                    </w:rPr>
                    <w:t>含 VOCs 物料应储存于密闭容器、包装袋，高效密封储罐，封闭式储库、料仓等。</w:t>
                  </w:r>
                </w:p>
              </w:tc>
              <w:tc>
                <w:tcPr>
                  <w:tcW w:w="3362" w:type="dxa"/>
                  <w:tcBorders>
                    <w:top w:val="single" w:color="000000" w:sz="4" w:space="0"/>
                    <w:left w:val="single" w:color="000000" w:sz="4" w:space="0"/>
                    <w:bottom w:val="single" w:color="000000" w:sz="4" w:space="0"/>
                    <w:right w:val="single" w:color="000000" w:sz="4" w:space="0"/>
                  </w:tcBorders>
                  <w:vAlign w:val="center"/>
                </w:tcPr>
                <w:p w14:paraId="68C658FB">
                  <w:pPr>
                    <w:autoSpaceDE w:val="0"/>
                    <w:autoSpaceDN w:val="0"/>
                    <w:jc w:val="center"/>
                    <w:rPr>
                      <w:rFonts w:hint="default" w:eastAsia="宋体"/>
                      <w:u w:val="single"/>
                      <w:lang w:val="en-US" w:eastAsia="zh-CN"/>
                    </w:rPr>
                  </w:pPr>
                  <w:r>
                    <w:rPr>
                      <w:u w:val="single"/>
                    </w:rPr>
                    <w:t>本项目使用的</w:t>
                  </w:r>
                  <w:r>
                    <w:rPr>
                      <w:rFonts w:hint="eastAsia"/>
                      <w:u w:val="single"/>
                      <w:lang w:val="en-US" w:eastAsia="zh-CN"/>
                    </w:rPr>
                    <w:t>涂料</w:t>
                  </w:r>
                  <w:r>
                    <w:rPr>
                      <w:u w:val="single"/>
                    </w:rPr>
                    <w:t>、</w:t>
                  </w:r>
                  <w:r>
                    <w:rPr>
                      <w:rFonts w:hint="eastAsia"/>
                      <w:u w:val="single"/>
                      <w:lang w:val="en-US" w:eastAsia="zh-CN"/>
                    </w:rPr>
                    <w:t>固化剂、</w:t>
                  </w:r>
                  <w:r>
                    <w:rPr>
                      <w:u w:val="single"/>
                    </w:rPr>
                    <w:t>稀释剂等储存于密封桶内</w:t>
                  </w:r>
                  <w:r>
                    <w:rPr>
                      <w:rFonts w:hint="eastAsia"/>
                      <w:u w:val="single"/>
                      <w:lang w:eastAsia="zh-CN"/>
                    </w:rPr>
                    <w:t>，</w:t>
                  </w:r>
                  <w:r>
                    <w:rPr>
                      <w:rFonts w:hint="eastAsia"/>
                      <w:u w:val="single"/>
                      <w:lang w:val="en-US" w:eastAsia="zh-CN"/>
                    </w:rPr>
                    <w:t>存放在油漆房</w:t>
                  </w:r>
                </w:p>
              </w:tc>
              <w:tc>
                <w:tcPr>
                  <w:tcW w:w="817" w:type="dxa"/>
                  <w:tcBorders>
                    <w:top w:val="single" w:color="000000" w:sz="4" w:space="0"/>
                    <w:left w:val="single" w:color="000000" w:sz="4" w:space="0"/>
                    <w:bottom w:val="single" w:color="000000" w:sz="4" w:space="0"/>
                    <w:right w:val="single" w:color="000000" w:sz="12" w:space="0"/>
                  </w:tcBorders>
                  <w:vAlign w:val="center"/>
                </w:tcPr>
                <w:p w14:paraId="1C508DBF">
                  <w:pPr>
                    <w:autoSpaceDE w:val="0"/>
                    <w:autoSpaceDN w:val="0"/>
                    <w:jc w:val="center"/>
                    <w:rPr>
                      <w:u w:val="single"/>
                    </w:rPr>
                  </w:pPr>
                  <w:r>
                    <w:rPr>
                      <w:u w:val="single"/>
                    </w:rPr>
                    <w:t>符合</w:t>
                  </w:r>
                </w:p>
              </w:tc>
            </w:tr>
            <w:tr w14:paraId="66AFDE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3" w:hRule="atLeast"/>
                <w:jc w:val="center"/>
              </w:trPr>
              <w:tc>
                <w:tcPr>
                  <w:tcW w:w="411" w:type="dxa"/>
                  <w:tcBorders>
                    <w:top w:val="single" w:color="000000" w:sz="4" w:space="0"/>
                    <w:left w:val="single" w:color="000000" w:sz="12" w:space="0"/>
                    <w:bottom w:val="single" w:color="000000" w:sz="4" w:space="0"/>
                    <w:right w:val="single" w:color="000000" w:sz="4" w:space="0"/>
                  </w:tcBorders>
                  <w:vAlign w:val="center"/>
                </w:tcPr>
                <w:p w14:paraId="0332BDC3">
                  <w:pPr>
                    <w:autoSpaceDE w:val="0"/>
                    <w:autoSpaceDN w:val="0"/>
                    <w:jc w:val="center"/>
                    <w:rPr>
                      <w:u w:val="single"/>
                    </w:rPr>
                  </w:pPr>
                </w:p>
                <w:p w14:paraId="4CA689DA">
                  <w:pPr>
                    <w:autoSpaceDE w:val="0"/>
                    <w:autoSpaceDN w:val="0"/>
                    <w:jc w:val="center"/>
                    <w:rPr>
                      <w:u w:val="single"/>
                    </w:rPr>
                  </w:pPr>
                </w:p>
                <w:p w14:paraId="2C0349E3">
                  <w:pPr>
                    <w:autoSpaceDE w:val="0"/>
                    <w:autoSpaceDN w:val="0"/>
                    <w:jc w:val="center"/>
                    <w:rPr>
                      <w:u w:val="single"/>
                    </w:rPr>
                  </w:pPr>
                  <w:r>
                    <w:rPr>
                      <w:u w:val="single"/>
                    </w:rPr>
                    <w:t>5</w:t>
                  </w:r>
                </w:p>
              </w:tc>
              <w:tc>
                <w:tcPr>
                  <w:tcW w:w="2508" w:type="dxa"/>
                  <w:tcBorders>
                    <w:top w:val="single" w:color="000000" w:sz="4" w:space="0"/>
                    <w:left w:val="single" w:color="000000" w:sz="4" w:space="0"/>
                    <w:bottom w:val="single" w:color="000000" w:sz="4" w:space="0"/>
                    <w:right w:val="single" w:color="000000" w:sz="4" w:space="0"/>
                  </w:tcBorders>
                  <w:vAlign w:val="center"/>
                </w:tcPr>
                <w:p w14:paraId="15366435">
                  <w:pPr>
                    <w:autoSpaceDE w:val="0"/>
                    <w:autoSpaceDN w:val="0"/>
                    <w:jc w:val="center"/>
                    <w:rPr>
                      <w:u w:val="single"/>
                    </w:rPr>
                  </w:pPr>
                  <w:r>
                    <w:rPr>
                      <w:u w:val="single"/>
                    </w:rPr>
                    <w:t>废气收集系统集气罩的设置应符合 GB/T16758 的规定。废气收集系统的输送管道应密闭，排气筒高度不低于 15m。</w:t>
                  </w:r>
                </w:p>
              </w:tc>
              <w:tc>
                <w:tcPr>
                  <w:tcW w:w="3362" w:type="dxa"/>
                  <w:tcBorders>
                    <w:top w:val="single" w:color="000000" w:sz="4" w:space="0"/>
                    <w:left w:val="single" w:color="000000" w:sz="4" w:space="0"/>
                    <w:bottom w:val="single" w:color="000000" w:sz="4" w:space="0"/>
                    <w:right w:val="single" w:color="000000" w:sz="4" w:space="0"/>
                  </w:tcBorders>
                  <w:vAlign w:val="center"/>
                </w:tcPr>
                <w:p w14:paraId="62AEF774">
                  <w:pPr>
                    <w:autoSpaceDE w:val="0"/>
                    <w:autoSpaceDN w:val="0"/>
                    <w:jc w:val="center"/>
                    <w:rPr>
                      <w:u w:val="single"/>
                    </w:rPr>
                  </w:pPr>
                  <w:r>
                    <w:rPr>
                      <w:u w:val="single"/>
                    </w:rPr>
                    <w:t>本项目废气收集系统严格按照GB/T16758 的</w:t>
                  </w:r>
                  <w:r>
                    <w:rPr>
                      <w:rFonts w:hint="eastAsia"/>
                      <w:u w:val="single"/>
                      <w:lang w:eastAsia="zh-CN"/>
                    </w:rPr>
                    <w:t>规定</w:t>
                  </w:r>
                  <w:r>
                    <w:rPr>
                      <w:u w:val="single"/>
                    </w:rPr>
                    <w:t>设置。废气收集管道密闭，排气筒15m高。</w:t>
                  </w:r>
                </w:p>
              </w:tc>
              <w:tc>
                <w:tcPr>
                  <w:tcW w:w="817" w:type="dxa"/>
                  <w:tcBorders>
                    <w:top w:val="single" w:color="000000" w:sz="4" w:space="0"/>
                    <w:left w:val="single" w:color="000000" w:sz="4" w:space="0"/>
                    <w:bottom w:val="single" w:color="000000" w:sz="4" w:space="0"/>
                    <w:right w:val="single" w:color="000000" w:sz="12" w:space="0"/>
                  </w:tcBorders>
                  <w:vAlign w:val="center"/>
                </w:tcPr>
                <w:p w14:paraId="6D5811CD">
                  <w:pPr>
                    <w:autoSpaceDE w:val="0"/>
                    <w:autoSpaceDN w:val="0"/>
                    <w:jc w:val="center"/>
                    <w:rPr>
                      <w:u w:val="single"/>
                    </w:rPr>
                  </w:pPr>
                  <w:r>
                    <w:rPr>
                      <w:u w:val="single"/>
                    </w:rPr>
                    <w:t>符合</w:t>
                  </w:r>
                </w:p>
              </w:tc>
            </w:tr>
            <w:tr w14:paraId="6F75AE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07" w:hRule="atLeast"/>
                <w:jc w:val="center"/>
              </w:trPr>
              <w:tc>
                <w:tcPr>
                  <w:tcW w:w="411"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03F9DBCF">
                  <w:pPr>
                    <w:autoSpaceDE w:val="0"/>
                    <w:autoSpaceDN w:val="0"/>
                    <w:jc w:val="center"/>
                    <w:rPr>
                      <w:u w:val="single"/>
                      <w:lang w:val="zh-CN"/>
                    </w:rPr>
                  </w:pPr>
                  <w:r>
                    <w:rPr>
                      <w:u w:val="single"/>
                    </w:rPr>
                    <w:t>6</w:t>
                  </w:r>
                </w:p>
              </w:tc>
              <w:tc>
                <w:tcPr>
                  <w:tcW w:w="2508" w:type="dxa"/>
                  <w:tcBorders>
                    <w:top w:val="single" w:color="000000" w:sz="4" w:space="0"/>
                    <w:left w:val="single" w:color="000000" w:sz="4" w:space="0"/>
                    <w:right w:val="single" w:color="000000" w:sz="4" w:space="0"/>
                  </w:tcBorders>
                  <w:shd w:val="clear" w:color="auto" w:fill="auto"/>
                  <w:vAlign w:val="center"/>
                </w:tcPr>
                <w:p w14:paraId="23724F18">
                  <w:pPr>
                    <w:autoSpaceDE w:val="0"/>
                    <w:autoSpaceDN w:val="0"/>
                    <w:jc w:val="center"/>
                    <w:rPr>
                      <w:u w:val="single"/>
                    </w:rPr>
                  </w:pPr>
                  <w:r>
                    <w:rPr>
                      <w:u w:val="single"/>
                    </w:rPr>
                    <w:t>对于非重点地区，NMHC</w:t>
                  </w:r>
                </w:p>
                <w:p w14:paraId="73511CB7">
                  <w:pPr>
                    <w:autoSpaceDE w:val="0"/>
                    <w:autoSpaceDN w:val="0"/>
                    <w:jc w:val="center"/>
                    <w:rPr>
                      <w:u w:val="single"/>
                    </w:rPr>
                  </w:pPr>
                  <w:r>
                    <w:rPr>
                      <w:u w:val="single"/>
                    </w:rPr>
                    <w:t>初始排放速率≥3kg/h 时，</w:t>
                  </w:r>
                </w:p>
                <w:p w14:paraId="09C77FE3">
                  <w:pPr>
                    <w:autoSpaceDE w:val="0"/>
                    <w:autoSpaceDN w:val="0"/>
                    <w:jc w:val="center"/>
                    <w:rPr>
                      <w:u w:val="single"/>
                    </w:rPr>
                  </w:pPr>
                  <w:r>
                    <w:rPr>
                      <w:u w:val="single"/>
                    </w:rPr>
                    <w:t>应配置 VOCs 处理设施， 处理效率不应低于 80%。</w:t>
                  </w:r>
                </w:p>
              </w:tc>
              <w:tc>
                <w:tcPr>
                  <w:tcW w:w="3362" w:type="dxa"/>
                  <w:tcBorders>
                    <w:top w:val="single" w:color="000000" w:sz="4" w:space="0"/>
                    <w:left w:val="single" w:color="000000" w:sz="4" w:space="0"/>
                    <w:right w:val="single" w:color="000000" w:sz="4" w:space="0"/>
                  </w:tcBorders>
                  <w:shd w:val="clear" w:color="auto" w:fill="auto"/>
                  <w:vAlign w:val="center"/>
                </w:tcPr>
                <w:p w14:paraId="2E1FE76F">
                  <w:pPr>
                    <w:autoSpaceDE w:val="0"/>
                    <w:autoSpaceDN w:val="0"/>
                    <w:jc w:val="center"/>
                    <w:rPr>
                      <w:u w:val="single"/>
                    </w:rPr>
                  </w:pPr>
                  <w:r>
                    <w:rPr>
                      <w:u w:val="single"/>
                    </w:rPr>
                    <w:t>本项目位于湘潭市</w:t>
                  </w:r>
                  <w:r>
                    <w:rPr>
                      <w:rFonts w:hint="eastAsia"/>
                      <w:u w:val="single"/>
                      <w:lang w:val="en-US" w:eastAsia="zh-CN"/>
                    </w:rPr>
                    <w:t>湘潭县</w:t>
                  </w:r>
                  <w:r>
                    <w:rPr>
                      <w:u w:val="single"/>
                    </w:rPr>
                    <w:t>，湘潭市</w:t>
                  </w:r>
                  <w:r>
                    <w:rPr>
                      <w:rFonts w:hint="eastAsia"/>
                      <w:u w:val="single"/>
                      <w:lang w:val="en-US" w:eastAsia="zh-CN"/>
                    </w:rPr>
                    <w:t>湘潭县</w:t>
                  </w:r>
                  <w:r>
                    <w:rPr>
                      <w:u w:val="single"/>
                    </w:rPr>
                    <w:t>不属于《重点行业挥发性有机物综合治理方案》（环大气[2019]53号）重点区域范围，且本项目 NMHC初始排放速率小于 3kg/h</w:t>
                  </w:r>
                </w:p>
              </w:tc>
              <w:tc>
                <w:tcPr>
                  <w:tcW w:w="817" w:type="dxa"/>
                  <w:tcBorders>
                    <w:top w:val="single" w:color="000000" w:sz="4" w:space="0"/>
                    <w:left w:val="single" w:color="000000" w:sz="4" w:space="0"/>
                    <w:right w:val="single" w:color="000000" w:sz="12" w:space="0"/>
                  </w:tcBorders>
                  <w:shd w:val="clear" w:color="auto" w:fill="auto"/>
                  <w:vAlign w:val="center"/>
                </w:tcPr>
                <w:p w14:paraId="18FE50FD">
                  <w:pPr>
                    <w:autoSpaceDE w:val="0"/>
                    <w:autoSpaceDN w:val="0"/>
                    <w:jc w:val="center"/>
                    <w:rPr>
                      <w:u w:val="single"/>
                      <w:lang w:val="zh-CN"/>
                    </w:rPr>
                  </w:pPr>
                  <w:r>
                    <w:rPr>
                      <w:u w:val="single"/>
                    </w:rPr>
                    <w:t>符合</w:t>
                  </w:r>
                </w:p>
              </w:tc>
            </w:tr>
            <w:tr w14:paraId="5DABA4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8" w:hRule="atLeast"/>
                <w:jc w:val="center"/>
              </w:trPr>
              <w:tc>
                <w:tcPr>
                  <w:tcW w:w="411" w:type="dxa"/>
                  <w:tcBorders>
                    <w:top w:val="single" w:color="000000" w:sz="4" w:space="0"/>
                    <w:left w:val="single" w:color="000000" w:sz="12" w:space="0"/>
                    <w:bottom w:val="single" w:color="000000" w:sz="12" w:space="0"/>
                    <w:right w:val="single" w:color="000000" w:sz="4" w:space="0"/>
                  </w:tcBorders>
                  <w:vAlign w:val="center"/>
                </w:tcPr>
                <w:p w14:paraId="10A91F38">
                  <w:pPr>
                    <w:autoSpaceDE w:val="0"/>
                    <w:autoSpaceDN w:val="0"/>
                    <w:jc w:val="center"/>
                    <w:rPr>
                      <w:u w:val="single"/>
                    </w:rPr>
                  </w:pPr>
                  <w:r>
                    <w:rPr>
                      <w:u w:val="single"/>
                    </w:rPr>
                    <w:t>7</w:t>
                  </w:r>
                </w:p>
              </w:tc>
              <w:tc>
                <w:tcPr>
                  <w:tcW w:w="2508" w:type="dxa"/>
                  <w:tcBorders>
                    <w:top w:val="single" w:color="000000" w:sz="4" w:space="0"/>
                    <w:left w:val="single" w:color="000000" w:sz="4" w:space="0"/>
                    <w:bottom w:val="single" w:color="000000" w:sz="12" w:space="0"/>
                    <w:right w:val="single" w:color="000000" w:sz="4" w:space="0"/>
                  </w:tcBorders>
                  <w:vAlign w:val="center"/>
                </w:tcPr>
                <w:p w14:paraId="431F537A">
                  <w:pPr>
                    <w:autoSpaceDE w:val="0"/>
                    <w:autoSpaceDN w:val="0"/>
                    <w:jc w:val="center"/>
                    <w:rPr>
                      <w:u w:val="single"/>
                    </w:rPr>
                  </w:pPr>
                  <w:r>
                    <w:rPr>
                      <w:u w:val="single"/>
                    </w:rPr>
                    <w:t>企业边界及周边 VOCs 监</w:t>
                  </w:r>
                </w:p>
                <w:p w14:paraId="23D248A3">
                  <w:pPr>
                    <w:autoSpaceDE w:val="0"/>
                    <w:autoSpaceDN w:val="0"/>
                    <w:jc w:val="center"/>
                    <w:rPr>
                      <w:u w:val="single"/>
                    </w:rPr>
                  </w:pPr>
                  <w:r>
                    <w:rPr>
                      <w:u w:val="single"/>
                    </w:rPr>
                    <w:t>控要求执行GB16297 或相关行业排放标准的规定。</w:t>
                  </w:r>
                </w:p>
              </w:tc>
              <w:tc>
                <w:tcPr>
                  <w:tcW w:w="3362" w:type="dxa"/>
                  <w:tcBorders>
                    <w:top w:val="single" w:color="000000" w:sz="4" w:space="0"/>
                    <w:left w:val="single" w:color="000000" w:sz="4" w:space="0"/>
                    <w:bottom w:val="single" w:color="000000" w:sz="12" w:space="0"/>
                    <w:right w:val="single" w:color="000000" w:sz="4" w:space="0"/>
                  </w:tcBorders>
                  <w:vAlign w:val="center"/>
                </w:tcPr>
                <w:p w14:paraId="55395C78">
                  <w:pPr>
                    <w:autoSpaceDE w:val="0"/>
                    <w:autoSpaceDN w:val="0"/>
                    <w:jc w:val="center"/>
                    <w:rPr>
                      <w:u w:val="single"/>
                    </w:rPr>
                  </w:pPr>
                  <w:r>
                    <w:rPr>
                      <w:u w:val="single"/>
                    </w:rPr>
                    <w:t>本项目制定有监测计划，严格执行</w:t>
                  </w:r>
                </w:p>
                <w:p w14:paraId="149D5DD5">
                  <w:pPr>
                    <w:autoSpaceDE w:val="0"/>
                    <w:autoSpaceDN w:val="0"/>
                    <w:jc w:val="center"/>
                    <w:rPr>
                      <w:u w:val="single"/>
                    </w:rPr>
                  </w:pPr>
                  <w:r>
                    <w:rPr>
                      <w:u w:val="single"/>
                    </w:rPr>
                    <w:t>GB16297 或相关行业排放标准的规定。</w:t>
                  </w:r>
                </w:p>
              </w:tc>
              <w:tc>
                <w:tcPr>
                  <w:tcW w:w="817" w:type="dxa"/>
                  <w:tcBorders>
                    <w:top w:val="single" w:color="000000" w:sz="4" w:space="0"/>
                    <w:left w:val="single" w:color="000000" w:sz="4" w:space="0"/>
                    <w:bottom w:val="single" w:color="000000" w:sz="12" w:space="0"/>
                    <w:right w:val="single" w:color="000000" w:sz="12" w:space="0"/>
                  </w:tcBorders>
                  <w:vAlign w:val="center"/>
                </w:tcPr>
                <w:p w14:paraId="74257FFB">
                  <w:pPr>
                    <w:autoSpaceDE w:val="0"/>
                    <w:autoSpaceDN w:val="0"/>
                    <w:jc w:val="center"/>
                    <w:rPr>
                      <w:u w:val="single"/>
                    </w:rPr>
                  </w:pPr>
                  <w:r>
                    <w:rPr>
                      <w:u w:val="single"/>
                    </w:rPr>
                    <w:t>符合</w:t>
                  </w:r>
                </w:p>
              </w:tc>
            </w:tr>
          </w:tbl>
          <w:p w14:paraId="3D04577E">
            <w:pPr>
              <w:spacing w:line="360" w:lineRule="auto"/>
              <w:ind w:firstLine="480" w:firstLineChars="200"/>
              <w:rPr>
                <w:rFonts w:hint="eastAsia"/>
                <w:snapToGrid w:val="0"/>
                <w:sz w:val="24"/>
                <w:szCs w:val="32"/>
                <w:u w:val="single"/>
              </w:rPr>
            </w:pPr>
            <w:r>
              <w:rPr>
                <w:rFonts w:hint="eastAsia"/>
                <w:kern w:val="0"/>
                <w:sz w:val="24"/>
                <w:u w:val="single"/>
              </w:rPr>
              <w:t>综上所述，项目符合</w:t>
            </w:r>
            <w:r>
              <w:rPr>
                <w:sz w:val="24"/>
                <w:u w:val="single"/>
              </w:rPr>
              <w:t>《挥发性有机物无组织排放控制标准》（</w:t>
            </w:r>
            <w:r>
              <w:rPr>
                <w:rFonts w:eastAsia="Times New Roman"/>
                <w:sz w:val="24"/>
                <w:u w:val="single"/>
              </w:rPr>
              <w:t>GB37822-2019</w:t>
            </w:r>
            <w:r>
              <w:rPr>
                <w:sz w:val="24"/>
                <w:u w:val="single"/>
              </w:rPr>
              <w:t>）</w:t>
            </w:r>
            <w:r>
              <w:rPr>
                <w:rFonts w:hint="eastAsia"/>
                <w:kern w:val="0"/>
                <w:sz w:val="24"/>
                <w:u w:val="single"/>
              </w:rPr>
              <w:t>中相关要求。</w:t>
            </w:r>
          </w:p>
          <w:p w14:paraId="7889A01B">
            <w:pPr>
              <w:pStyle w:val="15"/>
              <w:keepNext w:val="0"/>
              <w:keepLines w:val="0"/>
              <w:pageBreakBefore w:val="0"/>
              <w:numPr>
                <w:ilvl w:val="0"/>
                <w:numId w:val="0"/>
              </w:numPr>
              <w:kinsoku/>
              <w:wordWrap/>
              <w:overflowPunct/>
              <w:topLinePunct w:val="0"/>
              <w:bidi w:val="0"/>
              <w:spacing w:before="0" w:after="0" w:line="348" w:lineRule="auto"/>
              <w:ind w:right="0" w:rightChars="0" w:firstLine="482" w:firstLineChars="200"/>
              <w:textAlignment w:val="auto"/>
              <w:rPr>
                <w:rFonts w:hint="eastAsia" w:ascii="Times New Roman" w:hAnsi="Times New Roman" w:eastAsia="宋体" w:cs="Times New Roman"/>
                <w:b/>
                <w:bCs/>
                <w:color w:val="auto"/>
                <w:kern w:val="2"/>
                <w:sz w:val="24"/>
                <w:szCs w:val="24"/>
                <w:highlight w:val="none"/>
                <w:u w:val="none" w:color="auto"/>
                <w:lang w:val="en-US" w:eastAsia="zh-CN" w:bidi="ar-SA"/>
              </w:rPr>
            </w:pPr>
            <w:r>
              <w:rPr>
                <w:rFonts w:hint="eastAsia" w:ascii="Times New Roman" w:hAnsi="Times New Roman" w:eastAsia="宋体" w:cs="Times New Roman"/>
                <w:b/>
                <w:bCs/>
                <w:color w:val="auto"/>
                <w:kern w:val="2"/>
                <w:sz w:val="24"/>
                <w:szCs w:val="24"/>
                <w:highlight w:val="none"/>
                <w:u w:val="none" w:color="auto"/>
                <w:lang w:val="en-US" w:eastAsia="zh-CN" w:bidi="ar-SA"/>
              </w:rPr>
              <w:t xml:space="preserve">12、与《湖南省大气污染防治“守护蓝天”攻坚行动计划（2023—2025年）》符合性分析 </w:t>
            </w:r>
          </w:p>
          <w:p w14:paraId="52D012D6">
            <w:pPr>
              <w:spacing w:line="420" w:lineRule="exact"/>
              <w:ind w:firstLine="480" w:firstLineChars="200"/>
              <w:rPr>
                <w:sz w:val="24"/>
                <w:u w:val="single"/>
              </w:rPr>
            </w:pPr>
            <w:r>
              <w:rPr>
                <w:rFonts w:hint="eastAsia"/>
                <w:sz w:val="24"/>
                <w:u w:val="single"/>
              </w:rPr>
              <w:t>根据湖南省人民政府《湖南省大气污染防治“守护蓝天”攻坚行动计划（2023—2025年）》（湘政办发〔2023〕34号），本工程与相关要求比较见下表。</w:t>
            </w:r>
          </w:p>
          <w:p w14:paraId="136F6C4B">
            <w:pPr>
              <w:widowControl/>
              <w:spacing w:before="63" w:beforeLines="20" w:line="240" w:lineRule="auto"/>
              <w:ind w:firstLine="0" w:firstLineChars="0"/>
              <w:jc w:val="center"/>
              <w:rPr>
                <w:rFonts w:hint="default" w:ascii="Times New Roman" w:hAnsi="Times New Roman" w:eastAsia="宋体" w:cs="Times New Roman"/>
                <w:b/>
                <w:color w:val="auto"/>
                <w:kern w:val="0"/>
                <w:sz w:val="24"/>
                <w:szCs w:val="24"/>
                <w:u w:val="none" w:color="auto"/>
                <w:lang w:val="en-US" w:eastAsia="zh-CN" w:bidi="ar-SA"/>
              </w:rPr>
            </w:pPr>
            <w:r>
              <w:rPr>
                <w:rFonts w:hint="default" w:ascii="Times New Roman" w:hAnsi="Times New Roman" w:eastAsia="宋体" w:cs="Times New Roman"/>
                <w:b/>
                <w:color w:val="auto"/>
                <w:kern w:val="0"/>
                <w:sz w:val="24"/>
                <w:szCs w:val="24"/>
                <w:u w:val="none" w:color="auto"/>
                <w:lang w:val="en-US" w:eastAsia="zh-CN" w:bidi="ar-SA"/>
              </w:rPr>
              <w:t>表1-</w:t>
            </w:r>
            <w:r>
              <w:rPr>
                <w:rFonts w:hint="eastAsia" w:cs="Times New Roman"/>
                <w:b/>
                <w:color w:val="auto"/>
                <w:kern w:val="0"/>
                <w:sz w:val="24"/>
                <w:szCs w:val="24"/>
                <w:u w:val="none" w:color="auto"/>
                <w:lang w:val="en-US" w:eastAsia="zh-CN" w:bidi="ar-SA"/>
              </w:rPr>
              <w:t>8</w:t>
            </w:r>
            <w:r>
              <w:rPr>
                <w:rFonts w:hint="eastAsia" w:ascii="Times New Roman" w:hAnsi="Times New Roman" w:eastAsia="宋体" w:cs="Times New Roman"/>
                <w:b/>
                <w:color w:val="auto"/>
                <w:kern w:val="0"/>
                <w:sz w:val="24"/>
                <w:szCs w:val="24"/>
                <w:u w:val="none" w:color="auto"/>
                <w:lang w:val="en-US" w:eastAsia="zh-CN" w:bidi="ar-SA"/>
              </w:rPr>
              <w:t xml:space="preserve"> 与《湖南省大气污染防治“守护蓝天”攻坚行动计划（2023—2025年）》 符合性分析一览表</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3235"/>
              <w:gridCol w:w="2208"/>
              <w:gridCol w:w="700"/>
            </w:tblGrid>
            <w:tr w14:paraId="64A2D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blHeader/>
                <w:jc w:val="center"/>
              </w:trPr>
              <w:tc>
                <w:tcPr>
                  <w:tcW w:w="2912" w:type="pct"/>
                  <w:gridSpan w:val="2"/>
                  <w:vAlign w:val="center"/>
                </w:tcPr>
                <w:p w14:paraId="349A36D7">
                  <w:pPr>
                    <w:pStyle w:val="16"/>
                    <w:overflowPunct w:val="0"/>
                    <w:autoSpaceDE w:val="0"/>
                    <w:autoSpaceDN w:val="0"/>
                    <w:adjustRightInd w:val="0"/>
                    <w:spacing w:after="0" w:line="260" w:lineRule="exact"/>
                    <w:ind w:left="0" w:leftChars="0"/>
                    <w:jc w:val="center"/>
                    <w:textAlignment w:val="baseline"/>
                    <w:rPr>
                      <w:bCs/>
                      <w:sz w:val="21"/>
                      <w:szCs w:val="21"/>
                      <w:u w:val="single"/>
                    </w:rPr>
                  </w:pPr>
                  <w:r>
                    <w:rPr>
                      <w:bCs/>
                      <w:sz w:val="21"/>
                      <w:szCs w:val="21"/>
                      <w:u w:val="single"/>
                    </w:rPr>
                    <w:t>主要内容</w:t>
                  </w:r>
                </w:p>
              </w:tc>
              <w:tc>
                <w:tcPr>
                  <w:tcW w:w="1585" w:type="pct"/>
                  <w:vAlign w:val="center"/>
                </w:tcPr>
                <w:p w14:paraId="1B36956C">
                  <w:pPr>
                    <w:pStyle w:val="16"/>
                    <w:overflowPunct w:val="0"/>
                    <w:autoSpaceDE w:val="0"/>
                    <w:autoSpaceDN w:val="0"/>
                    <w:adjustRightInd w:val="0"/>
                    <w:spacing w:after="0" w:line="260" w:lineRule="exact"/>
                    <w:ind w:left="0" w:leftChars="0"/>
                    <w:jc w:val="center"/>
                    <w:textAlignment w:val="baseline"/>
                    <w:rPr>
                      <w:bCs/>
                      <w:sz w:val="21"/>
                      <w:szCs w:val="21"/>
                      <w:u w:val="single"/>
                    </w:rPr>
                  </w:pPr>
                  <w:r>
                    <w:rPr>
                      <w:bCs/>
                      <w:sz w:val="21"/>
                      <w:szCs w:val="21"/>
                      <w:u w:val="single"/>
                    </w:rPr>
                    <w:t>本工程</w:t>
                  </w:r>
                  <w:r>
                    <w:rPr>
                      <w:rFonts w:hint="eastAsia"/>
                      <w:bCs/>
                      <w:sz w:val="21"/>
                      <w:szCs w:val="21"/>
                      <w:u w:val="single"/>
                    </w:rPr>
                    <w:t>情况</w:t>
                  </w:r>
                </w:p>
              </w:tc>
              <w:tc>
                <w:tcPr>
                  <w:tcW w:w="502" w:type="pct"/>
                </w:tcPr>
                <w:p w14:paraId="180F165F">
                  <w:pPr>
                    <w:pStyle w:val="16"/>
                    <w:overflowPunct w:val="0"/>
                    <w:autoSpaceDE w:val="0"/>
                    <w:autoSpaceDN w:val="0"/>
                    <w:adjustRightInd w:val="0"/>
                    <w:spacing w:after="0" w:line="260" w:lineRule="exact"/>
                    <w:ind w:left="0" w:leftChars="0"/>
                    <w:jc w:val="center"/>
                    <w:textAlignment w:val="baseline"/>
                    <w:rPr>
                      <w:bCs/>
                      <w:sz w:val="21"/>
                      <w:szCs w:val="21"/>
                      <w:u w:val="single"/>
                    </w:rPr>
                  </w:pPr>
                  <w:r>
                    <w:rPr>
                      <w:rFonts w:hint="eastAsia"/>
                      <w:bCs/>
                      <w:sz w:val="21"/>
                      <w:szCs w:val="21"/>
                      <w:u w:val="single"/>
                    </w:rPr>
                    <w:t>是否</w:t>
                  </w:r>
                </w:p>
                <w:p w14:paraId="15D9EE97">
                  <w:pPr>
                    <w:pStyle w:val="16"/>
                    <w:overflowPunct w:val="0"/>
                    <w:autoSpaceDE w:val="0"/>
                    <w:autoSpaceDN w:val="0"/>
                    <w:adjustRightInd w:val="0"/>
                    <w:spacing w:after="0" w:line="260" w:lineRule="exact"/>
                    <w:ind w:left="0" w:leftChars="0"/>
                    <w:jc w:val="center"/>
                    <w:textAlignment w:val="baseline"/>
                    <w:rPr>
                      <w:bCs/>
                      <w:sz w:val="21"/>
                      <w:szCs w:val="21"/>
                      <w:u w:val="single"/>
                    </w:rPr>
                  </w:pPr>
                  <w:r>
                    <w:rPr>
                      <w:rFonts w:hint="eastAsia"/>
                      <w:bCs/>
                      <w:sz w:val="21"/>
                      <w:szCs w:val="21"/>
                      <w:u w:val="single"/>
                    </w:rPr>
                    <w:t>符合</w:t>
                  </w:r>
                </w:p>
              </w:tc>
            </w:tr>
            <w:tr w14:paraId="788FD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6" w:hRule="atLeast"/>
                <w:jc w:val="center"/>
              </w:trPr>
              <w:tc>
                <w:tcPr>
                  <w:tcW w:w="589" w:type="pct"/>
                  <w:vAlign w:val="center"/>
                </w:tcPr>
                <w:p w14:paraId="559A80A5">
                  <w:pPr>
                    <w:pStyle w:val="16"/>
                    <w:overflowPunct w:val="0"/>
                    <w:autoSpaceDE w:val="0"/>
                    <w:autoSpaceDN w:val="0"/>
                    <w:adjustRightInd w:val="0"/>
                    <w:spacing w:after="0" w:line="260" w:lineRule="exact"/>
                    <w:ind w:left="0" w:leftChars="0"/>
                    <w:jc w:val="center"/>
                    <w:textAlignment w:val="baseline"/>
                    <w:rPr>
                      <w:bCs/>
                      <w:sz w:val="21"/>
                      <w:szCs w:val="21"/>
                      <w:u w:val="single"/>
                    </w:rPr>
                  </w:pPr>
                  <w:r>
                    <w:rPr>
                      <w:bCs/>
                      <w:sz w:val="21"/>
                      <w:szCs w:val="21"/>
                      <w:u w:val="single"/>
                    </w:rPr>
                    <w:t>能源领域</w:t>
                  </w:r>
                </w:p>
              </w:tc>
              <w:tc>
                <w:tcPr>
                  <w:tcW w:w="2323" w:type="pct"/>
                  <w:vAlign w:val="center"/>
                </w:tcPr>
                <w:p w14:paraId="23460B2A">
                  <w:pPr>
                    <w:pStyle w:val="16"/>
                    <w:overflowPunct w:val="0"/>
                    <w:autoSpaceDE w:val="0"/>
                    <w:autoSpaceDN w:val="0"/>
                    <w:adjustRightInd w:val="0"/>
                    <w:spacing w:after="0" w:line="260" w:lineRule="exact"/>
                    <w:ind w:left="0" w:leftChars="0"/>
                    <w:jc w:val="left"/>
                    <w:textAlignment w:val="baseline"/>
                    <w:rPr>
                      <w:bCs/>
                      <w:sz w:val="21"/>
                      <w:szCs w:val="21"/>
                      <w:u w:val="single"/>
                    </w:rPr>
                  </w:pPr>
                  <w:r>
                    <w:rPr>
                      <w:bCs/>
                      <w:sz w:val="21"/>
                      <w:szCs w:val="21"/>
                      <w:u w:val="single"/>
                    </w:rPr>
                    <w:t>推动能源绿色低碳转型。严格落实煤炭等量、减量替代，提高电煤消费占比。多渠道扩展天然气气源，扩大外受电比重，持续推进“煤改气”“煤改电”工程，大力推进使用清洁能源或电厂热力、工业余热等替代锅炉、炉窑燃料用煤，加快推动玻璃、地板砖等建材行业企业以及有色冶炼行业鼓风炉、反射炉等“煤改气”，依法依规推进煤气发生炉有序退出，推动非化石能源发展。到2025年，煤炭消费占一次能源消费比重下降至51%左右，电煤消费占比达到55%以上。</w:t>
                  </w:r>
                </w:p>
              </w:tc>
              <w:tc>
                <w:tcPr>
                  <w:tcW w:w="1585" w:type="pct"/>
                  <w:vAlign w:val="center"/>
                </w:tcPr>
                <w:p w14:paraId="51272033">
                  <w:pPr>
                    <w:pStyle w:val="16"/>
                    <w:overflowPunct w:val="0"/>
                    <w:autoSpaceDE w:val="0"/>
                    <w:autoSpaceDN w:val="0"/>
                    <w:adjustRightInd w:val="0"/>
                    <w:spacing w:after="0" w:line="260" w:lineRule="exact"/>
                    <w:ind w:left="0" w:leftChars="0"/>
                    <w:jc w:val="center"/>
                    <w:textAlignment w:val="baseline"/>
                    <w:rPr>
                      <w:bCs/>
                      <w:color w:val="000000"/>
                      <w:sz w:val="21"/>
                      <w:szCs w:val="21"/>
                      <w:highlight w:val="yellow"/>
                      <w:u w:val="single"/>
                    </w:rPr>
                  </w:pPr>
                  <w:r>
                    <w:rPr>
                      <w:kern w:val="2"/>
                      <w:sz w:val="21"/>
                      <w:szCs w:val="21"/>
                      <w:u w:val="single"/>
                      <w:lang w:val="zh-CN" w:bidi="zh-CN"/>
                    </w:rPr>
                    <w:t>企业采用电</w:t>
                  </w:r>
                  <w:r>
                    <w:rPr>
                      <w:rFonts w:hint="eastAsia"/>
                      <w:kern w:val="2"/>
                      <w:sz w:val="21"/>
                      <w:szCs w:val="21"/>
                      <w:u w:val="single"/>
                      <w:lang w:val="zh-CN" w:bidi="zh-CN"/>
                    </w:rPr>
                    <w:t>、</w:t>
                  </w:r>
                  <w:r>
                    <w:rPr>
                      <w:rFonts w:hint="eastAsia"/>
                      <w:kern w:val="2"/>
                      <w:sz w:val="21"/>
                      <w:szCs w:val="21"/>
                      <w:u w:val="single"/>
                      <w:lang w:bidi="zh-CN"/>
                    </w:rPr>
                    <w:t>天然气为</w:t>
                  </w:r>
                  <w:r>
                    <w:rPr>
                      <w:kern w:val="2"/>
                      <w:sz w:val="21"/>
                      <w:szCs w:val="21"/>
                      <w:u w:val="single"/>
                      <w:lang w:val="zh-CN" w:bidi="zh-CN"/>
                    </w:rPr>
                    <w:t>能源，不涉及燃煤。</w:t>
                  </w:r>
                </w:p>
              </w:tc>
              <w:tc>
                <w:tcPr>
                  <w:tcW w:w="502" w:type="pct"/>
                  <w:vAlign w:val="center"/>
                </w:tcPr>
                <w:p w14:paraId="650B2B7A">
                  <w:pPr>
                    <w:pStyle w:val="16"/>
                    <w:overflowPunct w:val="0"/>
                    <w:autoSpaceDE w:val="0"/>
                    <w:autoSpaceDN w:val="0"/>
                    <w:adjustRightInd w:val="0"/>
                    <w:spacing w:after="0" w:line="260" w:lineRule="exact"/>
                    <w:ind w:left="0" w:leftChars="0"/>
                    <w:jc w:val="center"/>
                    <w:textAlignment w:val="baseline"/>
                    <w:rPr>
                      <w:bCs/>
                      <w:sz w:val="21"/>
                      <w:szCs w:val="21"/>
                      <w:u w:val="single"/>
                    </w:rPr>
                  </w:pPr>
                  <w:r>
                    <w:rPr>
                      <w:bCs/>
                      <w:sz w:val="21"/>
                      <w:szCs w:val="21"/>
                      <w:u w:val="single"/>
                    </w:rPr>
                    <w:t>符合</w:t>
                  </w:r>
                </w:p>
              </w:tc>
            </w:tr>
            <w:tr w14:paraId="649AB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9" w:type="pct"/>
                  <w:vMerge w:val="restart"/>
                  <w:vAlign w:val="center"/>
                </w:tcPr>
                <w:p w14:paraId="413F2D8B">
                  <w:pPr>
                    <w:pStyle w:val="16"/>
                    <w:overflowPunct w:val="0"/>
                    <w:autoSpaceDE w:val="0"/>
                    <w:autoSpaceDN w:val="0"/>
                    <w:adjustRightInd w:val="0"/>
                    <w:spacing w:after="0" w:line="260" w:lineRule="exact"/>
                    <w:ind w:left="0" w:leftChars="0"/>
                    <w:jc w:val="center"/>
                    <w:textAlignment w:val="baseline"/>
                    <w:rPr>
                      <w:bCs/>
                      <w:sz w:val="21"/>
                      <w:szCs w:val="21"/>
                      <w:highlight w:val="yellow"/>
                      <w:u w:val="single"/>
                    </w:rPr>
                  </w:pPr>
                  <w:r>
                    <w:rPr>
                      <w:bCs/>
                      <w:sz w:val="21"/>
                      <w:szCs w:val="21"/>
                      <w:u w:val="single"/>
                    </w:rPr>
                    <w:t>工业和信息化领域</w:t>
                  </w:r>
                </w:p>
              </w:tc>
              <w:tc>
                <w:tcPr>
                  <w:tcW w:w="2323" w:type="pct"/>
                  <w:vAlign w:val="center"/>
                </w:tcPr>
                <w:p w14:paraId="2FC316EC">
                  <w:pPr>
                    <w:pStyle w:val="16"/>
                    <w:overflowPunct w:val="0"/>
                    <w:autoSpaceDE w:val="0"/>
                    <w:autoSpaceDN w:val="0"/>
                    <w:adjustRightInd w:val="0"/>
                    <w:spacing w:after="0" w:line="260" w:lineRule="exact"/>
                    <w:ind w:left="0" w:leftChars="0"/>
                    <w:jc w:val="left"/>
                    <w:textAlignment w:val="baseline"/>
                    <w:rPr>
                      <w:bCs/>
                      <w:sz w:val="21"/>
                      <w:szCs w:val="21"/>
                      <w:u w:val="single"/>
                    </w:rPr>
                  </w:pPr>
                  <w:r>
                    <w:rPr>
                      <w:bCs/>
                      <w:sz w:val="21"/>
                      <w:szCs w:val="21"/>
                      <w:u w:val="single"/>
                    </w:rPr>
                    <w:t>优化产业结构和布局。严格项目准入，遏制“两高一低”项目盲目发展。落实产业规划及产业政策，严格执行重点行业产能置换办法，依法依规淘汰落后产能。优化产业链布局，开展传统产业集群排查整治，推进重点涉气企业入区入园。到2025年，按照相关政策和环保标准整合关停环境绩效水平低的砖瓦企业。</w:t>
                  </w:r>
                </w:p>
              </w:tc>
              <w:tc>
                <w:tcPr>
                  <w:tcW w:w="1585" w:type="pct"/>
                  <w:vAlign w:val="center"/>
                </w:tcPr>
                <w:p w14:paraId="6A532503">
                  <w:pPr>
                    <w:pStyle w:val="16"/>
                    <w:overflowPunct w:val="0"/>
                    <w:autoSpaceDE w:val="0"/>
                    <w:autoSpaceDN w:val="0"/>
                    <w:adjustRightInd w:val="0"/>
                    <w:spacing w:after="0" w:line="260" w:lineRule="exact"/>
                    <w:ind w:left="0" w:leftChars="0"/>
                    <w:jc w:val="center"/>
                    <w:textAlignment w:val="baseline"/>
                    <w:rPr>
                      <w:bCs/>
                      <w:color w:val="000000"/>
                      <w:sz w:val="21"/>
                      <w:szCs w:val="21"/>
                      <w:u w:val="single"/>
                    </w:rPr>
                  </w:pPr>
                  <w:r>
                    <w:rPr>
                      <w:bCs/>
                      <w:color w:val="000000"/>
                      <w:sz w:val="21"/>
                      <w:szCs w:val="21"/>
                      <w:u w:val="single"/>
                    </w:rPr>
                    <w:t>根据湖南省发展和改革委员会《关于印发＜湖南省“两高”项目管理目录＞的通知》（湘发改环资</w:t>
                  </w:r>
                  <w:r>
                    <w:rPr>
                      <w:rFonts w:hint="eastAsia"/>
                      <w:bCs/>
                      <w:color w:val="000000"/>
                      <w:sz w:val="21"/>
                      <w:szCs w:val="21"/>
                      <w:u w:val="single"/>
                      <w:lang w:eastAsia="zh-CN"/>
                    </w:rPr>
                    <w:t>〔</w:t>
                  </w:r>
                  <w:r>
                    <w:rPr>
                      <w:bCs/>
                      <w:color w:val="000000"/>
                      <w:sz w:val="21"/>
                      <w:szCs w:val="21"/>
                      <w:u w:val="single"/>
                    </w:rPr>
                    <w:t>2021]968号）中湖南省“两高”项目管理目录，本项目涉及的主要产品及工序均不在湖南省“两高”项目管理目录中。</w:t>
                  </w:r>
                </w:p>
              </w:tc>
              <w:tc>
                <w:tcPr>
                  <w:tcW w:w="502" w:type="pct"/>
                  <w:vAlign w:val="center"/>
                </w:tcPr>
                <w:p w14:paraId="12BFD6A9">
                  <w:pPr>
                    <w:pStyle w:val="16"/>
                    <w:overflowPunct w:val="0"/>
                    <w:autoSpaceDE w:val="0"/>
                    <w:autoSpaceDN w:val="0"/>
                    <w:adjustRightInd w:val="0"/>
                    <w:spacing w:after="0" w:line="260" w:lineRule="exact"/>
                    <w:ind w:left="0" w:leftChars="0"/>
                    <w:jc w:val="center"/>
                    <w:textAlignment w:val="baseline"/>
                    <w:rPr>
                      <w:bCs/>
                      <w:sz w:val="21"/>
                      <w:szCs w:val="21"/>
                      <w:u w:val="single"/>
                    </w:rPr>
                  </w:pPr>
                  <w:r>
                    <w:rPr>
                      <w:bCs/>
                      <w:sz w:val="21"/>
                      <w:szCs w:val="21"/>
                      <w:u w:val="single"/>
                    </w:rPr>
                    <w:t>符合</w:t>
                  </w:r>
                </w:p>
              </w:tc>
            </w:tr>
            <w:tr w14:paraId="48468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jc w:val="center"/>
              </w:trPr>
              <w:tc>
                <w:tcPr>
                  <w:tcW w:w="589" w:type="pct"/>
                  <w:vMerge w:val="continue"/>
                  <w:vAlign w:val="center"/>
                </w:tcPr>
                <w:p w14:paraId="1EEFE2AA">
                  <w:pPr>
                    <w:pStyle w:val="16"/>
                    <w:overflowPunct w:val="0"/>
                    <w:autoSpaceDE w:val="0"/>
                    <w:autoSpaceDN w:val="0"/>
                    <w:adjustRightInd w:val="0"/>
                    <w:spacing w:after="0" w:line="260" w:lineRule="exact"/>
                    <w:ind w:left="0" w:leftChars="0"/>
                    <w:jc w:val="center"/>
                    <w:textAlignment w:val="baseline"/>
                    <w:rPr>
                      <w:bCs/>
                      <w:sz w:val="21"/>
                      <w:szCs w:val="21"/>
                      <w:u w:val="single"/>
                    </w:rPr>
                  </w:pPr>
                </w:p>
              </w:tc>
              <w:tc>
                <w:tcPr>
                  <w:tcW w:w="2323" w:type="pct"/>
                  <w:vAlign w:val="center"/>
                </w:tcPr>
                <w:p w14:paraId="73D74429">
                  <w:pPr>
                    <w:pStyle w:val="16"/>
                    <w:overflowPunct w:val="0"/>
                    <w:autoSpaceDE w:val="0"/>
                    <w:autoSpaceDN w:val="0"/>
                    <w:adjustRightInd w:val="0"/>
                    <w:spacing w:after="0" w:line="260" w:lineRule="exact"/>
                    <w:ind w:left="0" w:leftChars="0"/>
                    <w:jc w:val="left"/>
                    <w:textAlignment w:val="baseline"/>
                    <w:rPr>
                      <w:bCs/>
                      <w:sz w:val="21"/>
                      <w:szCs w:val="21"/>
                      <w:u w:val="single"/>
                    </w:rPr>
                  </w:pPr>
                  <w:r>
                    <w:rPr>
                      <w:bCs/>
                      <w:sz w:val="21"/>
                      <w:szCs w:val="21"/>
                      <w:u w:val="single"/>
                    </w:rPr>
                    <w:t>加大低VOCs原辅材料替代力度。建立多部门联合执法机制，加大监督检查力度，确保生产、销售、使用符合VOCs含量限值标准的产品。以工业涂装、包装印刷和胶粘剂使用等为重点，在企业清洁生产审核中明确提出低VOCs原辅材料替代要求。</w:t>
                  </w:r>
                </w:p>
              </w:tc>
              <w:tc>
                <w:tcPr>
                  <w:tcW w:w="1585" w:type="pct"/>
                  <w:vAlign w:val="center"/>
                </w:tcPr>
                <w:p w14:paraId="245EBFC6">
                  <w:pPr>
                    <w:pStyle w:val="16"/>
                    <w:overflowPunct w:val="0"/>
                    <w:autoSpaceDE w:val="0"/>
                    <w:autoSpaceDN w:val="0"/>
                    <w:adjustRightInd w:val="0"/>
                    <w:spacing w:after="0" w:line="260" w:lineRule="exact"/>
                    <w:ind w:left="0" w:leftChars="0"/>
                    <w:jc w:val="center"/>
                    <w:textAlignment w:val="baseline"/>
                    <w:rPr>
                      <w:bCs/>
                      <w:color w:val="000000"/>
                      <w:sz w:val="21"/>
                      <w:szCs w:val="21"/>
                      <w:u w:val="single"/>
                    </w:rPr>
                  </w:pPr>
                  <w:r>
                    <w:rPr>
                      <w:bCs/>
                      <w:sz w:val="21"/>
                      <w:szCs w:val="21"/>
                      <w:u w:val="single"/>
                    </w:rPr>
                    <w:t>本项目</w:t>
                  </w:r>
                  <w:r>
                    <w:rPr>
                      <w:rFonts w:hint="eastAsia"/>
                      <w:bCs/>
                      <w:sz w:val="21"/>
                      <w:szCs w:val="21"/>
                      <w:u w:val="single"/>
                    </w:rPr>
                    <w:t>使用油性漆</w:t>
                  </w:r>
                  <w:r>
                    <w:rPr>
                      <w:bCs/>
                      <w:sz w:val="21"/>
                      <w:szCs w:val="21"/>
                      <w:u w:val="single"/>
                    </w:rPr>
                    <w:t>。经与建设单位沟通，现阶段</w:t>
                  </w:r>
                  <w:r>
                    <w:rPr>
                      <w:rFonts w:hint="eastAsia"/>
                      <w:bCs/>
                      <w:sz w:val="21"/>
                      <w:szCs w:val="21"/>
                      <w:u w:val="single"/>
                    </w:rPr>
                    <w:t>下游厂家所需产品需使用</w:t>
                  </w:r>
                  <w:r>
                    <w:rPr>
                      <w:bCs/>
                      <w:sz w:val="21"/>
                      <w:szCs w:val="21"/>
                      <w:u w:val="single"/>
                    </w:rPr>
                    <w:t>油性漆</w:t>
                  </w:r>
                  <w:r>
                    <w:rPr>
                      <w:rFonts w:hint="eastAsia"/>
                      <w:bCs/>
                      <w:sz w:val="21"/>
                      <w:szCs w:val="21"/>
                      <w:u w:val="single"/>
                    </w:rPr>
                    <w:t>方</w:t>
                  </w:r>
                  <w:r>
                    <w:rPr>
                      <w:bCs/>
                      <w:sz w:val="21"/>
                      <w:szCs w:val="21"/>
                      <w:u w:val="single"/>
                    </w:rPr>
                    <w:t>可满足产品的使用要求。建设单位承诺，在水性漆能够满足项目产品工艺要求时，建设单位将及时更换水性漆。</w:t>
                  </w:r>
                </w:p>
              </w:tc>
              <w:tc>
                <w:tcPr>
                  <w:tcW w:w="502" w:type="pct"/>
                  <w:vAlign w:val="center"/>
                </w:tcPr>
                <w:p w14:paraId="61EFD18A">
                  <w:pPr>
                    <w:pStyle w:val="16"/>
                    <w:overflowPunct w:val="0"/>
                    <w:autoSpaceDE w:val="0"/>
                    <w:autoSpaceDN w:val="0"/>
                    <w:adjustRightInd w:val="0"/>
                    <w:spacing w:after="0" w:line="260" w:lineRule="exact"/>
                    <w:ind w:left="0" w:leftChars="0"/>
                    <w:jc w:val="center"/>
                    <w:textAlignment w:val="baseline"/>
                    <w:rPr>
                      <w:bCs/>
                      <w:sz w:val="21"/>
                      <w:szCs w:val="21"/>
                      <w:u w:val="single"/>
                    </w:rPr>
                  </w:pPr>
                  <w:r>
                    <w:rPr>
                      <w:rFonts w:hint="eastAsia"/>
                      <w:bCs/>
                      <w:sz w:val="21"/>
                      <w:szCs w:val="21"/>
                      <w:u w:val="single"/>
                    </w:rPr>
                    <w:t>基本符合</w:t>
                  </w:r>
                </w:p>
              </w:tc>
            </w:tr>
            <w:tr w14:paraId="08992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5" w:hRule="atLeast"/>
                <w:jc w:val="center"/>
              </w:trPr>
              <w:tc>
                <w:tcPr>
                  <w:tcW w:w="589" w:type="pct"/>
                  <w:vAlign w:val="center"/>
                </w:tcPr>
                <w:p w14:paraId="54C28671">
                  <w:pPr>
                    <w:spacing w:line="260" w:lineRule="exact"/>
                    <w:jc w:val="center"/>
                    <w:rPr>
                      <w:bCs/>
                      <w:color w:val="000000"/>
                      <w:kern w:val="0"/>
                      <w:szCs w:val="21"/>
                      <w:u w:val="single"/>
                    </w:rPr>
                  </w:pPr>
                  <w:r>
                    <w:rPr>
                      <w:bCs/>
                      <w:color w:val="000000"/>
                      <w:kern w:val="0"/>
                      <w:szCs w:val="21"/>
                      <w:u w:val="single"/>
                    </w:rPr>
                    <w:t>工业治理领域</w:t>
                  </w:r>
                </w:p>
              </w:tc>
              <w:tc>
                <w:tcPr>
                  <w:tcW w:w="2323" w:type="pct"/>
                  <w:vAlign w:val="center"/>
                </w:tcPr>
                <w:p w14:paraId="45AC9097">
                  <w:pPr>
                    <w:spacing w:line="260" w:lineRule="exact"/>
                    <w:jc w:val="left"/>
                    <w:rPr>
                      <w:bCs/>
                      <w:color w:val="000000"/>
                      <w:kern w:val="0"/>
                      <w:szCs w:val="21"/>
                      <w:u w:val="single"/>
                    </w:rPr>
                  </w:pPr>
                  <w:r>
                    <w:rPr>
                      <w:bCs/>
                      <w:color w:val="000000"/>
                      <w:kern w:val="0"/>
                      <w:szCs w:val="21"/>
                      <w:u w:val="single"/>
                    </w:rPr>
                    <w:t>开展涉VOCs重点行业全流程整治。持续开展VOCs治理突出问题排查，清理整顿简易低效、不合规定治理设施，强化无组织和非正常工况废气排放管控。规范开展泄漏检测与修复。推动各市州分别新建1</w:t>
                  </w:r>
                  <w:r>
                    <w:rPr>
                      <w:rFonts w:hint="eastAsia"/>
                      <w:bCs/>
                      <w:color w:val="000000"/>
                      <w:kern w:val="0"/>
                      <w:szCs w:val="21"/>
                      <w:u w:val="single"/>
                      <w:lang w:eastAsia="zh-CN"/>
                    </w:rPr>
                    <w:t>～</w:t>
                  </w:r>
                  <w:r>
                    <w:rPr>
                      <w:bCs/>
                      <w:color w:val="000000"/>
                      <w:kern w:val="0"/>
                      <w:szCs w:val="21"/>
                      <w:u w:val="single"/>
                    </w:rPr>
                    <w:t>3个涉VOCs“绿岛”项目。</w:t>
                  </w:r>
                </w:p>
              </w:tc>
              <w:tc>
                <w:tcPr>
                  <w:tcW w:w="1585" w:type="pct"/>
                  <w:vAlign w:val="center"/>
                </w:tcPr>
                <w:p w14:paraId="0833CE25">
                  <w:pPr>
                    <w:pStyle w:val="16"/>
                    <w:overflowPunct w:val="0"/>
                    <w:autoSpaceDE w:val="0"/>
                    <w:autoSpaceDN w:val="0"/>
                    <w:adjustRightInd w:val="0"/>
                    <w:spacing w:after="0" w:line="260" w:lineRule="exact"/>
                    <w:ind w:left="0" w:leftChars="0"/>
                    <w:jc w:val="center"/>
                    <w:textAlignment w:val="baseline"/>
                    <w:rPr>
                      <w:rFonts w:hint="eastAsia" w:eastAsia="宋体"/>
                      <w:bCs/>
                      <w:color w:val="000000"/>
                      <w:sz w:val="21"/>
                      <w:szCs w:val="21"/>
                      <w:u w:val="single"/>
                      <w:lang w:eastAsia="zh-CN"/>
                    </w:rPr>
                  </w:pPr>
                  <w:r>
                    <w:rPr>
                      <w:rFonts w:hint="eastAsia"/>
                      <w:bCs/>
                      <w:color w:val="000000"/>
                      <w:sz w:val="21"/>
                      <w:szCs w:val="21"/>
                      <w:u w:val="single"/>
                      <w:lang w:eastAsia="zh-CN"/>
                    </w:rPr>
                    <w:t>项目喷漆工序均在密闭负压喷漆房中进行。高铁连接板喷漆、风扇、风罩喷漆以及晾干工序产生的废气经水帘除尘+干式过滤除去颗粒物（漆雾）后，与烤漆废气经活性炭吸附+催化燃烧设施（TA001）处理后通过15m排气筒（DA001）排放；用于高铁连接板喷涂的喷漆房与烤漆房位于车间二中的密闭负压车间，高铁连接板喷涂的喷漆房与烤漆房未收集的有机废气经密闭车间负压收集后再经二级活性炭吸附设施（TA002）处理后通过15m排气筒（DA002）排放。调漆区于车间二中的密闭负压车间中进行，产生的有机废气经密闭车间负压收集后经二级活性炭吸附设施（TA002）处理后通过15m排气筒（DA002）排放。</w:t>
                  </w:r>
                </w:p>
              </w:tc>
              <w:tc>
                <w:tcPr>
                  <w:tcW w:w="502" w:type="pct"/>
                  <w:vAlign w:val="center"/>
                </w:tcPr>
                <w:p w14:paraId="46781A63">
                  <w:pPr>
                    <w:pStyle w:val="16"/>
                    <w:overflowPunct w:val="0"/>
                    <w:autoSpaceDE w:val="0"/>
                    <w:autoSpaceDN w:val="0"/>
                    <w:adjustRightInd w:val="0"/>
                    <w:spacing w:after="0" w:line="260" w:lineRule="exact"/>
                    <w:ind w:left="0" w:leftChars="0"/>
                    <w:jc w:val="center"/>
                    <w:textAlignment w:val="baseline"/>
                    <w:rPr>
                      <w:bCs/>
                      <w:sz w:val="21"/>
                      <w:szCs w:val="21"/>
                      <w:u w:val="single"/>
                    </w:rPr>
                  </w:pPr>
                  <w:r>
                    <w:rPr>
                      <w:bCs/>
                      <w:sz w:val="21"/>
                      <w:szCs w:val="21"/>
                      <w:u w:val="single"/>
                    </w:rPr>
                    <w:t>符合</w:t>
                  </w:r>
                </w:p>
              </w:tc>
            </w:tr>
          </w:tbl>
          <w:p w14:paraId="6522D341">
            <w:pPr>
              <w:spacing w:line="360" w:lineRule="auto"/>
              <w:ind w:firstLine="472" w:firstLineChars="200"/>
              <w:rPr>
                <w:rFonts w:hint="eastAsia" w:eastAsia="宋体" w:cs="Times New Roman"/>
                <w:color w:val="auto"/>
                <w:sz w:val="24"/>
                <w:szCs w:val="24"/>
                <w:u w:val="none" w:color="auto"/>
                <w:lang w:val="en-US" w:eastAsia="zh-CN"/>
              </w:rPr>
            </w:pPr>
            <w:r>
              <w:rPr>
                <w:rFonts w:hint="eastAsia"/>
                <w:spacing w:val="-2"/>
                <w:position w:val="-6"/>
                <w:sz w:val="24"/>
                <w:lang w:bidi="ar"/>
              </w:rPr>
              <w:t>根据上表分析，本项目符合《湖南省大气污染防治“守护蓝天”攻坚行动计划（2023—2025年）》（湘政办发〔2023〕34号）相关要求。</w:t>
            </w:r>
          </w:p>
          <w:p w14:paraId="0D956B88">
            <w:pPr>
              <w:pStyle w:val="15"/>
              <w:keepNext w:val="0"/>
              <w:keepLines w:val="0"/>
              <w:pageBreakBefore w:val="0"/>
              <w:numPr>
                <w:ilvl w:val="0"/>
                <w:numId w:val="0"/>
              </w:numPr>
              <w:kinsoku/>
              <w:wordWrap/>
              <w:overflowPunct/>
              <w:topLinePunct w:val="0"/>
              <w:bidi w:val="0"/>
              <w:spacing w:before="0" w:after="0" w:line="348" w:lineRule="auto"/>
              <w:ind w:right="0" w:rightChars="0" w:firstLine="482" w:firstLineChars="200"/>
              <w:textAlignment w:val="auto"/>
              <w:rPr>
                <w:rFonts w:hint="eastAsia" w:cs="Times New Roman"/>
                <w:b/>
                <w:bCs/>
                <w:color w:val="auto"/>
                <w:kern w:val="2"/>
                <w:sz w:val="24"/>
                <w:szCs w:val="24"/>
                <w:highlight w:val="none"/>
                <w:u w:val="none" w:color="auto"/>
                <w:lang w:val="en-US" w:eastAsia="zh-CN" w:bidi="ar-SA"/>
              </w:rPr>
            </w:pPr>
            <w:r>
              <w:rPr>
                <w:rFonts w:hint="eastAsia" w:cs="Times New Roman"/>
                <w:b/>
                <w:bCs/>
                <w:color w:val="auto"/>
                <w:kern w:val="2"/>
                <w:sz w:val="24"/>
                <w:szCs w:val="24"/>
                <w:highlight w:val="none"/>
                <w:u w:val="none" w:color="auto"/>
                <w:lang w:val="en-US" w:eastAsia="zh-CN" w:bidi="ar-SA"/>
              </w:rPr>
              <w:t>13、与《</w:t>
            </w:r>
            <w:bookmarkStart w:id="5" w:name="_Toc44493931"/>
            <w:r>
              <w:rPr>
                <w:rFonts w:hint="eastAsia" w:cs="Times New Roman"/>
                <w:b/>
                <w:bCs/>
                <w:color w:val="auto"/>
                <w:kern w:val="2"/>
                <w:sz w:val="24"/>
                <w:szCs w:val="24"/>
                <w:highlight w:val="none"/>
                <w:u w:val="none" w:color="auto"/>
                <w:lang w:val="en-US" w:eastAsia="zh-CN" w:bidi="ar-SA"/>
              </w:rPr>
              <w:t>重污染天气重点行业应急减排措施制定</w:t>
            </w:r>
            <w:bookmarkEnd w:id="5"/>
            <w:bookmarkStart w:id="6" w:name="_Toc44493932"/>
            <w:r>
              <w:rPr>
                <w:rFonts w:hint="eastAsia" w:cs="Times New Roman"/>
                <w:b/>
                <w:bCs/>
                <w:color w:val="auto"/>
                <w:kern w:val="2"/>
                <w:sz w:val="24"/>
                <w:szCs w:val="24"/>
                <w:highlight w:val="none"/>
                <w:u w:val="none" w:color="auto"/>
                <w:lang w:val="en-US" w:eastAsia="zh-CN" w:bidi="ar-SA"/>
              </w:rPr>
              <w:t>技术指南</w:t>
            </w:r>
            <w:bookmarkEnd w:id="6"/>
            <w:r>
              <w:rPr>
                <w:rFonts w:hint="eastAsia" w:cs="Times New Roman"/>
                <w:b/>
                <w:bCs/>
                <w:color w:val="auto"/>
                <w:kern w:val="2"/>
                <w:sz w:val="24"/>
                <w:szCs w:val="24"/>
                <w:highlight w:val="none"/>
                <w:u w:val="none" w:color="auto"/>
                <w:lang w:val="en-US" w:eastAsia="zh-CN" w:bidi="ar-SA"/>
              </w:rPr>
              <w:t>（2020年修订版）》中工业涂装相符性分析</w:t>
            </w:r>
          </w:p>
          <w:p w14:paraId="142C7A86">
            <w:pPr>
              <w:widowControl/>
              <w:spacing w:before="63" w:beforeLines="20" w:line="240" w:lineRule="auto"/>
              <w:ind w:firstLine="0" w:firstLineChars="0"/>
              <w:jc w:val="center"/>
              <w:rPr>
                <w:rFonts w:hint="default" w:cs="Times New Roman"/>
                <w:b/>
                <w:bCs/>
                <w:color w:val="auto"/>
                <w:kern w:val="2"/>
                <w:sz w:val="24"/>
                <w:szCs w:val="24"/>
                <w:highlight w:val="none"/>
                <w:u w:val="none" w:color="auto"/>
                <w:lang w:val="en-US" w:eastAsia="zh-CN" w:bidi="ar-SA"/>
              </w:rPr>
            </w:pPr>
            <w:r>
              <w:rPr>
                <w:rFonts w:hint="default" w:ascii="Times New Roman" w:hAnsi="Times New Roman" w:eastAsia="宋体" w:cs="Times New Roman"/>
                <w:b/>
                <w:color w:val="auto"/>
                <w:kern w:val="0"/>
                <w:sz w:val="24"/>
                <w:szCs w:val="24"/>
                <w:u w:val="none" w:color="auto"/>
                <w:lang w:val="en-US" w:eastAsia="zh-CN" w:bidi="ar-SA"/>
              </w:rPr>
              <w:t>表1-</w:t>
            </w:r>
            <w:r>
              <w:rPr>
                <w:rFonts w:hint="eastAsia" w:cs="Times New Roman"/>
                <w:b/>
                <w:color w:val="auto"/>
                <w:kern w:val="0"/>
                <w:sz w:val="24"/>
                <w:szCs w:val="24"/>
                <w:u w:val="none" w:color="auto"/>
                <w:lang w:val="en-US" w:eastAsia="zh-CN" w:bidi="ar-SA"/>
              </w:rPr>
              <w:t>9</w:t>
            </w:r>
            <w:r>
              <w:rPr>
                <w:rFonts w:hint="eastAsia" w:ascii="Times New Roman" w:hAnsi="Times New Roman" w:eastAsia="宋体" w:cs="Times New Roman"/>
                <w:b/>
                <w:color w:val="auto"/>
                <w:kern w:val="0"/>
                <w:sz w:val="24"/>
                <w:szCs w:val="24"/>
                <w:u w:val="none" w:color="auto"/>
                <w:lang w:val="en-US" w:eastAsia="zh-CN" w:bidi="ar-SA"/>
              </w:rPr>
              <w:t xml:space="preserve"> </w:t>
            </w:r>
            <w:r>
              <w:rPr>
                <w:rFonts w:hint="eastAsia" w:cs="Times New Roman"/>
                <w:b/>
                <w:bCs/>
                <w:color w:val="auto"/>
                <w:kern w:val="2"/>
                <w:sz w:val="24"/>
                <w:szCs w:val="24"/>
                <w:highlight w:val="none"/>
                <w:u w:val="none" w:color="auto"/>
                <w:lang w:val="en-US" w:eastAsia="zh-CN" w:bidi="ar-SA"/>
              </w:rPr>
              <w:t>与《重污染天气重点行业应急减排措施制定技术指南（2020年修订版）》中工业涂装</w:t>
            </w:r>
            <w:r>
              <w:rPr>
                <w:rFonts w:hint="eastAsia" w:ascii="Times New Roman" w:hAnsi="Times New Roman" w:eastAsia="宋体" w:cs="Times New Roman"/>
                <w:b/>
                <w:color w:val="auto"/>
                <w:kern w:val="0"/>
                <w:sz w:val="24"/>
                <w:szCs w:val="24"/>
                <w:u w:val="none" w:color="auto"/>
                <w:lang w:val="en-US" w:eastAsia="zh-CN" w:bidi="ar-SA"/>
              </w:rPr>
              <w:t>符合性分析一览表</w:t>
            </w:r>
          </w:p>
          <w:tbl>
            <w:tblPr>
              <w:tblStyle w:val="31"/>
              <w:tblW w:w="7037"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065"/>
              <w:gridCol w:w="2332"/>
              <w:gridCol w:w="823"/>
            </w:tblGrid>
            <w:tr w14:paraId="607691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3" w:hRule="atLeast"/>
                <w:tblHeader/>
              </w:trPr>
              <w:tc>
                <w:tcPr>
                  <w:tcW w:w="580" w:type="pct"/>
                  <w:noWrap w:val="0"/>
                  <w:vAlign w:val="center"/>
                </w:tcPr>
                <w:p w14:paraId="4AFDA4F7">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差异化指标</w:t>
                  </w:r>
                </w:p>
              </w:tc>
              <w:tc>
                <w:tcPr>
                  <w:tcW w:w="2177" w:type="pct"/>
                  <w:noWrap w:val="0"/>
                  <w:vAlign w:val="center"/>
                </w:tcPr>
                <w:p w14:paraId="08A0E34D">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B</w:t>
                  </w:r>
                  <w:r>
                    <w:rPr>
                      <w:rFonts w:hint="eastAsia" w:ascii="Times New Roman" w:hAnsi="Times New Roman" w:eastAsia="宋体" w:cs="Times New Roman"/>
                      <w:color w:val="auto"/>
                      <w:kern w:val="24"/>
                      <w:sz w:val="21"/>
                      <w:szCs w:val="21"/>
                      <w:highlight w:val="none"/>
                      <w:u w:val="none" w:color="auto"/>
                      <w:lang w:val="en-US" w:eastAsia="zh-CN" w:bidi="ar"/>
                    </w:rPr>
                    <w:t>级企业</w:t>
                  </w:r>
                </w:p>
              </w:tc>
              <w:tc>
                <w:tcPr>
                  <w:tcW w:w="1656" w:type="pct"/>
                  <w:noWrap w:val="0"/>
                  <w:vAlign w:val="center"/>
                </w:tcPr>
                <w:p w14:paraId="2B016D56">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项目情况</w:t>
                  </w:r>
                </w:p>
              </w:tc>
              <w:tc>
                <w:tcPr>
                  <w:tcW w:w="584" w:type="pct"/>
                  <w:noWrap w:val="0"/>
                  <w:vAlign w:val="center"/>
                </w:tcPr>
                <w:p w14:paraId="2BEBE846">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相符性</w:t>
                  </w:r>
                </w:p>
              </w:tc>
            </w:tr>
            <w:tr w14:paraId="56E723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9" w:hRule="atLeast"/>
                <w:tblHeader/>
              </w:trPr>
              <w:tc>
                <w:tcPr>
                  <w:tcW w:w="580" w:type="pct"/>
                  <w:noWrap w:val="0"/>
                  <w:vAlign w:val="center"/>
                </w:tcPr>
                <w:p w14:paraId="180F26D7">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原辅材料</w:t>
                  </w:r>
                </w:p>
              </w:tc>
              <w:tc>
                <w:tcPr>
                  <w:tcW w:w="2177" w:type="pct"/>
                  <w:noWrap w:val="0"/>
                  <w:vAlign w:val="center"/>
                </w:tcPr>
                <w:p w14:paraId="79038FAE">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1</w:t>
                  </w:r>
                  <w:r>
                    <w:rPr>
                      <w:rFonts w:hint="eastAsia" w:ascii="Times New Roman" w:hAnsi="Times New Roman" w:eastAsia="宋体" w:cs="Times New Roman"/>
                      <w:color w:val="auto"/>
                      <w:kern w:val="24"/>
                      <w:sz w:val="21"/>
                      <w:szCs w:val="21"/>
                      <w:highlight w:val="none"/>
                      <w:u w:val="none" w:color="auto"/>
                      <w:lang w:val="en-US" w:eastAsia="zh-CN" w:bidi="ar"/>
                    </w:rPr>
                    <w:t>、使用符合《船舶涂料中有害物质限量》（</w:t>
                  </w:r>
                  <w:r>
                    <w:rPr>
                      <w:rFonts w:hint="default" w:ascii="Times New Roman" w:hAnsi="Times New Roman" w:eastAsia="宋体" w:cs="Times New Roman"/>
                      <w:color w:val="auto"/>
                      <w:kern w:val="24"/>
                      <w:sz w:val="21"/>
                      <w:szCs w:val="21"/>
                      <w:highlight w:val="none"/>
                      <w:u w:val="none" w:color="auto"/>
                      <w:lang w:val="en-US" w:eastAsia="zh-CN" w:bidi="ar"/>
                    </w:rPr>
                    <w:t>GB 38469-2019</w:t>
                  </w:r>
                  <w:r>
                    <w:rPr>
                      <w:rFonts w:hint="eastAsia" w:ascii="Times New Roman" w:hAnsi="Times New Roman" w:eastAsia="宋体" w:cs="Times New Roman"/>
                      <w:color w:val="auto"/>
                      <w:kern w:val="24"/>
                      <w:sz w:val="21"/>
                      <w:szCs w:val="21"/>
                      <w:highlight w:val="none"/>
                      <w:u w:val="none" w:color="auto"/>
                      <w:lang w:val="en-US" w:eastAsia="zh-CN" w:bidi="ar"/>
                    </w:rPr>
                    <w:t>）、《木器涂料中有害物质限量》（</w:t>
                  </w:r>
                  <w:r>
                    <w:rPr>
                      <w:rFonts w:hint="default" w:ascii="Times New Roman" w:hAnsi="Times New Roman" w:eastAsia="宋体" w:cs="Times New Roman"/>
                      <w:color w:val="auto"/>
                      <w:kern w:val="24"/>
                      <w:sz w:val="21"/>
                      <w:szCs w:val="21"/>
                      <w:highlight w:val="none"/>
                      <w:u w:val="none" w:color="auto"/>
                      <w:lang w:val="en-US" w:eastAsia="zh-CN" w:bidi="ar"/>
                    </w:rPr>
                    <w:t>GB18581-2020</w:t>
                  </w:r>
                  <w:r>
                    <w:rPr>
                      <w:rFonts w:hint="eastAsia" w:ascii="Times New Roman" w:hAnsi="Times New Roman" w:eastAsia="宋体" w:cs="Times New Roman"/>
                      <w:color w:val="auto"/>
                      <w:kern w:val="24"/>
                      <w:sz w:val="21"/>
                      <w:szCs w:val="21"/>
                      <w:highlight w:val="none"/>
                      <w:u w:val="none" w:color="auto"/>
                      <w:lang w:val="en-US" w:eastAsia="zh-CN" w:bidi="ar"/>
                    </w:rPr>
                    <w:t>）、《车辆涂料中有害物质限量》（</w:t>
                  </w:r>
                  <w:r>
                    <w:rPr>
                      <w:rFonts w:hint="default" w:ascii="Times New Roman" w:hAnsi="Times New Roman" w:eastAsia="宋体" w:cs="Times New Roman"/>
                      <w:color w:val="auto"/>
                      <w:kern w:val="24"/>
                      <w:sz w:val="21"/>
                      <w:szCs w:val="21"/>
                      <w:highlight w:val="none"/>
                      <w:u w:val="none" w:color="auto"/>
                      <w:lang w:val="en-US" w:eastAsia="zh-CN" w:bidi="ar"/>
                    </w:rPr>
                    <w:t>GB24409-2020</w:t>
                  </w:r>
                  <w:r>
                    <w:rPr>
                      <w:rFonts w:hint="eastAsia" w:ascii="Times New Roman" w:hAnsi="Times New Roman" w:eastAsia="宋体" w:cs="Times New Roman"/>
                      <w:color w:val="auto"/>
                      <w:kern w:val="24"/>
                      <w:sz w:val="21"/>
                      <w:szCs w:val="21"/>
                      <w:highlight w:val="none"/>
                      <w:u w:val="none" w:color="auto"/>
                      <w:lang w:val="en-US" w:eastAsia="zh-CN" w:bidi="ar"/>
                    </w:rPr>
                    <w:t>）、《工业防护涂料中有害物质限量》（</w:t>
                  </w:r>
                  <w:r>
                    <w:rPr>
                      <w:rFonts w:hint="default" w:ascii="Times New Roman" w:hAnsi="Times New Roman" w:eastAsia="宋体" w:cs="Times New Roman"/>
                      <w:color w:val="auto"/>
                      <w:kern w:val="24"/>
                      <w:sz w:val="21"/>
                      <w:szCs w:val="21"/>
                      <w:highlight w:val="none"/>
                      <w:u w:val="none" w:color="auto"/>
                      <w:lang w:val="en-US" w:eastAsia="zh-CN" w:bidi="ar"/>
                    </w:rPr>
                    <w:t>GB30981-2020</w:t>
                  </w:r>
                  <w:r>
                    <w:rPr>
                      <w:rFonts w:hint="eastAsia" w:ascii="Times New Roman" w:hAnsi="Times New Roman" w:eastAsia="宋体" w:cs="Times New Roman"/>
                      <w:color w:val="auto"/>
                      <w:kern w:val="24"/>
                      <w:sz w:val="21"/>
                      <w:szCs w:val="21"/>
                      <w:highlight w:val="none"/>
                      <w:u w:val="none" w:color="auto"/>
                      <w:lang w:val="en-US" w:eastAsia="zh-CN" w:bidi="ar"/>
                    </w:rPr>
                    <w:t>）等标准规定的水性、无溶剂、辐射固化涂料产品；</w:t>
                  </w:r>
                </w:p>
                <w:p w14:paraId="6E167C1E">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2</w:t>
                  </w:r>
                  <w:r>
                    <w:rPr>
                      <w:rFonts w:hint="eastAsia" w:ascii="Times New Roman" w:hAnsi="Times New Roman" w:eastAsia="宋体" w:cs="Times New Roman"/>
                      <w:color w:val="auto"/>
                      <w:kern w:val="24"/>
                      <w:sz w:val="21"/>
                      <w:szCs w:val="21"/>
                      <w:highlight w:val="none"/>
                      <w:u w:val="none" w:color="auto"/>
                      <w:lang w:val="en-US" w:eastAsia="zh-CN" w:bidi="ar"/>
                    </w:rPr>
                    <w:t>、使用符合《低挥发性有机化合物含量涂料产品技术要求》（</w:t>
                  </w:r>
                  <w:r>
                    <w:rPr>
                      <w:rFonts w:hint="default" w:ascii="Times New Roman" w:hAnsi="Times New Roman" w:eastAsia="宋体" w:cs="Times New Roman"/>
                      <w:color w:val="auto"/>
                      <w:kern w:val="24"/>
                      <w:sz w:val="21"/>
                      <w:szCs w:val="21"/>
                      <w:highlight w:val="none"/>
                      <w:u w:val="none" w:color="auto"/>
                      <w:lang w:val="en-US" w:eastAsia="zh-CN" w:bidi="ar"/>
                    </w:rPr>
                    <w:t>GB/T 38597-2020</w:t>
                  </w:r>
                  <w:r>
                    <w:rPr>
                      <w:rFonts w:hint="eastAsia" w:ascii="Times New Roman" w:hAnsi="Times New Roman" w:eastAsia="宋体" w:cs="Times New Roman"/>
                      <w:color w:val="auto"/>
                      <w:kern w:val="24"/>
                      <w:sz w:val="21"/>
                      <w:szCs w:val="21"/>
                      <w:highlight w:val="none"/>
                      <w:u w:val="none" w:color="auto"/>
                      <w:lang w:val="en-US" w:eastAsia="zh-CN" w:bidi="ar"/>
                    </w:rPr>
                    <w:t>）规定的溶剂型涂料产品</w:t>
                  </w:r>
                </w:p>
              </w:tc>
              <w:tc>
                <w:tcPr>
                  <w:tcW w:w="1656" w:type="pct"/>
                  <w:noWrap w:val="0"/>
                  <w:vAlign w:val="center"/>
                </w:tcPr>
                <w:p w14:paraId="7F86B70F">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项目涂料属于《车辆涂料中有害物质限量》（</w:t>
                  </w:r>
                  <w:r>
                    <w:rPr>
                      <w:rFonts w:hint="default" w:ascii="Times New Roman" w:hAnsi="Times New Roman" w:eastAsia="宋体" w:cs="Times New Roman"/>
                      <w:color w:val="auto"/>
                      <w:kern w:val="24"/>
                      <w:sz w:val="21"/>
                      <w:szCs w:val="21"/>
                      <w:highlight w:val="none"/>
                      <w:u w:val="none" w:color="auto"/>
                      <w:lang w:val="en-US" w:eastAsia="zh-CN" w:bidi="ar"/>
                    </w:rPr>
                    <w:t>GB24409-2020</w:t>
                  </w:r>
                  <w:r>
                    <w:rPr>
                      <w:rFonts w:hint="eastAsia" w:ascii="Times New Roman" w:hAnsi="Times New Roman" w:eastAsia="宋体" w:cs="Times New Roman"/>
                      <w:color w:val="auto"/>
                      <w:kern w:val="24"/>
                      <w:sz w:val="21"/>
                      <w:szCs w:val="21"/>
                      <w:highlight w:val="none"/>
                      <w:u w:val="none" w:color="auto"/>
                      <w:lang w:val="en-US" w:eastAsia="zh-CN" w:bidi="ar"/>
                    </w:rPr>
                    <w:t>）标准规定涂料产品</w:t>
                  </w:r>
                </w:p>
              </w:tc>
              <w:tc>
                <w:tcPr>
                  <w:tcW w:w="584" w:type="pct"/>
                  <w:noWrap w:val="0"/>
                  <w:vAlign w:val="center"/>
                </w:tcPr>
                <w:p w14:paraId="4AE9764D">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相符</w:t>
                  </w:r>
                </w:p>
              </w:tc>
            </w:tr>
            <w:tr w14:paraId="0BACBB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23" w:hRule="atLeast"/>
                <w:tblHeader/>
              </w:trPr>
              <w:tc>
                <w:tcPr>
                  <w:tcW w:w="580" w:type="pct"/>
                  <w:noWrap w:val="0"/>
                  <w:vAlign w:val="center"/>
                </w:tcPr>
                <w:p w14:paraId="79C0F533">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无组织排放</w:t>
                  </w:r>
                </w:p>
              </w:tc>
              <w:tc>
                <w:tcPr>
                  <w:tcW w:w="2177" w:type="pct"/>
                  <w:noWrap w:val="0"/>
                  <w:vAlign w:val="center"/>
                </w:tcPr>
                <w:p w14:paraId="6ACFD2BC">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1</w:t>
                  </w:r>
                  <w:r>
                    <w:rPr>
                      <w:rFonts w:hint="eastAsia" w:ascii="Times New Roman" w:hAnsi="Times New Roman" w:eastAsia="宋体" w:cs="Times New Roman"/>
                      <w:color w:val="auto"/>
                      <w:kern w:val="24"/>
                      <w:sz w:val="21"/>
                      <w:szCs w:val="21"/>
                      <w:highlight w:val="none"/>
                      <w:u w:val="none" w:color="auto"/>
                      <w:lang w:val="en-US" w:eastAsia="zh-CN" w:bidi="ar"/>
                    </w:rPr>
                    <w:t>、满足《挥发性有机物无组织排放控制标准》（</w:t>
                  </w:r>
                  <w:r>
                    <w:rPr>
                      <w:rFonts w:hint="default" w:ascii="Times New Roman" w:hAnsi="Times New Roman" w:eastAsia="宋体" w:cs="Times New Roman"/>
                      <w:color w:val="auto"/>
                      <w:kern w:val="24"/>
                      <w:sz w:val="21"/>
                      <w:szCs w:val="21"/>
                      <w:highlight w:val="none"/>
                      <w:u w:val="none" w:color="auto"/>
                      <w:lang w:val="en-US" w:eastAsia="zh-CN" w:bidi="ar"/>
                    </w:rPr>
                    <w:t>GB 37822-2019</w:t>
                  </w:r>
                  <w:r>
                    <w:rPr>
                      <w:rFonts w:hint="eastAsia" w:ascii="Times New Roman" w:hAnsi="Times New Roman" w:eastAsia="宋体" w:cs="Times New Roman"/>
                      <w:color w:val="auto"/>
                      <w:kern w:val="24"/>
                      <w:sz w:val="21"/>
                      <w:szCs w:val="21"/>
                      <w:highlight w:val="none"/>
                      <w:u w:val="none" w:color="auto"/>
                      <w:lang w:val="en-US" w:eastAsia="zh-CN" w:bidi="ar"/>
                    </w:rPr>
                    <w:t>）特别控制要求；</w:t>
                  </w:r>
                </w:p>
                <w:p w14:paraId="7AD7966D">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2</w:t>
                  </w:r>
                  <w:r>
                    <w:rPr>
                      <w:rFonts w:hint="eastAsia" w:ascii="Times New Roman" w:hAnsi="Times New Roman" w:eastAsia="宋体" w:cs="Times New Roman"/>
                      <w:color w:val="auto"/>
                      <w:kern w:val="24"/>
                      <w:sz w:val="21"/>
                      <w:szCs w:val="21"/>
                      <w:highlight w:val="none"/>
                      <w:u w:val="none" w:color="auto"/>
                      <w:lang w:val="en-US" w:eastAsia="zh-CN" w:bidi="ar"/>
                    </w:rPr>
                    <w:t>、</w:t>
                  </w:r>
                  <w:r>
                    <w:rPr>
                      <w:rFonts w:hint="default" w:ascii="Times New Roman" w:hAnsi="Times New Roman" w:eastAsia="宋体" w:cs="Times New Roman"/>
                      <w:color w:val="auto"/>
                      <w:kern w:val="24"/>
                      <w:sz w:val="21"/>
                      <w:szCs w:val="21"/>
                      <w:highlight w:val="none"/>
                      <w:u w:val="none" w:color="auto"/>
                      <w:lang w:val="en-US" w:eastAsia="zh-CN" w:bidi="ar"/>
                    </w:rPr>
                    <w:t>VOCs</w:t>
                  </w:r>
                  <w:r>
                    <w:rPr>
                      <w:rFonts w:hint="eastAsia" w:ascii="Times New Roman" w:hAnsi="Times New Roman" w:eastAsia="宋体" w:cs="Times New Roman"/>
                      <w:color w:val="auto"/>
                      <w:kern w:val="24"/>
                      <w:sz w:val="21"/>
                      <w:szCs w:val="21"/>
                      <w:highlight w:val="none"/>
                      <w:u w:val="none" w:color="auto"/>
                      <w:lang w:val="en-US" w:eastAsia="zh-CN" w:bidi="ar"/>
                    </w:rPr>
                    <w:t>物料存储于密闭容器或包装袋中，盛装</w:t>
                  </w:r>
                  <w:r>
                    <w:rPr>
                      <w:rFonts w:hint="default" w:ascii="Times New Roman" w:hAnsi="Times New Roman" w:eastAsia="宋体" w:cs="Times New Roman"/>
                      <w:color w:val="auto"/>
                      <w:kern w:val="24"/>
                      <w:sz w:val="21"/>
                      <w:szCs w:val="21"/>
                      <w:highlight w:val="none"/>
                      <w:u w:val="none" w:color="auto"/>
                      <w:lang w:val="en-US" w:eastAsia="zh-CN" w:bidi="ar"/>
                    </w:rPr>
                    <w:t>VOCs</w:t>
                  </w:r>
                  <w:r>
                    <w:rPr>
                      <w:rFonts w:hint="eastAsia" w:ascii="Times New Roman" w:hAnsi="Times New Roman" w:eastAsia="宋体" w:cs="Times New Roman"/>
                      <w:color w:val="auto"/>
                      <w:kern w:val="24"/>
                      <w:sz w:val="21"/>
                      <w:szCs w:val="21"/>
                      <w:highlight w:val="none"/>
                      <w:u w:val="none" w:color="auto"/>
                      <w:lang w:val="en-US" w:eastAsia="zh-CN" w:bidi="ar"/>
                    </w:rPr>
                    <w:t>物料的容器或包装袋存放于密闭负压的储库、料仓内；</w:t>
                  </w:r>
                </w:p>
                <w:p w14:paraId="0BD37C11">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3</w:t>
                  </w:r>
                  <w:r>
                    <w:rPr>
                      <w:rFonts w:hint="eastAsia" w:ascii="Times New Roman" w:hAnsi="Times New Roman" w:eastAsia="宋体" w:cs="Times New Roman"/>
                      <w:color w:val="auto"/>
                      <w:kern w:val="24"/>
                      <w:sz w:val="21"/>
                      <w:szCs w:val="21"/>
                      <w:highlight w:val="none"/>
                      <w:u w:val="none" w:color="auto"/>
                      <w:lang w:val="en-US" w:eastAsia="zh-CN" w:bidi="ar"/>
                    </w:rPr>
                    <w:t>、除大型工件特殊作业（例如，船舶制造行业的分段总组、船台、船坞、造船码头等涂装工序）外，调漆、喷漆、流平、烘干、清洗等工序在密闭设备或密闭负压空间内操作；</w:t>
                  </w:r>
                </w:p>
                <w:p w14:paraId="5AA9E0F0">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4</w:t>
                  </w:r>
                  <w:r>
                    <w:rPr>
                      <w:rFonts w:hint="eastAsia" w:ascii="Times New Roman" w:hAnsi="Times New Roman" w:eastAsia="宋体" w:cs="Times New Roman"/>
                      <w:color w:val="auto"/>
                      <w:kern w:val="24"/>
                      <w:sz w:val="21"/>
                      <w:szCs w:val="21"/>
                      <w:highlight w:val="none"/>
                      <w:u w:val="none" w:color="auto"/>
                      <w:lang w:val="en-US" w:eastAsia="zh-CN" w:bidi="ar"/>
                    </w:rPr>
                    <w:t>、密闭回收废清洗剂；</w:t>
                  </w:r>
                </w:p>
                <w:p w14:paraId="347CF539">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5</w:t>
                  </w:r>
                  <w:r>
                    <w:rPr>
                      <w:rFonts w:hint="eastAsia" w:ascii="Times New Roman" w:hAnsi="Times New Roman" w:eastAsia="宋体" w:cs="Times New Roman"/>
                      <w:color w:val="auto"/>
                      <w:kern w:val="24"/>
                      <w:sz w:val="21"/>
                      <w:szCs w:val="21"/>
                      <w:highlight w:val="none"/>
                      <w:u w:val="none" w:color="auto"/>
                      <w:lang w:val="en-US" w:eastAsia="zh-CN" w:bidi="ar"/>
                    </w:rPr>
                    <w:t>、建设干式喷漆房；使用湿式喷漆房时，循环水泵间和刮渣间应密闭，安装废气收集设施；</w:t>
                  </w:r>
                </w:p>
                <w:p w14:paraId="01863261">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6</w:t>
                  </w:r>
                  <w:r>
                    <w:rPr>
                      <w:rFonts w:hint="eastAsia" w:ascii="Times New Roman" w:hAnsi="Times New Roman" w:eastAsia="宋体" w:cs="Times New Roman"/>
                      <w:color w:val="auto"/>
                      <w:kern w:val="24"/>
                      <w:sz w:val="21"/>
                      <w:szCs w:val="21"/>
                      <w:highlight w:val="none"/>
                      <w:u w:val="none" w:color="auto"/>
                      <w:lang w:val="en-US" w:eastAsia="zh-CN" w:bidi="ar"/>
                    </w:rPr>
                    <w:t>、采用静电喷涂、自动喷涂、高压无气喷涂或高流低压（</w:t>
                  </w:r>
                  <w:r>
                    <w:rPr>
                      <w:rFonts w:hint="default" w:ascii="Times New Roman" w:hAnsi="Times New Roman" w:eastAsia="宋体" w:cs="Times New Roman"/>
                      <w:color w:val="auto"/>
                      <w:kern w:val="24"/>
                      <w:sz w:val="21"/>
                      <w:szCs w:val="21"/>
                      <w:highlight w:val="none"/>
                      <w:u w:val="none" w:color="auto"/>
                      <w:lang w:val="en-US" w:eastAsia="zh-CN" w:bidi="ar"/>
                    </w:rPr>
                    <w:t>HVLP</w:t>
                  </w:r>
                  <w:r>
                    <w:rPr>
                      <w:rFonts w:hint="eastAsia" w:ascii="Times New Roman" w:hAnsi="Times New Roman" w:eastAsia="宋体" w:cs="Times New Roman"/>
                      <w:color w:val="auto"/>
                      <w:kern w:val="24"/>
                      <w:sz w:val="21"/>
                      <w:szCs w:val="21"/>
                      <w:highlight w:val="none"/>
                      <w:u w:val="none" w:color="auto"/>
                      <w:lang w:val="en-US" w:eastAsia="zh-CN" w:bidi="ar"/>
                    </w:rPr>
                    <w:t>）喷枪等高效涂装技术，不可使用手动空气喷涂技术</w:t>
                  </w:r>
                </w:p>
              </w:tc>
              <w:tc>
                <w:tcPr>
                  <w:tcW w:w="1656" w:type="pct"/>
                  <w:noWrap w:val="0"/>
                  <w:vAlign w:val="center"/>
                </w:tcPr>
                <w:p w14:paraId="2A835BD3">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项目满足《挥发性有机物无组织排放控制标准》（</w:t>
                  </w:r>
                  <w:r>
                    <w:rPr>
                      <w:rFonts w:hint="default" w:ascii="Times New Roman" w:hAnsi="Times New Roman" w:eastAsia="宋体" w:cs="Times New Roman"/>
                      <w:color w:val="auto"/>
                      <w:kern w:val="24"/>
                      <w:sz w:val="21"/>
                      <w:szCs w:val="21"/>
                      <w:highlight w:val="none"/>
                      <w:u w:val="none" w:color="auto"/>
                      <w:lang w:val="en-US" w:eastAsia="zh-CN" w:bidi="ar"/>
                    </w:rPr>
                    <w:t>GB 37822-2019</w:t>
                  </w:r>
                  <w:r>
                    <w:rPr>
                      <w:rFonts w:hint="eastAsia" w:ascii="Times New Roman" w:hAnsi="Times New Roman" w:eastAsia="宋体" w:cs="Times New Roman"/>
                      <w:color w:val="auto"/>
                      <w:kern w:val="24"/>
                      <w:sz w:val="21"/>
                      <w:szCs w:val="21"/>
                      <w:highlight w:val="none"/>
                      <w:u w:val="none" w:color="auto"/>
                      <w:lang w:val="en-US" w:eastAsia="zh-CN" w:bidi="ar"/>
                    </w:rPr>
                    <w:t>）特别控制要求；本项目涉VOCs原料为涂料、固化剂以及稀释剂。喷涂所用到涂料含VOCs物料储存于密闭容器，封闭式储库。项目清洗、喷漆、烤漆、晾干工序均在密闭负压喷漆房中进行，项目调漆工序在密闭负压车间内操作；项目清洗剂为酒精，沾染废清洗剂的抹布集中收集，暂存危废暂存间委托有资质单位处理；项目采用湿式喷漆房，废气干式过滤后经活性炭吸附+催化燃烧+15m排气筒排放；项目采用静电喷涂技术</w:t>
                  </w:r>
                </w:p>
              </w:tc>
              <w:tc>
                <w:tcPr>
                  <w:tcW w:w="584" w:type="pct"/>
                  <w:noWrap w:val="0"/>
                  <w:vAlign w:val="center"/>
                </w:tcPr>
                <w:p w14:paraId="549E8E4D">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相符</w:t>
                  </w:r>
                </w:p>
              </w:tc>
            </w:tr>
            <w:tr w14:paraId="48694D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9" w:hRule="atLeast"/>
                <w:tblHeader/>
              </w:trPr>
              <w:tc>
                <w:tcPr>
                  <w:tcW w:w="580" w:type="pct"/>
                  <w:noWrap w:val="0"/>
                  <w:vAlign w:val="center"/>
                </w:tcPr>
                <w:p w14:paraId="21F3D21F">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VOCs</w:t>
                  </w:r>
                  <w:r>
                    <w:rPr>
                      <w:rFonts w:hint="eastAsia" w:ascii="Times New Roman" w:hAnsi="Times New Roman" w:eastAsia="宋体" w:cs="Times New Roman"/>
                      <w:color w:val="auto"/>
                      <w:kern w:val="24"/>
                      <w:sz w:val="21"/>
                      <w:szCs w:val="21"/>
                      <w:highlight w:val="none"/>
                      <w:u w:val="none" w:color="auto"/>
                      <w:lang w:val="en-US" w:eastAsia="zh-CN" w:bidi="ar"/>
                    </w:rPr>
                    <w:t>治污设施</w:t>
                  </w:r>
                </w:p>
              </w:tc>
              <w:tc>
                <w:tcPr>
                  <w:tcW w:w="2177" w:type="pct"/>
                  <w:noWrap w:val="0"/>
                  <w:vAlign w:val="center"/>
                </w:tcPr>
                <w:p w14:paraId="2AC8D91D">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1</w:t>
                  </w:r>
                  <w:r>
                    <w:rPr>
                      <w:rFonts w:hint="eastAsia" w:ascii="Times New Roman" w:hAnsi="Times New Roman" w:eastAsia="宋体" w:cs="Times New Roman"/>
                      <w:color w:val="auto"/>
                      <w:kern w:val="24"/>
                      <w:sz w:val="21"/>
                      <w:szCs w:val="21"/>
                      <w:highlight w:val="none"/>
                      <w:u w:val="none" w:color="auto"/>
                      <w:lang w:val="en-US" w:eastAsia="zh-CN" w:bidi="ar"/>
                    </w:rPr>
                    <w:t>、喷涂废气设置干式的石灰石、纸盒或湿式的文丘里等高效漆雾处理装置；</w:t>
                  </w:r>
                </w:p>
                <w:p w14:paraId="24056F81">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2</w:t>
                  </w:r>
                  <w:r>
                    <w:rPr>
                      <w:rFonts w:hint="eastAsia" w:ascii="Times New Roman" w:hAnsi="Times New Roman" w:eastAsia="宋体" w:cs="Times New Roman"/>
                      <w:color w:val="auto"/>
                      <w:kern w:val="24"/>
                      <w:sz w:val="21"/>
                      <w:szCs w:val="21"/>
                      <w:highlight w:val="none"/>
                      <w:u w:val="none" w:color="auto"/>
                      <w:lang w:val="en-US" w:eastAsia="zh-CN" w:bidi="ar"/>
                    </w:rPr>
                    <w:t>、使用溶剂型涂料时，调漆、喷漆、流平、烘干、清洗等工序含</w:t>
                  </w:r>
                  <w:r>
                    <w:rPr>
                      <w:rFonts w:hint="default" w:ascii="Times New Roman" w:hAnsi="Times New Roman" w:eastAsia="宋体" w:cs="Times New Roman"/>
                      <w:color w:val="auto"/>
                      <w:kern w:val="24"/>
                      <w:sz w:val="21"/>
                      <w:szCs w:val="21"/>
                      <w:highlight w:val="none"/>
                      <w:u w:val="none" w:color="auto"/>
                      <w:lang w:val="en-US" w:eastAsia="zh-CN" w:bidi="ar"/>
                    </w:rPr>
                    <w:t>VOCs</w:t>
                  </w:r>
                  <w:r>
                    <w:rPr>
                      <w:rFonts w:hint="eastAsia" w:ascii="Times New Roman" w:hAnsi="Times New Roman" w:eastAsia="宋体" w:cs="Times New Roman"/>
                      <w:color w:val="auto"/>
                      <w:kern w:val="24"/>
                      <w:sz w:val="21"/>
                      <w:szCs w:val="21"/>
                      <w:highlight w:val="none"/>
                      <w:u w:val="none" w:color="auto"/>
                      <w:lang w:val="en-US" w:eastAsia="zh-CN" w:bidi="ar"/>
                    </w:rPr>
                    <w:t>废气采用吸附浓缩</w:t>
                  </w:r>
                  <w:r>
                    <w:rPr>
                      <w:rFonts w:hint="default" w:ascii="Times New Roman" w:hAnsi="Times New Roman" w:eastAsia="宋体" w:cs="Times New Roman"/>
                      <w:color w:val="auto"/>
                      <w:kern w:val="24"/>
                      <w:sz w:val="21"/>
                      <w:szCs w:val="21"/>
                      <w:highlight w:val="none"/>
                      <w:u w:val="none" w:color="auto"/>
                      <w:lang w:val="en-US" w:eastAsia="zh-CN" w:bidi="ar"/>
                    </w:rPr>
                    <w:t>+</w:t>
                  </w:r>
                  <w:r>
                    <w:rPr>
                      <w:rFonts w:hint="eastAsia" w:ascii="Times New Roman" w:hAnsi="Times New Roman" w:eastAsia="宋体" w:cs="Times New Roman"/>
                      <w:color w:val="auto"/>
                      <w:kern w:val="24"/>
                      <w:sz w:val="21"/>
                      <w:szCs w:val="21"/>
                      <w:highlight w:val="none"/>
                      <w:u w:val="none" w:color="auto"/>
                      <w:lang w:val="en-US" w:eastAsia="zh-CN" w:bidi="ar"/>
                    </w:rPr>
                    <w:t>燃烧、燃烧等治理技术，处理效率</w:t>
                  </w:r>
                  <w:r>
                    <w:rPr>
                      <w:rFonts w:hint="default" w:ascii="Times New Roman" w:hAnsi="Times New Roman" w:eastAsia="宋体" w:cs="Times New Roman"/>
                      <w:color w:val="auto"/>
                      <w:kern w:val="24"/>
                      <w:sz w:val="21"/>
                      <w:szCs w:val="21"/>
                      <w:highlight w:val="none"/>
                      <w:u w:val="none" w:color="auto"/>
                      <w:lang w:val="en-US" w:eastAsia="zh-CN" w:bidi="ar"/>
                    </w:rPr>
                    <w:t>≥85%</w:t>
                  </w:r>
                  <w:r>
                    <w:rPr>
                      <w:rFonts w:hint="eastAsia" w:ascii="Times New Roman" w:hAnsi="Times New Roman" w:eastAsia="宋体" w:cs="Times New Roman"/>
                      <w:color w:val="auto"/>
                      <w:kern w:val="24"/>
                      <w:sz w:val="21"/>
                      <w:szCs w:val="21"/>
                      <w:highlight w:val="none"/>
                      <w:u w:val="none" w:color="auto"/>
                      <w:lang w:val="en-US" w:eastAsia="zh-CN" w:bidi="ar"/>
                    </w:rPr>
                    <w:t>；</w:t>
                  </w:r>
                </w:p>
                <w:p w14:paraId="4D7FE86E">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3</w:t>
                  </w:r>
                  <w:r>
                    <w:rPr>
                      <w:rFonts w:hint="eastAsia" w:ascii="Times New Roman" w:hAnsi="Times New Roman" w:eastAsia="宋体" w:cs="Times New Roman"/>
                      <w:color w:val="auto"/>
                      <w:kern w:val="24"/>
                      <w:sz w:val="21"/>
                      <w:szCs w:val="21"/>
                      <w:highlight w:val="none"/>
                      <w:u w:val="none" w:color="auto"/>
                      <w:lang w:val="en-US" w:eastAsia="zh-CN" w:bidi="ar"/>
                    </w:rPr>
                    <w:t>、使用水性涂料（含水性</w:t>
                  </w:r>
                  <w:r>
                    <w:rPr>
                      <w:rFonts w:hint="default" w:ascii="Times New Roman" w:hAnsi="Times New Roman" w:eastAsia="宋体" w:cs="Times New Roman"/>
                      <w:color w:val="auto"/>
                      <w:kern w:val="24"/>
                      <w:sz w:val="21"/>
                      <w:szCs w:val="21"/>
                      <w:highlight w:val="none"/>
                      <w:u w:val="none" w:color="auto"/>
                      <w:lang w:val="en-US" w:eastAsia="zh-CN" w:bidi="ar"/>
                    </w:rPr>
                    <w:t>UV</w:t>
                  </w:r>
                  <w:r>
                    <w:rPr>
                      <w:rFonts w:hint="eastAsia" w:ascii="Times New Roman" w:hAnsi="Times New Roman" w:eastAsia="宋体" w:cs="Times New Roman"/>
                      <w:color w:val="auto"/>
                      <w:kern w:val="24"/>
                      <w:sz w:val="21"/>
                      <w:szCs w:val="21"/>
                      <w:highlight w:val="none"/>
                      <w:u w:val="none" w:color="auto"/>
                      <w:lang w:val="en-US" w:eastAsia="zh-CN" w:bidi="ar"/>
                    </w:rPr>
                    <w:t>）时，当车间或生产设施排气中</w:t>
                  </w:r>
                  <w:r>
                    <w:rPr>
                      <w:rFonts w:hint="default" w:ascii="Times New Roman" w:hAnsi="Times New Roman" w:eastAsia="宋体" w:cs="Times New Roman"/>
                      <w:color w:val="auto"/>
                      <w:kern w:val="24"/>
                      <w:sz w:val="21"/>
                      <w:szCs w:val="21"/>
                      <w:highlight w:val="none"/>
                      <w:u w:val="none" w:color="auto"/>
                      <w:lang w:val="en-US" w:eastAsia="zh-CN" w:bidi="ar"/>
                    </w:rPr>
                    <w:t>NMHC</w:t>
                  </w:r>
                  <w:r>
                    <w:rPr>
                      <w:rFonts w:hint="eastAsia" w:ascii="Times New Roman" w:hAnsi="Times New Roman" w:eastAsia="宋体" w:cs="Times New Roman"/>
                      <w:color w:val="auto"/>
                      <w:kern w:val="24"/>
                      <w:sz w:val="21"/>
                      <w:szCs w:val="21"/>
                      <w:highlight w:val="none"/>
                      <w:u w:val="none" w:color="auto"/>
                      <w:lang w:val="en-US" w:eastAsia="zh-CN" w:bidi="ar"/>
                    </w:rPr>
                    <w:t>初始排放速率</w:t>
                  </w:r>
                  <w:r>
                    <w:rPr>
                      <w:rFonts w:hint="default" w:ascii="Times New Roman" w:hAnsi="Times New Roman" w:eastAsia="宋体" w:cs="Times New Roman"/>
                      <w:color w:val="auto"/>
                      <w:kern w:val="24"/>
                      <w:sz w:val="21"/>
                      <w:szCs w:val="21"/>
                      <w:highlight w:val="none"/>
                      <w:u w:val="none" w:color="auto"/>
                      <w:lang w:val="en-US" w:eastAsia="zh-CN" w:bidi="ar"/>
                    </w:rPr>
                    <w:t>≥2 kg/h</w:t>
                  </w:r>
                  <w:r>
                    <w:rPr>
                      <w:rFonts w:hint="eastAsia" w:ascii="Times New Roman" w:hAnsi="Times New Roman" w:eastAsia="宋体" w:cs="Times New Roman"/>
                      <w:color w:val="auto"/>
                      <w:kern w:val="24"/>
                      <w:sz w:val="21"/>
                      <w:szCs w:val="21"/>
                      <w:highlight w:val="none"/>
                      <w:u w:val="none" w:color="auto"/>
                      <w:lang w:val="en-US" w:eastAsia="zh-CN" w:bidi="ar"/>
                    </w:rPr>
                    <w:t>时，建设末端治污设施</w:t>
                  </w:r>
                </w:p>
              </w:tc>
              <w:tc>
                <w:tcPr>
                  <w:tcW w:w="1656" w:type="pct"/>
                  <w:noWrap w:val="0"/>
                  <w:vAlign w:val="center"/>
                </w:tcPr>
                <w:p w14:paraId="7009F2C8">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喷涂废气设置水帘除尘+干式过滤等高效漆雾处理装置；喷漆、流平、烘干、清洗等工序含</w:t>
                  </w:r>
                  <w:r>
                    <w:rPr>
                      <w:rFonts w:hint="default" w:ascii="Times New Roman" w:hAnsi="Times New Roman" w:eastAsia="宋体" w:cs="Times New Roman"/>
                      <w:color w:val="auto"/>
                      <w:kern w:val="24"/>
                      <w:sz w:val="21"/>
                      <w:szCs w:val="21"/>
                      <w:highlight w:val="none"/>
                      <w:u w:val="none" w:color="auto"/>
                      <w:lang w:val="en-US" w:eastAsia="zh-CN" w:bidi="ar"/>
                    </w:rPr>
                    <w:t>VOCs</w:t>
                  </w:r>
                  <w:r>
                    <w:rPr>
                      <w:rFonts w:hint="eastAsia" w:ascii="Times New Roman" w:hAnsi="Times New Roman" w:eastAsia="宋体" w:cs="Times New Roman"/>
                      <w:color w:val="auto"/>
                      <w:kern w:val="24"/>
                      <w:sz w:val="21"/>
                      <w:szCs w:val="21"/>
                      <w:highlight w:val="none"/>
                      <w:u w:val="none" w:color="auto"/>
                      <w:lang w:val="en-US" w:eastAsia="zh-CN" w:bidi="ar"/>
                    </w:rPr>
                    <w:t>废气采用活性炭吸附</w:t>
                  </w:r>
                  <w:r>
                    <w:rPr>
                      <w:rFonts w:hint="default" w:ascii="Times New Roman" w:hAnsi="Times New Roman" w:eastAsia="宋体" w:cs="Times New Roman"/>
                      <w:color w:val="auto"/>
                      <w:kern w:val="24"/>
                      <w:sz w:val="21"/>
                      <w:szCs w:val="21"/>
                      <w:highlight w:val="none"/>
                      <w:u w:val="none" w:color="auto"/>
                      <w:lang w:val="en-US" w:eastAsia="zh-CN" w:bidi="ar"/>
                    </w:rPr>
                    <w:t>+</w:t>
                  </w:r>
                  <w:r>
                    <w:rPr>
                      <w:rFonts w:hint="eastAsia" w:ascii="Times New Roman" w:hAnsi="Times New Roman" w:eastAsia="宋体" w:cs="Times New Roman"/>
                      <w:color w:val="auto"/>
                      <w:kern w:val="24"/>
                      <w:sz w:val="21"/>
                      <w:szCs w:val="21"/>
                      <w:highlight w:val="none"/>
                      <w:u w:val="none" w:color="auto"/>
                      <w:lang w:val="en-US" w:eastAsia="zh-CN" w:bidi="ar"/>
                    </w:rPr>
                    <w:t>催化燃烧等治理技术，处理效率为90</w:t>
                  </w:r>
                  <w:r>
                    <w:rPr>
                      <w:rFonts w:hint="default" w:ascii="Times New Roman" w:hAnsi="Times New Roman" w:eastAsia="宋体" w:cs="Times New Roman"/>
                      <w:color w:val="auto"/>
                      <w:kern w:val="24"/>
                      <w:sz w:val="21"/>
                      <w:szCs w:val="21"/>
                      <w:highlight w:val="none"/>
                      <w:u w:val="none" w:color="auto"/>
                      <w:lang w:val="en-US" w:eastAsia="zh-CN" w:bidi="ar"/>
                    </w:rPr>
                    <w:t>%</w:t>
                  </w:r>
                </w:p>
              </w:tc>
              <w:tc>
                <w:tcPr>
                  <w:tcW w:w="584" w:type="pct"/>
                  <w:noWrap w:val="0"/>
                  <w:vAlign w:val="center"/>
                </w:tcPr>
                <w:p w14:paraId="57B203BB">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相符</w:t>
                  </w:r>
                </w:p>
              </w:tc>
            </w:tr>
            <w:tr w14:paraId="2EF229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4" w:hRule="atLeast"/>
                <w:tblHeader/>
              </w:trPr>
              <w:tc>
                <w:tcPr>
                  <w:tcW w:w="580" w:type="pct"/>
                  <w:noWrap w:val="0"/>
                  <w:vAlign w:val="center"/>
                </w:tcPr>
                <w:p w14:paraId="4BC6F446">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排放限值</w:t>
                  </w:r>
                </w:p>
              </w:tc>
              <w:tc>
                <w:tcPr>
                  <w:tcW w:w="2177" w:type="pct"/>
                  <w:noWrap w:val="0"/>
                  <w:vAlign w:val="center"/>
                </w:tcPr>
                <w:p w14:paraId="746827BB">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1</w:t>
                  </w:r>
                  <w:r>
                    <w:rPr>
                      <w:rFonts w:hint="eastAsia" w:ascii="Times New Roman" w:hAnsi="Times New Roman" w:eastAsia="宋体" w:cs="Times New Roman"/>
                      <w:color w:val="auto"/>
                      <w:kern w:val="24"/>
                      <w:sz w:val="21"/>
                      <w:szCs w:val="21"/>
                      <w:highlight w:val="none"/>
                      <w:u w:val="none" w:color="auto"/>
                      <w:lang w:val="en-US" w:eastAsia="zh-CN" w:bidi="ar"/>
                    </w:rPr>
                    <w:t>、在连续一年的监测数据中，车间或生产设施排气筒排放的</w:t>
                  </w:r>
                  <w:r>
                    <w:rPr>
                      <w:rFonts w:hint="default" w:ascii="Times New Roman" w:hAnsi="Times New Roman" w:eastAsia="宋体" w:cs="Times New Roman"/>
                      <w:color w:val="auto"/>
                      <w:kern w:val="24"/>
                      <w:sz w:val="21"/>
                      <w:szCs w:val="21"/>
                      <w:highlight w:val="none"/>
                      <w:u w:val="none" w:color="auto"/>
                      <w:lang w:val="en-US" w:eastAsia="zh-CN" w:bidi="ar"/>
                    </w:rPr>
                    <w:t>NMHC</w:t>
                  </w:r>
                  <w:r>
                    <w:rPr>
                      <w:rFonts w:hint="eastAsia" w:ascii="Times New Roman" w:hAnsi="Times New Roman" w:eastAsia="宋体" w:cs="Times New Roman"/>
                      <w:color w:val="auto"/>
                      <w:kern w:val="24"/>
                      <w:sz w:val="21"/>
                      <w:szCs w:val="21"/>
                      <w:highlight w:val="none"/>
                      <w:u w:val="none" w:color="auto"/>
                      <w:lang w:val="en-US" w:eastAsia="zh-CN" w:bidi="ar"/>
                    </w:rPr>
                    <w:t>为</w:t>
                  </w:r>
                  <w:r>
                    <w:rPr>
                      <w:rFonts w:hint="default" w:ascii="Times New Roman" w:hAnsi="Times New Roman" w:eastAsia="宋体" w:cs="Times New Roman"/>
                      <w:color w:val="auto"/>
                      <w:kern w:val="24"/>
                      <w:sz w:val="21"/>
                      <w:szCs w:val="21"/>
                      <w:highlight w:val="none"/>
                      <w:u w:val="none" w:color="auto"/>
                      <w:lang w:val="en-US" w:eastAsia="zh-CN" w:bidi="ar"/>
                    </w:rPr>
                    <w:t>30-40 mg/m</w:t>
                  </w:r>
                  <w:r>
                    <w:rPr>
                      <w:rFonts w:hint="default" w:ascii="Times New Roman" w:hAnsi="Times New Roman" w:eastAsia="宋体" w:cs="Times New Roman"/>
                      <w:color w:val="auto"/>
                      <w:kern w:val="24"/>
                      <w:sz w:val="21"/>
                      <w:szCs w:val="21"/>
                      <w:highlight w:val="none"/>
                      <w:u w:val="none" w:color="auto"/>
                      <w:vertAlign w:val="superscript"/>
                      <w:lang w:val="en-US" w:eastAsia="zh-CN" w:bidi="ar"/>
                    </w:rPr>
                    <w:t>3</w:t>
                  </w:r>
                  <w:r>
                    <w:rPr>
                      <w:rFonts w:hint="eastAsia" w:ascii="Times New Roman" w:hAnsi="Times New Roman" w:eastAsia="宋体" w:cs="Times New Roman"/>
                      <w:color w:val="auto"/>
                      <w:kern w:val="24"/>
                      <w:sz w:val="21"/>
                      <w:szCs w:val="21"/>
                      <w:highlight w:val="none"/>
                      <w:u w:val="none" w:color="auto"/>
                      <w:lang w:val="en-US" w:eastAsia="zh-CN" w:bidi="ar"/>
                    </w:rPr>
                    <w:t>、</w:t>
                  </w:r>
                  <w:r>
                    <w:rPr>
                      <w:rFonts w:hint="default" w:ascii="Times New Roman" w:hAnsi="Times New Roman" w:eastAsia="宋体" w:cs="Times New Roman"/>
                      <w:color w:val="auto"/>
                      <w:kern w:val="24"/>
                      <w:sz w:val="21"/>
                      <w:szCs w:val="21"/>
                      <w:highlight w:val="none"/>
                      <w:u w:val="none" w:color="auto"/>
                      <w:lang w:val="en-US" w:eastAsia="zh-CN" w:bidi="ar"/>
                    </w:rPr>
                    <w:t>TVOC</w:t>
                  </w:r>
                  <w:r>
                    <w:rPr>
                      <w:rFonts w:hint="eastAsia" w:ascii="Times New Roman" w:hAnsi="Times New Roman" w:eastAsia="宋体" w:cs="Times New Roman"/>
                      <w:color w:val="auto"/>
                      <w:kern w:val="24"/>
                      <w:sz w:val="21"/>
                      <w:szCs w:val="21"/>
                      <w:highlight w:val="none"/>
                      <w:u w:val="none" w:color="auto"/>
                      <w:lang w:val="en-US" w:eastAsia="zh-CN" w:bidi="ar"/>
                    </w:rPr>
                    <w:t>为</w:t>
                  </w:r>
                  <w:r>
                    <w:rPr>
                      <w:rFonts w:hint="default" w:ascii="Times New Roman" w:hAnsi="Times New Roman" w:eastAsia="宋体" w:cs="Times New Roman"/>
                      <w:color w:val="auto"/>
                      <w:kern w:val="24"/>
                      <w:sz w:val="21"/>
                      <w:szCs w:val="21"/>
                      <w:highlight w:val="none"/>
                      <w:u w:val="none" w:color="auto"/>
                      <w:lang w:val="en-US" w:eastAsia="zh-CN" w:bidi="ar"/>
                    </w:rPr>
                    <w:t>50-60 mg/m</w:t>
                  </w:r>
                  <w:r>
                    <w:rPr>
                      <w:rFonts w:hint="default" w:ascii="Times New Roman" w:hAnsi="Times New Roman" w:eastAsia="宋体" w:cs="Times New Roman"/>
                      <w:color w:val="auto"/>
                      <w:kern w:val="24"/>
                      <w:sz w:val="21"/>
                      <w:szCs w:val="21"/>
                      <w:highlight w:val="none"/>
                      <w:u w:val="none" w:color="auto"/>
                      <w:vertAlign w:val="superscript"/>
                      <w:lang w:val="en-US" w:eastAsia="zh-CN" w:bidi="ar"/>
                    </w:rPr>
                    <w:t>3</w:t>
                  </w:r>
                  <w:r>
                    <w:rPr>
                      <w:rFonts w:hint="eastAsia" w:ascii="Times New Roman" w:hAnsi="Times New Roman" w:eastAsia="宋体" w:cs="Times New Roman"/>
                      <w:color w:val="auto"/>
                      <w:kern w:val="24"/>
                      <w:sz w:val="21"/>
                      <w:szCs w:val="21"/>
                      <w:highlight w:val="none"/>
                      <w:u w:val="none" w:color="auto"/>
                      <w:lang w:val="en-US" w:eastAsia="zh-CN" w:bidi="ar"/>
                    </w:rPr>
                    <w:t>；</w:t>
                  </w:r>
                </w:p>
                <w:p w14:paraId="3B60EC0F">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2</w:t>
                  </w:r>
                  <w:r>
                    <w:rPr>
                      <w:rFonts w:hint="eastAsia" w:ascii="Times New Roman" w:hAnsi="Times New Roman" w:eastAsia="宋体" w:cs="Times New Roman"/>
                      <w:color w:val="auto"/>
                      <w:kern w:val="24"/>
                      <w:sz w:val="21"/>
                      <w:szCs w:val="21"/>
                      <w:highlight w:val="none"/>
                      <w:u w:val="none" w:color="auto"/>
                      <w:lang w:val="en-US" w:eastAsia="zh-CN" w:bidi="ar"/>
                    </w:rPr>
                    <w:t>、厂区内无组织排放监控点</w:t>
                  </w:r>
                  <w:r>
                    <w:rPr>
                      <w:rFonts w:hint="default" w:ascii="Times New Roman" w:hAnsi="Times New Roman" w:eastAsia="宋体" w:cs="Times New Roman"/>
                      <w:color w:val="auto"/>
                      <w:kern w:val="24"/>
                      <w:sz w:val="21"/>
                      <w:szCs w:val="21"/>
                      <w:highlight w:val="none"/>
                      <w:u w:val="none" w:color="auto"/>
                      <w:lang w:val="en-US" w:eastAsia="zh-CN" w:bidi="ar"/>
                    </w:rPr>
                    <w:t>NMHC</w:t>
                  </w:r>
                  <w:r>
                    <w:rPr>
                      <w:rFonts w:hint="eastAsia" w:ascii="Times New Roman" w:hAnsi="Times New Roman" w:eastAsia="宋体" w:cs="Times New Roman"/>
                      <w:color w:val="auto"/>
                      <w:kern w:val="24"/>
                      <w:sz w:val="21"/>
                      <w:szCs w:val="21"/>
                      <w:highlight w:val="none"/>
                      <w:u w:val="none" w:color="auto"/>
                      <w:lang w:val="en-US" w:eastAsia="zh-CN" w:bidi="ar"/>
                    </w:rPr>
                    <w:t>的小时平均浓度值不超过</w:t>
                  </w:r>
                  <w:r>
                    <w:rPr>
                      <w:rFonts w:hint="default" w:ascii="Times New Roman" w:hAnsi="Times New Roman" w:eastAsia="宋体" w:cs="Times New Roman"/>
                      <w:color w:val="auto"/>
                      <w:kern w:val="24"/>
                      <w:sz w:val="21"/>
                      <w:szCs w:val="21"/>
                      <w:highlight w:val="none"/>
                      <w:u w:val="none" w:color="auto"/>
                      <w:lang w:val="en-US" w:eastAsia="zh-CN" w:bidi="ar"/>
                    </w:rPr>
                    <w:t>6 mg/m</w:t>
                  </w:r>
                  <w:r>
                    <w:rPr>
                      <w:rFonts w:hint="default" w:ascii="Times New Roman" w:hAnsi="Times New Roman" w:eastAsia="宋体" w:cs="Times New Roman"/>
                      <w:color w:val="auto"/>
                      <w:kern w:val="24"/>
                      <w:sz w:val="21"/>
                      <w:szCs w:val="21"/>
                      <w:highlight w:val="none"/>
                      <w:u w:val="none" w:color="auto"/>
                      <w:vertAlign w:val="superscript"/>
                      <w:lang w:val="en-US" w:eastAsia="zh-CN" w:bidi="ar"/>
                    </w:rPr>
                    <w:t>3</w:t>
                  </w:r>
                  <w:r>
                    <w:rPr>
                      <w:rFonts w:hint="eastAsia" w:ascii="Times New Roman" w:hAnsi="Times New Roman" w:eastAsia="宋体" w:cs="Times New Roman"/>
                      <w:color w:val="auto"/>
                      <w:kern w:val="24"/>
                      <w:sz w:val="21"/>
                      <w:szCs w:val="21"/>
                      <w:highlight w:val="none"/>
                      <w:u w:val="none" w:color="auto"/>
                      <w:lang w:val="en-US" w:eastAsia="zh-CN" w:bidi="ar"/>
                    </w:rPr>
                    <w:t>、任意一次浓度值不超过</w:t>
                  </w:r>
                  <w:r>
                    <w:rPr>
                      <w:rFonts w:hint="default" w:ascii="Times New Roman" w:hAnsi="Times New Roman" w:eastAsia="宋体" w:cs="Times New Roman"/>
                      <w:color w:val="auto"/>
                      <w:kern w:val="24"/>
                      <w:sz w:val="21"/>
                      <w:szCs w:val="21"/>
                      <w:highlight w:val="none"/>
                      <w:u w:val="none" w:color="auto"/>
                      <w:lang w:val="en-US" w:eastAsia="zh-CN" w:bidi="ar"/>
                    </w:rPr>
                    <w:t>20 mg/m</w:t>
                  </w:r>
                  <w:r>
                    <w:rPr>
                      <w:rFonts w:hint="default" w:ascii="Times New Roman" w:hAnsi="Times New Roman" w:eastAsia="宋体" w:cs="Times New Roman"/>
                      <w:color w:val="auto"/>
                      <w:kern w:val="24"/>
                      <w:sz w:val="21"/>
                      <w:szCs w:val="21"/>
                      <w:highlight w:val="none"/>
                      <w:u w:val="none" w:color="auto"/>
                      <w:vertAlign w:val="superscript"/>
                      <w:lang w:val="en-US" w:eastAsia="zh-CN" w:bidi="ar"/>
                    </w:rPr>
                    <w:t>3</w:t>
                  </w:r>
                  <w:r>
                    <w:rPr>
                      <w:rFonts w:hint="eastAsia" w:ascii="Times New Roman" w:hAnsi="Times New Roman" w:eastAsia="宋体" w:cs="Times New Roman"/>
                      <w:color w:val="auto"/>
                      <w:kern w:val="24"/>
                      <w:sz w:val="21"/>
                      <w:szCs w:val="21"/>
                      <w:highlight w:val="none"/>
                      <w:u w:val="none" w:color="auto"/>
                      <w:lang w:val="en-US" w:eastAsia="zh-CN" w:bidi="ar"/>
                    </w:rPr>
                    <w:t>；</w:t>
                  </w:r>
                </w:p>
                <w:p w14:paraId="2117D1F6">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3</w:t>
                  </w:r>
                  <w:r>
                    <w:rPr>
                      <w:rFonts w:hint="eastAsia" w:ascii="Times New Roman" w:hAnsi="Times New Roman" w:eastAsia="宋体" w:cs="Times New Roman"/>
                      <w:color w:val="auto"/>
                      <w:kern w:val="24"/>
                      <w:sz w:val="21"/>
                      <w:szCs w:val="21"/>
                      <w:highlight w:val="none"/>
                      <w:u w:val="none" w:color="auto"/>
                      <w:lang w:val="en-US" w:eastAsia="zh-CN" w:bidi="ar"/>
                    </w:rPr>
                    <w:t>、其他各项污染物稳定达到现行排放控制要求，并从严地方要求</w:t>
                  </w:r>
                </w:p>
              </w:tc>
              <w:tc>
                <w:tcPr>
                  <w:tcW w:w="1656" w:type="pct"/>
                  <w:noWrap w:val="0"/>
                  <w:vAlign w:val="center"/>
                </w:tcPr>
                <w:p w14:paraId="4DFC40D2">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按照要求执行</w:t>
                  </w:r>
                </w:p>
              </w:tc>
              <w:tc>
                <w:tcPr>
                  <w:tcW w:w="584" w:type="pct"/>
                  <w:noWrap w:val="0"/>
                  <w:vAlign w:val="center"/>
                </w:tcPr>
                <w:p w14:paraId="7108A141">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相符</w:t>
                  </w:r>
                </w:p>
              </w:tc>
            </w:tr>
            <w:tr w14:paraId="589F54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08" w:hRule="atLeast"/>
                <w:tblHeader/>
              </w:trPr>
              <w:tc>
                <w:tcPr>
                  <w:tcW w:w="580" w:type="pct"/>
                  <w:noWrap w:val="0"/>
                  <w:vAlign w:val="center"/>
                </w:tcPr>
                <w:p w14:paraId="3F6CF29F">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监测监控</w:t>
                  </w:r>
                </w:p>
                <w:p w14:paraId="60D6FA3F">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水平</w:t>
                  </w:r>
                </w:p>
              </w:tc>
              <w:tc>
                <w:tcPr>
                  <w:tcW w:w="2177" w:type="pct"/>
                  <w:noWrap w:val="0"/>
                  <w:vAlign w:val="center"/>
                </w:tcPr>
                <w:p w14:paraId="77A3FD17">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1</w:t>
                  </w:r>
                  <w:r>
                    <w:rPr>
                      <w:rFonts w:hint="eastAsia" w:ascii="Times New Roman" w:hAnsi="Times New Roman" w:eastAsia="宋体" w:cs="Times New Roman"/>
                      <w:color w:val="auto"/>
                      <w:kern w:val="24"/>
                      <w:sz w:val="21"/>
                      <w:szCs w:val="21"/>
                      <w:highlight w:val="none"/>
                      <w:u w:val="none" w:color="auto"/>
                      <w:lang w:val="en-US" w:eastAsia="zh-CN" w:bidi="ar"/>
                    </w:rPr>
                    <w:t>、严格执行《排污许可证申请与核发技术规范</w:t>
                  </w:r>
                  <w:r>
                    <w:rPr>
                      <w:rFonts w:hint="default" w:ascii="Times New Roman" w:hAnsi="Times New Roman" w:eastAsia="宋体" w:cs="Times New Roman"/>
                      <w:color w:val="auto"/>
                      <w:kern w:val="24"/>
                      <w:sz w:val="21"/>
                      <w:szCs w:val="21"/>
                      <w:highlight w:val="none"/>
                      <w:u w:val="none" w:color="auto"/>
                      <w:lang w:val="en-US" w:eastAsia="zh-CN" w:bidi="ar"/>
                    </w:rPr>
                    <w:t xml:space="preserve"> </w:t>
                  </w:r>
                  <w:r>
                    <w:rPr>
                      <w:rFonts w:hint="eastAsia" w:ascii="Times New Roman" w:hAnsi="Times New Roman" w:eastAsia="宋体" w:cs="Times New Roman"/>
                      <w:color w:val="auto"/>
                      <w:kern w:val="24"/>
                      <w:sz w:val="21"/>
                      <w:szCs w:val="21"/>
                      <w:highlight w:val="none"/>
                      <w:u w:val="none" w:color="auto"/>
                      <w:lang w:val="en-US" w:eastAsia="zh-CN" w:bidi="ar"/>
                    </w:rPr>
                    <w:t>总则》（</w:t>
                  </w:r>
                  <w:r>
                    <w:rPr>
                      <w:rFonts w:hint="default" w:ascii="Times New Roman" w:hAnsi="Times New Roman" w:eastAsia="宋体" w:cs="Times New Roman"/>
                      <w:color w:val="auto"/>
                      <w:kern w:val="24"/>
                      <w:sz w:val="21"/>
                      <w:szCs w:val="21"/>
                      <w:highlight w:val="none"/>
                      <w:u w:val="none" w:color="auto"/>
                      <w:lang w:val="en-US" w:eastAsia="zh-CN" w:bidi="ar"/>
                    </w:rPr>
                    <w:t>HJ 942</w:t>
                  </w:r>
                  <w:r>
                    <w:rPr>
                      <w:rFonts w:hint="eastAsia" w:ascii="Times New Roman" w:hAnsi="Times New Roman" w:eastAsia="宋体" w:cs="Times New Roman"/>
                      <w:color w:val="auto"/>
                      <w:kern w:val="24"/>
                      <w:sz w:val="21"/>
                      <w:szCs w:val="21"/>
                      <w:highlight w:val="none"/>
                      <w:u w:val="none" w:color="auto"/>
                      <w:lang w:val="en-US" w:eastAsia="zh-CN" w:bidi="ar"/>
                    </w:rPr>
                    <w:t>－</w:t>
                  </w:r>
                  <w:r>
                    <w:rPr>
                      <w:rFonts w:hint="default" w:ascii="Times New Roman" w:hAnsi="Times New Roman" w:eastAsia="宋体" w:cs="Times New Roman"/>
                      <w:color w:val="auto"/>
                      <w:kern w:val="24"/>
                      <w:sz w:val="21"/>
                      <w:szCs w:val="21"/>
                      <w:highlight w:val="none"/>
                      <w:u w:val="none" w:color="auto"/>
                      <w:lang w:val="en-US" w:eastAsia="zh-CN" w:bidi="ar"/>
                    </w:rPr>
                    <w:t>2018</w:t>
                  </w:r>
                  <w:r>
                    <w:rPr>
                      <w:rFonts w:hint="eastAsia" w:ascii="Times New Roman" w:hAnsi="Times New Roman" w:eastAsia="宋体" w:cs="Times New Roman"/>
                      <w:color w:val="auto"/>
                      <w:kern w:val="24"/>
                      <w:sz w:val="21"/>
                      <w:szCs w:val="21"/>
                      <w:highlight w:val="none"/>
                      <w:u w:val="none" w:color="auto"/>
                      <w:lang w:val="en-US" w:eastAsia="zh-CN" w:bidi="ar"/>
                    </w:rPr>
                    <w:t>）以及相关行业排污许可证申请与核发技术规范规定的自行监测管理要求；</w:t>
                  </w:r>
                </w:p>
                <w:p w14:paraId="60A2F50F">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2</w:t>
                  </w:r>
                  <w:r>
                    <w:rPr>
                      <w:rFonts w:hint="eastAsia" w:ascii="Times New Roman" w:hAnsi="Times New Roman" w:eastAsia="宋体" w:cs="Times New Roman"/>
                      <w:color w:val="auto"/>
                      <w:kern w:val="24"/>
                      <w:sz w:val="21"/>
                      <w:szCs w:val="21"/>
                      <w:highlight w:val="none"/>
                      <w:u w:val="none" w:color="auto"/>
                      <w:lang w:val="en-US" w:eastAsia="zh-CN" w:bidi="ar"/>
                    </w:rPr>
                    <w:t>、重点排污企业风量大于</w:t>
                  </w:r>
                  <w:r>
                    <w:rPr>
                      <w:rFonts w:hint="default" w:ascii="Times New Roman" w:hAnsi="Times New Roman" w:eastAsia="宋体" w:cs="Times New Roman"/>
                      <w:color w:val="auto"/>
                      <w:kern w:val="24"/>
                      <w:sz w:val="21"/>
                      <w:szCs w:val="21"/>
                      <w:highlight w:val="none"/>
                      <w:u w:val="none" w:color="auto"/>
                      <w:lang w:val="en-US" w:eastAsia="zh-CN" w:bidi="ar"/>
                    </w:rPr>
                    <w:t>10000 m3/h</w:t>
                  </w:r>
                  <w:r>
                    <w:rPr>
                      <w:rFonts w:hint="eastAsia" w:ascii="Times New Roman" w:hAnsi="Times New Roman" w:eastAsia="宋体" w:cs="Times New Roman"/>
                      <w:color w:val="auto"/>
                      <w:kern w:val="24"/>
                      <w:sz w:val="21"/>
                      <w:szCs w:val="21"/>
                      <w:highlight w:val="none"/>
                      <w:u w:val="none" w:color="auto"/>
                      <w:lang w:val="en-US" w:eastAsia="zh-CN" w:bidi="ar"/>
                    </w:rPr>
                    <w:t>的主要排放口，有机废气排放口安装</w:t>
                  </w:r>
                  <w:r>
                    <w:rPr>
                      <w:rFonts w:hint="default" w:ascii="Times New Roman" w:hAnsi="Times New Roman" w:eastAsia="宋体" w:cs="Times New Roman"/>
                      <w:color w:val="auto"/>
                      <w:kern w:val="24"/>
                      <w:sz w:val="21"/>
                      <w:szCs w:val="21"/>
                      <w:highlight w:val="none"/>
                      <w:u w:val="none" w:color="auto"/>
                      <w:lang w:val="en-US" w:eastAsia="zh-CN" w:bidi="ar"/>
                    </w:rPr>
                    <w:t>NMHC</w:t>
                  </w:r>
                  <w:r>
                    <w:rPr>
                      <w:rFonts w:hint="eastAsia" w:ascii="Times New Roman" w:hAnsi="Times New Roman" w:eastAsia="宋体" w:cs="Times New Roman"/>
                      <w:color w:val="auto"/>
                      <w:kern w:val="24"/>
                      <w:sz w:val="21"/>
                      <w:szCs w:val="21"/>
                      <w:highlight w:val="none"/>
                      <w:u w:val="none" w:color="auto"/>
                      <w:lang w:val="en-US" w:eastAsia="zh-CN" w:bidi="ar"/>
                    </w:rPr>
                    <w:t>在线监测设施（</w:t>
                  </w:r>
                  <w:r>
                    <w:rPr>
                      <w:rFonts w:hint="default" w:ascii="Times New Roman" w:hAnsi="Times New Roman" w:eastAsia="宋体" w:cs="Times New Roman"/>
                      <w:color w:val="auto"/>
                      <w:kern w:val="24"/>
                      <w:sz w:val="21"/>
                      <w:szCs w:val="21"/>
                      <w:highlight w:val="none"/>
                      <w:u w:val="none" w:color="auto"/>
                      <w:lang w:val="en-US" w:eastAsia="zh-CN" w:bidi="ar"/>
                    </w:rPr>
                    <w:t>FID</w:t>
                  </w:r>
                  <w:r>
                    <w:rPr>
                      <w:rFonts w:hint="eastAsia" w:ascii="Times New Roman" w:hAnsi="Times New Roman" w:eastAsia="宋体" w:cs="Times New Roman"/>
                      <w:color w:val="auto"/>
                      <w:kern w:val="24"/>
                      <w:sz w:val="21"/>
                      <w:szCs w:val="21"/>
                      <w:highlight w:val="none"/>
                      <w:u w:val="none" w:color="auto"/>
                      <w:lang w:val="en-US" w:eastAsia="zh-CN" w:bidi="ar"/>
                    </w:rPr>
                    <w:t>检测器），自动监控数据保存一年以上；</w:t>
                  </w:r>
                </w:p>
                <w:p w14:paraId="3661A9A3">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3</w:t>
                  </w:r>
                  <w:r>
                    <w:rPr>
                      <w:rFonts w:hint="eastAsia" w:ascii="Times New Roman" w:hAnsi="Times New Roman" w:eastAsia="宋体" w:cs="Times New Roman"/>
                      <w:color w:val="auto"/>
                      <w:kern w:val="24"/>
                      <w:sz w:val="21"/>
                      <w:szCs w:val="21"/>
                      <w:highlight w:val="none"/>
                      <w:u w:val="none" w:color="auto"/>
                      <w:lang w:val="en-US" w:eastAsia="zh-CN" w:bidi="ar"/>
                    </w:rPr>
                    <w:t>、安装</w:t>
                  </w:r>
                  <w:r>
                    <w:rPr>
                      <w:rFonts w:hint="default" w:ascii="Times New Roman" w:hAnsi="Times New Roman" w:eastAsia="宋体" w:cs="Times New Roman"/>
                      <w:color w:val="auto"/>
                      <w:kern w:val="24"/>
                      <w:sz w:val="21"/>
                      <w:szCs w:val="21"/>
                      <w:highlight w:val="none"/>
                      <w:u w:val="none" w:color="auto"/>
                      <w:lang w:val="en-US" w:eastAsia="zh-CN" w:bidi="ar"/>
                    </w:rPr>
                    <w:t>DCS</w:t>
                  </w:r>
                  <w:r>
                    <w:rPr>
                      <w:rFonts w:hint="eastAsia" w:ascii="Times New Roman" w:hAnsi="Times New Roman" w:eastAsia="宋体" w:cs="Times New Roman"/>
                      <w:color w:val="auto"/>
                      <w:kern w:val="24"/>
                      <w:sz w:val="21"/>
                      <w:szCs w:val="21"/>
                      <w:highlight w:val="none"/>
                      <w:u w:val="none" w:color="auto"/>
                      <w:lang w:val="en-US" w:eastAsia="zh-CN" w:bidi="ar"/>
                    </w:rPr>
                    <w:t>系统、</w:t>
                  </w:r>
                  <w:r>
                    <w:rPr>
                      <w:rFonts w:hint="default" w:ascii="Times New Roman" w:hAnsi="Times New Roman" w:eastAsia="宋体" w:cs="Times New Roman"/>
                      <w:color w:val="auto"/>
                      <w:kern w:val="24"/>
                      <w:sz w:val="21"/>
                      <w:szCs w:val="21"/>
                      <w:highlight w:val="none"/>
                      <w:u w:val="none" w:color="auto"/>
                      <w:lang w:val="en-US" w:eastAsia="zh-CN" w:bidi="ar"/>
                    </w:rPr>
                    <w:t>PLC</w:t>
                  </w:r>
                  <w:r>
                    <w:rPr>
                      <w:rFonts w:hint="eastAsia" w:ascii="Times New Roman" w:hAnsi="Times New Roman" w:eastAsia="宋体" w:cs="Times New Roman"/>
                      <w:color w:val="auto"/>
                      <w:kern w:val="24"/>
                      <w:sz w:val="21"/>
                      <w:szCs w:val="21"/>
                      <w:highlight w:val="none"/>
                      <w:u w:val="none" w:color="auto"/>
                      <w:lang w:val="en-US" w:eastAsia="zh-CN" w:bidi="ar"/>
                    </w:rPr>
                    <w:t>系统、仪器仪表等装置，记录治理设施主要参数，数据保存一年以上</w:t>
                  </w:r>
                </w:p>
              </w:tc>
              <w:tc>
                <w:tcPr>
                  <w:tcW w:w="1656" w:type="pct"/>
                  <w:noWrap w:val="0"/>
                  <w:vAlign w:val="center"/>
                </w:tcPr>
                <w:p w14:paraId="595E3651">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按要求执行自行监测要求；排放口、控制系统依据当地环保实际要求安装监测设施并做好档案保存工作</w:t>
                  </w:r>
                </w:p>
              </w:tc>
              <w:tc>
                <w:tcPr>
                  <w:tcW w:w="584" w:type="pct"/>
                  <w:noWrap w:val="0"/>
                  <w:vAlign w:val="center"/>
                </w:tcPr>
                <w:p w14:paraId="3E60665F">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相符</w:t>
                  </w:r>
                </w:p>
              </w:tc>
            </w:tr>
            <w:tr w14:paraId="497CD0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84" w:hRule="atLeast"/>
                <w:tblHeader/>
              </w:trPr>
              <w:tc>
                <w:tcPr>
                  <w:tcW w:w="580" w:type="pct"/>
                  <w:vMerge w:val="restart"/>
                  <w:noWrap w:val="0"/>
                  <w:vAlign w:val="center"/>
                </w:tcPr>
                <w:p w14:paraId="4C14CD47">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环境管理</w:t>
                  </w:r>
                </w:p>
                <w:p w14:paraId="1FD94153">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水平</w:t>
                  </w:r>
                </w:p>
              </w:tc>
              <w:tc>
                <w:tcPr>
                  <w:tcW w:w="2177" w:type="pct"/>
                  <w:noWrap w:val="0"/>
                  <w:vAlign w:val="center"/>
                </w:tcPr>
                <w:p w14:paraId="70785229">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环保档案齐全：</w:t>
                  </w:r>
                  <w:r>
                    <w:rPr>
                      <w:rFonts w:hint="default" w:ascii="Times New Roman" w:hAnsi="Times New Roman" w:eastAsia="宋体" w:cs="Times New Roman"/>
                      <w:color w:val="auto"/>
                      <w:kern w:val="24"/>
                      <w:sz w:val="21"/>
                      <w:szCs w:val="21"/>
                      <w:highlight w:val="none"/>
                      <w:u w:val="none" w:color="auto"/>
                      <w:lang w:val="en-US" w:eastAsia="zh-CN" w:bidi="ar"/>
                    </w:rPr>
                    <w:t>1</w:t>
                  </w:r>
                  <w:r>
                    <w:rPr>
                      <w:rFonts w:hint="eastAsia" w:ascii="Times New Roman" w:hAnsi="Times New Roman" w:eastAsia="宋体" w:cs="Times New Roman"/>
                      <w:color w:val="auto"/>
                      <w:kern w:val="24"/>
                      <w:sz w:val="21"/>
                      <w:szCs w:val="21"/>
                      <w:highlight w:val="none"/>
                      <w:u w:val="none" w:color="auto"/>
                      <w:lang w:val="en-US" w:eastAsia="zh-CN" w:bidi="ar"/>
                    </w:rPr>
                    <w:t>、环评批复文件；</w:t>
                  </w:r>
                  <w:r>
                    <w:rPr>
                      <w:rFonts w:hint="default" w:ascii="Times New Roman" w:hAnsi="Times New Roman" w:eastAsia="宋体" w:cs="Times New Roman"/>
                      <w:color w:val="auto"/>
                      <w:kern w:val="24"/>
                      <w:sz w:val="21"/>
                      <w:szCs w:val="21"/>
                      <w:highlight w:val="none"/>
                      <w:u w:val="none" w:color="auto"/>
                      <w:lang w:val="en-US" w:eastAsia="zh-CN" w:bidi="ar"/>
                    </w:rPr>
                    <w:t>2</w:t>
                  </w:r>
                  <w:r>
                    <w:rPr>
                      <w:rFonts w:hint="eastAsia" w:ascii="Times New Roman" w:hAnsi="Times New Roman" w:eastAsia="宋体" w:cs="Times New Roman"/>
                      <w:color w:val="auto"/>
                      <w:kern w:val="24"/>
                      <w:sz w:val="21"/>
                      <w:szCs w:val="21"/>
                      <w:highlight w:val="none"/>
                      <w:u w:val="none" w:color="auto"/>
                      <w:lang w:val="en-US" w:eastAsia="zh-CN" w:bidi="ar"/>
                    </w:rPr>
                    <w:t>、排污许可证及季度、年度执行报告；</w:t>
                  </w:r>
                  <w:r>
                    <w:rPr>
                      <w:rFonts w:hint="default" w:ascii="Times New Roman" w:hAnsi="Times New Roman" w:eastAsia="宋体" w:cs="Times New Roman"/>
                      <w:color w:val="auto"/>
                      <w:kern w:val="24"/>
                      <w:sz w:val="21"/>
                      <w:szCs w:val="21"/>
                      <w:highlight w:val="none"/>
                      <w:u w:val="none" w:color="auto"/>
                      <w:lang w:val="en-US" w:eastAsia="zh-CN" w:bidi="ar"/>
                    </w:rPr>
                    <w:t>3</w:t>
                  </w:r>
                  <w:r>
                    <w:rPr>
                      <w:rFonts w:hint="eastAsia" w:ascii="Times New Roman" w:hAnsi="Times New Roman" w:eastAsia="宋体" w:cs="Times New Roman"/>
                      <w:color w:val="auto"/>
                      <w:kern w:val="24"/>
                      <w:sz w:val="21"/>
                      <w:szCs w:val="21"/>
                      <w:highlight w:val="none"/>
                      <w:u w:val="none" w:color="auto"/>
                      <w:lang w:val="en-US" w:eastAsia="zh-CN" w:bidi="ar"/>
                    </w:rPr>
                    <w:t>、竣工验收文件；</w:t>
                  </w:r>
                  <w:r>
                    <w:rPr>
                      <w:rFonts w:hint="default" w:ascii="Times New Roman" w:hAnsi="Times New Roman" w:eastAsia="宋体" w:cs="Times New Roman"/>
                      <w:color w:val="auto"/>
                      <w:kern w:val="24"/>
                      <w:sz w:val="21"/>
                      <w:szCs w:val="21"/>
                      <w:highlight w:val="none"/>
                      <w:u w:val="none" w:color="auto"/>
                      <w:lang w:val="en-US" w:eastAsia="zh-CN" w:bidi="ar"/>
                    </w:rPr>
                    <w:t>4</w:t>
                  </w:r>
                  <w:r>
                    <w:rPr>
                      <w:rFonts w:hint="eastAsia" w:ascii="Times New Roman" w:hAnsi="Times New Roman" w:eastAsia="宋体" w:cs="Times New Roman"/>
                      <w:color w:val="auto"/>
                      <w:kern w:val="24"/>
                      <w:sz w:val="21"/>
                      <w:szCs w:val="21"/>
                      <w:highlight w:val="none"/>
                      <w:u w:val="none" w:color="auto"/>
                      <w:lang w:val="en-US" w:eastAsia="zh-CN" w:bidi="ar"/>
                    </w:rPr>
                    <w:t>、废气治理设施运行管理规程；</w:t>
                  </w:r>
                  <w:r>
                    <w:rPr>
                      <w:rFonts w:hint="default" w:ascii="Times New Roman" w:hAnsi="Times New Roman" w:eastAsia="宋体" w:cs="Times New Roman"/>
                      <w:color w:val="auto"/>
                      <w:kern w:val="24"/>
                      <w:sz w:val="21"/>
                      <w:szCs w:val="21"/>
                      <w:highlight w:val="none"/>
                      <w:u w:val="none" w:color="auto"/>
                      <w:lang w:val="en-US" w:eastAsia="zh-CN" w:bidi="ar"/>
                    </w:rPr>
                    <w:t>5</w:t>
                  </w:r>
                  <w:r>
                    <w:rPr>
                      <w:rFonts w:hint="eastAsia" w:ascii="Times New Roman" w:hAnsi="Times New Roman" w:eastAsia="宋体" w:cs="Times New Roman"/>
                      <w:color w:val="auto"/>
                      <w:kern w:val="24"/>
                      <w:sz w:val="21"/>
                      <w:szCs w:val="21"/>
                      <w:highlight w:val="none"/>
                      <w:u w:val="none" w:color="auto"/>
                      <w:lang w:val="en-US" w:eastAsia="zh-CN" w:bidi="ar"/>
                    </w:rPr>
                    <w:t>、一年内废气监测报告</w:t>
                  </w:r>
                </w:p>
              </w:tc>
              <w:tc>
                <w:tcPr>
                  <w:tcW w:w="1656" w:type="pct"/>
                  <w:noWrap w:val="0"/>
                  <w:vAlign w:val="center"/>
                </w:tcPr>
                <w:p w14:paraId="66770F92">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项目建成后，按要求保证环保档案齐全</w:t>
                  </w:r>
                </w:p>
              </w:tc>
              <w:tc>
                <w:tcPr>
                  <w:tcW w:w="584" w:type="pct"/>
                  <w:noWrap w:val="0"/>
                  <w:vAlign w:val="center"/>
                </w:tcPr>
                <w:p w14:paraId="05EF1DD2">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相符</w:t>
                  </w:r>
                </w:p>
              </w:tc>
            </w:tr>
            <w:tr w14:paraId="7BE20A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4" w:hRule="atLeast"/>
                <w:tblHeader/>
              </w:trPr>
              <w:tc>
                <w:tcPr>
                  <w:tcW w:w="580" w:type="pct"/>
                  <w:vMerge w:val="continue"/>
                  <w:noWrap w:val="0"/>
                  <w:vAlign w:val="center"/>
                </w:tcPr>
                <w:p w14:paraId="1E11C70D">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p>
              </w:tc>
              <w:tc>
                <w:tcPr>
                  <w:tcW w:w="2177" w:type="pct"/>
                  <w:noWrap w:val="0"/>
                  <w:vAlign w:val="center"/>
                </w:tcPr>
                <w:p w14:paraId="3B862441">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台账记录：</w:t>
                  </w:r>
                  <w:r>
                    <w:rPr>
                      <w:rFonts w:hint="default" w:ascii="Times New Roman" w:hAnsi="Times New Roman" w:eastAsia="宋体" w:cs="Times New Roman"/>
                      <w:color w:val="auto"/>
                      <w:kern w:val="24"/>
                      <w:sz w:val="21"/>
                      <w:szCs w:val="21"/>
                      <w:highlight w:val="none"/>
                      <w:u w:val="none" w:color="auto"/>
                      <w:lang w:val="en-US" w:eastAsia="zh-CN" w:bidi="ar"/>
                    </w:rPr>
                    <w:t>1</w:t>
                  </w:r>
                  <w:r>
                    <w:rPr>
                      <w:rFonts w:hint="eastAsia" w:ascii="Times New Roman" w:hAnsi="Times New Roman" w:eastAsia="宋体" w:cs="Times New Roman"/>
                      <w:color w:val="auto"/>
                      <w:kern w:val="24"/>
                      <w:sz w:val="21"/>
                      <w:szCs w:val="21"/>
                      <w:highlight w:val="none"/>
                      <w:u w:val="none" w:color="auto"/>
                      <w:lang w:val="en-US" w:eastAsia="zh-CN" w:bidi="ar"/>
                    </w:rPr>
                    <w:t>、生产设施运行管理信息（生产时间、运行负荷、产品产量等，必须具备近一年及以上所用涂料的密度、扣水后</w:t>
                  </w:r>
                  <w:r>
                    <w:rPr>
                      <w:rFonts w:hint="default" w:ascii="Times New Roman" w:hAnsi="Times New Roman" w:eastAsia="宋体" w:cs="Times New Roman"/>
                      <w:color w:val="auto"/>
                      <w:kern w:val="24"/>
                      <w:sz w:val="21"/>
                      <w:szCs w:val="21"/>
                      <w:highlight w:val="none"/>
                      <w:u w:val="none" w:color="auto"/>
                      <w:lang w:val="en-US" w:eastAsia="zh-CN" w:bidi="ar"/>
                    </w:rPr>
                    <w:t>VOCs</w:t>
                  </w:r>
                  <w:r>
                    <w:rPr>
                      <w:rFonts w:hint="eastAsia" w:ascii="Times New Roman" w:hAnsi="Times New Roman" w:eastAsia="宋体" w:cs="Times New Roman"/>
                      <w:color w:val="auto"/>
                      <w:kern w:val="24"/>
                      <w:sz w:val="21"/>
                      <w:szCs w:val="21"/>
                      <w:highlight w:val="none"/>
                      <w:u w:val="none" w:color="auto"/>
                      <w:lang w:val="en-US" w:eastAsia="zh-CN" w:bidi="ar"/>
                    </w:rPr>
                    <w:t>含量、含水率（水性涂料）等信息的检测报告）；</w:t>
                  </w:r>
                  <w:r>
                    <w:rPr>
                      <w:rFonts w:hint="default" w:ascii="Times New Roman" w:hAnsi="Times New Roman" w:eastAsia="宋体" w:cs="Times New Roman"/>
                      <w:color w:val="auto"/>
                      <w:kern w:val="24"/>
                      <w:sz w:val="21"/>
                      <w:szCs w:val="21"/>
                      <w:highlight w:val="none"/>
                      <w:u w:val="none" w:color="auto"/>
                      <w:lang w:val="en-US" w:eastAsia="zh-CN" w:bidi="ar"/>
                    </w:rPr>
                    <w:t>2</w:t>
                  </w:r>
                  <w:r>
                    <w:rPr>
                      <w:rFonts w:hint="eastAsia" w:ascii="Times New Roman" w:hAnsi="Times New Roman" w:eastAsia="宋体" w:cs="Times New Roman"/>
                      <w:color w:val="auto"/>
                      <w:kern w:val="24"/>
                      <w:sz w:val="21"/>
                      <w:szCs w:val="21"/>
                      <w:highlight w:val="none"/>
                      <w:u w:val="none" w:color="auto"/>
                      <w:lang w:val="en-US" w:eastAsia="zh-CN" w:bidi="ar"/>
                    </w:rPr>
                    <w:t>、废气污染治理设施运行管理信息（燃烧室温度、冷凝温度、过滤材料更换频次、吸附剂更换频次、催化剂更换频次）；</w:t>
                  </w:r>
                  <w:r>
                    <w:rPr>
                      <w:rFonts w:hint="default" w:ascii="Times New Roman" w:hAnsi="Times New Roman" w:eastAsia="宋体" w:cs="Times New Roman"/>
                      <w:color w:val="auto"/>
                      <w:kern w:val="24"/>
                      <w:sz w:val="21"/>
                      <w:szCs w:val="21"/>
                      <w:highlight w:val="none"/>
                      <w:u w:val="none" w:color="auto"/>
                      <w:lang w:val="en-US" w:eastAsia="zh-CN" w:bidi="ar"/>
                    </w:rPr>
                    <w:t>3</w:t>
                  </w:r>
                  <w:r>
                    <w:rPr>
                      <w:rFonts w:hint="eastAsia" w:ascii="Times New Roman" w:hAnsi="Times New Roman" w:eastAsia="宋体" w:cs="Times New Roman"/>
                      <w:color w:val="auto"/>
                      <w:kern w:val="24"/>
                      <w:sz w:val="21"/>
                      <w:szCs w:val="21"/>
                      <w:highlight w:val="none"/>
                      <w:u w:val="none" w:color="auto"/>
                      <w:lang w:val="en-US" w:eastAsia="zh-CN" w:bidi="ar"/>
                    </w:rPr>
                    <w:t>、监测记录信息（主要污染排放口废气排放记录（手工监测或在线监测）等）；</w:t>
                  </w:r>
                  <w:r>
                    <w:rPr>
                      <w:rFonts w:hint="default" w:ascii="Times New Roman" w:hAnsi="Times New Roman" w:eastAsia="宋体" w:cs="Times New Roman"/>
                      <w:color w:val="auto"/>
                      <w:kern w:val="24"/>
                      <w:sz w:val="21"/>
                      <w:szCs w:val="21"/>
                      <w:highlight w:val="none"/>
                      <w:u w:val="none" w:color="auto"/>
                      <w:lang w:val="en-US" w:eastAsia="zh-CN" w:bidi="ar"/>
                    </w:rPr>
                    <w:t>4</w:t>
                  </w:r>
                  <w:r>
                    <w:rPr>
                      <w:rFonts w:hint="eastAsia" w:ascii="Times New Roman" w:hAnsi="Times New Roman" w:eastAsia="宋体" w:cs="Times New Roman"/>
                      <w:color w:val="auto"/>
                      <w:kern w:val="24"/>
                      <w:sz w:val="21"/>
                      <w:szCs w:val="21"/>
                      <w:highlight w:val="none"/>
                      <w:u w:val="none" w:color="auto"/>
                      <w:lang w:val="en-US" w:eastAsia="zh-CN" w:bidi="ar"/>
                    </w:rPr>
                    <w:t>、主要原辅材料消耗记录；</w:t>
                  </w:r>
                  <w:r>
                    <w:rPr>
                      <w:rFonts w:hint="default" w:ascii="Times New Roman" w:hAnsi="Times New Roman" w:eastAsia="宋体" w:cs="Times New Roman"/>
                      <w:color w:val="auto"/>
                      <w:kern w:val="24"/>
                      <w:sz w:val="21"/>
                      <w:szCs w:val="21"/>
                      <w:highlight w:val="none"/>
                      <w:u w:val="none" w:color="auto"/>
                      <w:lang w:val="en-US" w:eastAsia="zh-CN" w:bidi="ar"/>
                    </w:rPr>
                    <w:t>5</w:t>
                  </w:r>
                  <w:r>
                    <w:rPr>
                      <w:rFonts w:hint="eastAsia" w:ascii="Times New Roman" w:hAnsi="Times New Roman" w:eastAsia="宋体" w:cs="Times New Roman"/>
                      <w:color w:val="auto"/>
                      <w:kern w:val="24"/>
                      <w:sz w:val="21"/>
                      <w:szCs w:val="21"/>
                      <w:highlight w:val="none"/>
                      <w:u w:val="none" w:color="auto"/>
                      <w:lang w:val="en-US" w:eastAsia="zh-CN" w:bidi="ar"/>
                    </w:rPr>
                    <w:t>、燃料（天然气）消耗记录</w:t>
                  </w:r>
                </w:p>
              </w:tc>
              <w:tc>
                <w:tcPr>
                  <w:tcW w:w="1656" w:type="pct"/>
                  <w:noWrap w:val="0"/>
                  <w:vAlign w:val="center"/>
                </w:tcPr>
                <w:p w14:paraId="0ED9F8D9">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按要求做好台账记录</w:t>
                  </w:r>
                </w:p>
              </w:tc>
              <w:tc>
                <w:tcPr>
                  <w:tcW w:w="584" w:type="pct"/>
                  <w:noWrap w:val="0"/>
                  <w:vAlign w:val="center"/>
                </w:tcPr>
                <w:p w14:paraId="68C55321">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相符</w:t>
                  </w:r>
                </w:p>
              </w:tc>
            </w:tr>
            <w:tr w14:paraId="7DB848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4" w:hRule="atLeast"/>
                <w:tblHeader/>
              </w:trPr>
              <w:tc>
                <w:tcPr>
                  <w:tcW w:w="580" w:type="pct"/>
                  <w:vMerge w:val="continue"/>
                  <w:noWrap w:val="0"/>
                  <w:vAlign w:val="center"/>
                </w:tcPr>
                <w:p w14:paraId="7FC74692">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p>
              </w:tc>
              <w:tc>
                <w:tcPr>
                  <w:tcW w:w="2177" w:type="pct"/>
                  <w:noWrap w:val="0"/>
                  <w:vAlign w:val="center"/>
                </w:tcPr>
                <w:p w14:paraId="2B9F8F2B">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人员配置：设置环保部门，配备专职环保人员，并具备相应的环境管理能力</w:t>
                  </w:r>
                </w:p>
              </w:tc>
              <w:tc>
                <w:tcPr>
                  <w:tcW w:w="1656" w:type="pct"/>
                  <w:noWrap w:val="0"/>
                  <w:vAlign w:val="center"/>
                </w:tcPr>
                <w:p w14:paraId="1A469080">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配备桔柚环境管理能力的专职管理人员</w:t>
                  </w:r>
                </w:p>
              </w:tc>
              <w:tc>
                <w:tcPr>
                  <w:tcW w:w="584" w:type="pct"/>
                  <w:noWrap w:val="0"/>
                  <w:vAlign w:val="center"/>
                </w:tcPr>
                <w:p w14:paraId="47AEED54">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相符</w:t>
                  </w:r>
                </w:p>
              </w:tc>
            </w:tr>
            <w:tr w14:paraId="54612D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9" w:hRule="atLeast"/>
                <w:tblHeader/>
              </w:trPr>
              <w:tc>
                <w:tcPr>
                  <w:tcW w:w="580" w:type="pct"/>
                  <w:noWrap w:val="0"/>
                  <w:vAlign w:val="center"/>
                </w:tcPr>
                <w:p w14:paraId="2D41FC89">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运输方式</w:t>
                  </w:r>
                </w:p>
              </w:tc>
              <w:tc>
                <w:tcPr>
                  <w:tcW w:w="2177" w:type="pct"/>
                  <w:noWrap w:val="0"/>
                  <w:vAlign w:val="center"/>
                </w:tcPr>
                <w:p w14:paraId="69AD8D7F">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1</w:t>
                  </w:r>
                  <w:r>
                    <w:rPr>
                      <w:rFonts w:hint="eastAsia" w:ascii="Times New Roman" w:hAnsi="Times New Roman" w:eastAsia="宋体" w:cs="Times New Roman"/>
                      <w:color w:val="auto"/>
                      <w:kern w:val="24"/>
                      <w:sz w:val="21"/>
                      <w:szCs w:val="21"/>
                      <w:highlight w:val="none"/>
                      <w:u w:val="none" w:color="auto"/>
                      <w:lang w:val="en-US" w:eastAsia="zh-CN" w:bidi="ar"/>
                    </w:rPr>
                    <w:t>、物料公路运输使用达到国五及以上排放标准重型载货车辆（含燃气）或新能源车辆占比不低于</w:t>
                  </w:r>
                  <w:r>
                    <w:rPr>
                      <w:rFonts w:hint="default" w:ascii="Times New Roman" w:hAnsi="Times New Roman" w:eastAsia="宋体" w:cs="Times New Roman"/>
                      <w:color w:val="auto"/>
                      <w:kern w:val="24"/>
                      <w:sz w:val="21"/>
                      <w:szCs w:val="21"/>
                      <w:highlight w:val="none"/>
                      <w:u w:val="none" w:color="auto"/>
                      <w:lang w:val="en-US" w:eastAsia="zh-CN" w:bidi="ar"/>
                    </w:rPr>
                    <w:t>80%</w:t>
                  </w:r>
                  <w:r>
                    <w:rPr>
                      <w:rFonts w:hint="eastAsia" w:ascii="Times New Roman" w:hAnsi="Times New Roman" w:eastAsia="宋体" w:cs="Times New Roman"/>
                      <w:color w:val="auto"/>
                      <w:kern w:val="24"/>
                      <w:sz w:val="21"/>
                      <w:szCs w:val="21"/>
                      <w:highlight w:val="none"/>
                      <w:u w:val="none" w:color="auto"/>
                      <w:lang w:val="en-US" w:eastAsia="zh-CN" w:bidi="ar"/>
                    </w:rPr>
                    <w:t>，其他车辆达到国四排放标准；</w:t>
                  </w:r>
                </w:p>
                <w:p w14:paraId="5D67E416">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2</w:t>
                  </w:r>
                  <w:r>
                    <w:rPr>
                      <w:rFonts w:hint="eastAsia" w:ascii="Times New Roman" w:hAnsi="Times New Roman" w:eastAsia="宋体" w:cs="Times New Roman"/>
                      <w:color w:val="auto"/>
                      <w:kern w:val="24"/>
                      <w:sz w:val="21"/>
                      <w:szCs w:val="21"/>
                      <w:highlight w:val="none"/>
                      <w:u w:val="none" w:color="auto"/>
                      <w:lang w:val="en-US" w:eastAsia="zh-CN" w:bidi="ar"/>
                    </w:rPr>
                    <w:t>、厂内运输使用达到国五及以上排放标准车辆（含燃气）或新能源车辆比例不低于</w:t>
                  </w:r>
                  <w:r>
                    <w:rPr>
                      <w:rFonts w:hint="default" w:ascii="Times New Roman" w:hAnsi="Times New Roman" w:eastAsia="宋体" w:cs="Times New Roman"/>
                      <w:color w:val="auto"/>
                      <w:kern w:val="24"/>
                      <w:sz w:val="21"/>
                      <w:szCs w:val="21"/>
                      <w:highlight w:val="none"/>
                      <w:u w:val="none" w:color="auto"/>
                      <w:lang w:val="en-US" w:eastAsia="zh-CN" w:bidi="ar"/>
                    </w:rPr>
                    <w:t>80%</w:t>
                  </w:r>
                  <w:r>
                    <w:rPr>
                      <w:rFonts w:hint="eastAsia" w:ascii="Times New Roman" w:hAnsi="Times New Roman" w:eastAsia="宋体" w:cs="Times New Roman"/>
                      <w:color w:val="auto"/>
                      <w:kern w:val="24"/>
                      <w:sz w:val="21"/>
                      <w:szCs w:val="21"/>
                      <w:highlight w:val="none"/>
                      <w:u w:val="none" w:color="auto"/>
                      <w:lang w:val="en-US" w:eastAsia="zh-CN" w:bidi="ar"/>
                    </w:rPr>
                    <w:t>，其他车辆达到国四排放标准；</w:t>
                  </w:r>
                </w:p>
                <w:p w14:paraId="578EFAA3">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3</w:t>
                  </w:r>
                  <w:r>
                    <w:rPr>
                      <w:rFonts w:hint="eastAsia" w:ascii="Times New Roman" w:hAnsi="Times New Roman" w:eastAsia="宋体" w:cs="Times New Roman"/>
                      <w:color w:val="auto"/>
                      <w:kern w:val="24"/>
                      <w:sz w:val="21"/>
                      <w:szCs w:val="21"/>
                      <w:highlight w:val="none"/>
                      <w:u w:val="none" w:color="auto"/>
                      <w:lang w:val="en-US" w:eastAsia="zh-CN" w:bidi="ar"/>
                    </w:rPr>
                    <w:t>、厂内非道路移动机械使用达到国三及以上排放标准或新能源机械比例不低于</w:t>
                  </w:r>
                  <w:r>
                    <w:rPr>
                      <w:rFonts w:hint="default" w:ascii="Times New Roman" w:hAnsi="Times New Roman" w:eastAsia="宋体" w:cs="Times New Roman"/>
                      <w:color w:val="auto"/>
                      <w:kern w:val="24"/>
                      <w:sz w:val="21"/>
                      <w:szCs w:val="21"/>
                      <w:highlight w:val="none"/>
                      <w:u w:val="none" w:color="auto"/>
                      <w:lang w:val="en-US" w:eastAsia="zh-CN" w:bidi="ar"/>
                    </w:rPr>
                    <w:t>80%</w:t>
                  </w:r>
                </w:p>
              </w:tc>
              <w:tc>
                <w:tcPr>
                  <w:tcW w:w="1656" w:type="pct"/>
                  <w:noWrap w:val="0"/>
                  <w:vAlign w:val="center"/>
                </w:tcPr>
                <w:p w14:paraId="1C8CD036">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企业物料公路运输全部使用达到国四及以上排放标准重型载货车辆(含燃气)或新能源汽车；厂内运输车辆全部达到国五及以上排放标准(含燃气)或使用新能源汽车；厂内非道路移动机械达到国三及以上排放标准或使用新能源机械</w:t>
                  </w:r>
                </w:p>
              </w:tc>
              <w:tc>
                <w:tcPr>
                  <w:tcW w:w="584" w:type="pct"/>
                  <w:noWrap w:val="0"/>
                  <w:vAlign w:val="center"/>
                </w:tcPr>
                <w:p w14:paraId="2BFA3F7C">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相符</w:t>
                  </w:r>
                </w:p>
              </w:tc>
            </w:tr>
            <w:tr w14:paraId="36085E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tblHeader/>
              </w:trPr>
              <w:tc>
                <w:tcPr>
                  <w:tcW w:w="580" w:type="pct"/>
                  <w:noWrap w:val="0"/>
                  <w:vAlign w:val="center"/>
                </w:tcPr>
                <w:p w14:paraId="4C50D556">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运输监管</w:t>
                  </w:r>
                </w:p>
              </w:tc>
              <w:tc>
                <w:tcPr>
                  <w:tcW w:w="2177" w:type="pct"/>
                  <w:noWrap w:val="0"/>
                  <w:vAlign w:val="center"/>
                </w:tcPr>
                <w:p w14:paraId="7B9CE3ED">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参照《重污染天气重点行业移动源应急管理技术指南》建立门禁系统和电子台账</w:t>
                  </w:r>
                </w:p>
              </w:tc>
              <w:tc>
                <w:tcPr>
                  <w:tcW w:w="1656" w:type="pct"/>
                  <w:noWrap w:val="0"/>
                  <w:vAlign w:val="center"/>
                </w:tcPr>
                <w:p w14:paraId="469C9F5F">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参照《重污染天气重点行业移动源应急管理技术指南》执行</w:t>
                  </w:r>
                </w:p>
              </w:tc>
              <w:tc>
                <w:tcPr>
                  <w:tcW w:w="584" w:type="pct"/>
                  <w:noWrap w:val="0"/>
                  <w:vAlign w:val="center"/>
                </w:tcPr>
                <w:p w14:paraId="335179B4">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相符</w:t>
                  </w:r>
                </w:p>
              </w:tc>
            </w:tr>
          </w:tbl>
          <w:p w14:paraId="0344A1EB">
            <w:pPr>
              <w:pStyle w:val="15"/>
              <w:keepNext w:val="0"/>
              <w:keepLines w:val="0"/>
              <w:pageBreakBefore w:val="0"/>
              <w:numPr>
                <w:ilvl w:val="0"/>
                <w:numId w:val="0"/>
              </w:numPr>
              <w:kinsoku/>
              <w:wordWrap/>
              <w:overflowPunct/>
              <w:topLinePunct w:val="0"/>
              <w:bidi w:val="0"/>
              <w:spacing w:before="0" w:after="0" w:line="348" w:lineRule="auto"/>
              <w:ind w:right="0" w:rightChars="0" w:firstLine="482" w:firstLineChars="200"/>
              <w:textAlignment w:val="auto"/>
              <w:rPr>
                <w:rFonts w:hint="default" w:cs="Times New Roman"/>
                <w:b/>
                <w:bCs/>
                <w:color w:val="auto"/>
                <w:kern w:val="2"/>
                <w:sz w:val="24"/>
                <w:szCs w:val="24"/>
                <w:highlight w:val="none"/>
                <w:u w:val="none" w:color="auto"/>
                <w:lang w:val="en-US" w:eastAsia="zh-CN" w:bidi="ar-SA"/>
              </w:rPr>
            </w:pPr>
          </w:p>
          <w:p w14:paraId="5FC3A180">
            <w:pPr>
              <w:pStyle w:val="15"/>
              <w:keepNext w:val="0"/>
              <w:keepLines w:val="0"/>
              <w:pageBreakBefore w:val="0"/>
              <w:numPr>
                <w:ilvl w:val="0"/>
                <w:numId w:val="0"/>
              </w:numPr>
              <w:kinsoku/>
              <w:wordWrap/>
              <w:overflowPunct/>
              <w:topLinePunct w:val="0"/>
              <w:bidi w:val="0"/>
              <w:spacing w:before="0" w:after="0" w:line="348" w:lineRule="auto"/>
              <w:ind w:right="0" w:rightChars="0" w:firstLine="482" w:firstLineChars="200"/>
              <w:textAlignment w:val="auto"/>
              <w:rPr>
                <w:rFonts w:hint="eastAsia" w:cs="Times New Roman"/>
                <w:b/>
                <w:bCs/>
                <w:color w:val="auto"/>
                <w:kern w:val="2"/>
                <w:sz w:val="24"/>
                <w:szCs w:val="24"/>
                <w:highlight w:val="none"/>
                <w:u w:val="none" w:color="auto"/>
                <w:lang w:val="en-US" w:eastAsia="zh-CN" w:bidi="ar-SA"/>
              </w:rPr>
            </w:pPr>
            <w:r>
              <w:rPr>
                <w:rFonts w:hint="eastAsia" w:cs="Times New Roman"/>
                <w:b/>
                <w:bCs/>
                <w:color w:val="auto"/>
                <w:kern w:val="2"/>
                <w:sz w:val="24"/>
                <w:szCs w:val="24"/>
                <w:highlight w:val="none"/>
                <w:u w:val="none" w:color="auto"/>
                <w:lang w:val="en-US" w:eastAsia="zh-CN" w:bidi="ar-SA"/>
              </w:rPr>
              <w:t>14、与湘潭县“三区三线”相符性分析</w:t>
            </w:r>
          </w:p>
          <w:p w14:paraId="7EB1769C">
            <w:pPr>
              <w:pStyle w:val="15"/>
              <w:keepNext w:val="0"/>
              <w:keepLines w:val="0"/>
              <w:pageBreakBefore w:val="0"/>
              <w:numPr>
                <w:ilvl w:val="0"/>
                <w:numId w:val="0"/>
              </w:numPr>
              <w:kinsoku/>
              <w:wordWrap/>
              <w:overflowPunct/>
              <w:topLinePunct w:val="0"/>
              <w:bidi w:val="0"/>
              <w:spacing w:before="0" w:after="0" w:line="348" w:lineRule="auto"/>
              <w:ind w:right="0" w:righ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eastAsia" w:ascii="Times New Roman" w:hAnsi="Times New Roman" w:eastAsia="宋体" w:cs="Times New Roman"/>
                <w:color w:val="auto"/>
                <w:kern w:val="2"/>
                <w:sz w:val="24"/>
                <w:szCs w:val="24"/>
                <w:highlight w:val="none"/>
                <w:u w:val="none" w:color="auto"/>
                <w:lang w:val="en-US" w:eastAsia="zh-CN" w:bidi="ar-SA"/>
              </w:rPr>
              <w:t>2022年7月18日，湘潭县自然资源局召开了“三区三线”划定工作会议，会议强调按照耕地和永久基本农田、生态保护红线、城镇开发边界次序，以前期永久基本农田核实整改补足、生态保护红线评估调整和城镇开发边界模拟划定成果为基础，结合湘潭县国土空间总体规划编制，统筹划定耕地和永久基本农田、生态保护红线、城镇开发边界，为高水平编制国土空间规划打下坚实基础。本项目所在区域为城镇空间</w:t>
            </w:r>
            <w:r>
              <w:rPr>
                <w:rFonts w:hint="eastAsia" w:cs="Times New Roman"/>
                <w:color w:val="auto"/>
                <w:kern w:val="2"/>
                <w:sz w:val="24"/>
                <w:szCs w:val="24"/>
                <w:highlight w:val="none"/>
                <w:u w:val="none" w:color="auto"/>
                <w:lang w:val="en-US" w:eastAsia="zh-CN" w:bidi="ar-SA"/>
              </w:rPr>
              <w:t>（详见附图6）</w:t>
            </w:r>
            <w:r>
              <w:rPr>
                <w:rFonts w:hint="eastAsia" w:ascii="Times New Roman" w:hAnsi="Times New Roman" w:eastAsia="宋体" w:cs="Times New Roman"/>
                <w:color w:val="auto"/>
                <w:kern w:val="2"/>
                <w:sz w:val="24"/>
                <w:szCs w:val="24"/>
                <w:highlight w:val="none"/>
                <w:u w:val="none" w:color="auto"/>
                <w:lang w:val="en-US" w:eastAsia="zh-CN" w:bidi="ar-SA"/>
              </w:rPr>
              <w:t>，土地类型为</w:t>
            </w:r>
            <w:r>
              <w:rPr>
                <w:rFonts w:hint="eastAsia" w:cs="Times New Roman"/>
                <w:color w:val="auto"/>
                <w:kern w:val="2"/>
                <w:sz w:val="24"/>
                <w:szCs w:val="24"/>
                <w:highlight w:val="none"/>
                <w:u w:val="none" w:color="auto"/>
                <w:lang w:val="en-US" w:eastAsia="zh-CN" w:bidi="ar-SA"/>
              </w:rPr>
              <w:t>工业</w:t>
            </w:r>
            <w:r>
              <w:rPr>
                <w:rFonts w:hint="eastAsia" w:ascii="Times New Roman" w:hAnsi="Times New Roman" w:eastAsia="宋体" w:cs="Times New Roman"/>
                <w:color w:val="auto"/>
                <w:kern w:val="2"/>
                <w:sz w:val="24"/>
                <w:szCs w:val="24"/>
                <w:highlight w:val="none"/>
                <w:u w:val="none" w:color="auto"/>
                <w:lang w:val="en-US" w:eastAsia="zh-CN" w:bidi="ar-SA"/>
              </w:rPr>
              <w:t>用地，区域内无生态保护红线区，不涉及占用或穿越生态保护红线，不新增用地，不占用基本农田，符合“三区三线”划定规则。</w:t>
            </w:r>
          </w:p>
        </w:tc>
      </w:tr>
    </w:tbl>
    <w:p w14:paraId="188D16BC">
      <w:pPr>
        <w:spacing w:line="360" w:lineRule="auto"/>
        <w:outlineLvl w:val="9"/>
        <w:rPr>
          <w:rFonts w:hint="default" w:ascii="Times New Roman" w:hAnsi="Times New Roman" w:eastAsia="宋体" w:cs="Times New Roman"/>
          <w:color w:val="auto"/>
          <w:sz w:val="30"/>
          <w:highlight w:val="yellow"/>
        </w:rPr>
        <w:sectPr>
          <w:footerReference r:id="rId4" w:type="default"/>
          <w:pgSz w:w="11906" w:h="16838"/>
          <w:pgMar w:top="1361" w:right="1361" w:bottom="1361" w:left="1474" w:header="851" w:footer="1077" w:gutter="0"/>
          <w:pgBorders>
            <w:top w:val="none" w:sz="0" w:space="0"/>
            <w:left w:val="none" w:sz="0" w:space="0"/>
            <w:bottom w:val="none" w:sz="0" w:space="0"/>
            <w:right w:val="none" w:sz="0" w:space="0"/>
          </w:pgBorders>
          <w:pgNumType w:fmt="decimal" w:start="1"/>
          <w:cols w:space="720" w:num="1"/>
          <w:docGrid w:linePitch="312" w:charSpace="0"/>
        </w:sectPr>
      </w:pPr>
    </w:p>
    <w:p w14:paraId="55BABA60">
      <w:pPr>
        <w:widowControl/>
        <w:spacing w:before="100" w:beforeAutospacing="1" w:after="100" w:afterAutospacing="1"/>
        <w:ind w:firstLine="600" w:firstLineChars="200"/>
        <w:jc w:val="center"/>
        <w:outlineLvl w:val="0"/>
        <w:rPr>
          <w:rFonts w:hint="default" w:ascii="Times New Roman" w:hAnsi="Times New Roman" w:eastAsia="宋体" w:cs="Times New Roman"/>
          <w:snapToGrid w:val="0"/>
          <w:color w:val="auto"/>
          <w:kern w:val="0"/>
          <w:sz w:val="30"/>
          <w:szCs w:val="30"/>
          <w:highlight w:val="none"/>
          <w:lang w:val="en-US" w:eastAsia="zh-CN" w:bidi="ar-SA"/>
        </w:rPr>
      </w:pPr>
      <w:bookmarkStart w:id="7" w:name="_Toc14615"/>
      <w:bookmarkStart w:id="8" w:name="_Toc31656"/>
      <w:bookmarkStart w:id="9" w:name="_Toc21673"/>
      <w:r>
        <w:rPr>
          <w:rFonts w:hint="default" w:ascii="Times New Roman" w:hAnsi="Times New Roman" w:eastAsia="宋体" w:cs="Times New Roman"/>
          <w:snapToGrid w:val="0"/>
          <w:color w:val="auto"/>
          <w:kern w:val="0"/>
          <w:sz w:val="30"/>
          <w:szCs w:val="30"/>
          <w:highlight w:val="none"/>
          <w:lang w:val="en-US" w:eastAsia="zh-CN" w:bidi="ar-SA"/>
        </w:rPr>
        <w:t>二、建设项目工程分析</w:t>
      </w:r>
      <w:bookmarkEnd w:id="7"/>
      <w:bookmarkEnd w:id="8"/>
      <w:bookmarkEnd w:id="9"/>
    </w:p>
    <w:tbl>
      <w:tblPr>
        <w:tblStyle w:val="31"/>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161"/>
      </w:tblGrid>
      <w:tr w14:paraId="78EF5E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624" w:hRule="atLeast"/>
          <w:jc w:val="center"/>
        </w:trPr>
        <w:tc>
          <w:tcPr>
            <w:tcW w:w="823" w:type="dxa"/>
            <w:noWrap w:val="0"/>
            <w:vAlign w:val="center"/>
          </w:tcPr>
          <w:p w14:paraId="7F543B99">
            <w:pPr>
              <w:widowControl/>
              <w:adjustRightInd w:val="0"/>
              <w:snapToGrid w:val="0"/>
              <w:spacing w:before="0" w:beforeAutospacing="0" w:after="0" w:afterAutospacing="0"/>
              <w:jc w:val="center"/>
              <w:rPr>
                <w:rFonts w:hint="default" w:ascii="Times New Roman" w:hAnsi="Times New Roman" w:eastAsia="宋体" w:cs="Times New Roman"/>
                <w:color w:val="auto"/>
                <w:kern w:val="0"/>
                <w:sz w:val="21"/>
                <w:szCs w:val="21"/>
                <w:highlight w:val="yellow"/>
                <w:u w:val="none" w:color="auto"/>
                <w:lang w:val="en-US" w:eastAsia="zh-CN" w:bidi="ar-SA"/>
              </w:rPr>
            </w:pPr>
            <w:r>
              <w:rPr>
                <w:rFonts w:hint="default" w:ascii="Times New Roman" w:hAnsi="Times New Roman" w:eastAsia="宋体" w:cs="Times New Roman"/>
                <w:color w:val="auto"/>
                <w:kern w:val="0"/>
                <w:sz w:val="21"/>
                <w:szCs w:val="21"/>
                <w:highlight w:val="none"/>
                <w:u w:val="none" w:color="auto"/>
                <w:lang w:val="en-US" w:eastAsia="zh-CN" w:bidi="ar-SA"/>
              </w:rPr>
              <w:t>建设内容</w:t>
            </w:r>
          </w:p>
        </w:tc>
        <w:tc>
          <w:tcPr>
            <w:tcW w:w="8161" w:type="dxa"/>
            <w:noWrap w:val="0"/>
            <w:vAlign w:val="top"/>
          </w:tcPr>
          <w:p w14:paraId="5C6E0AEF">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2.1项目由来</w:t>
            </w:r>
          </w:p>
          <w:p w14:paraId="54EC3385">
            <w:pPr>
              <w:keepNext w:val="0"/>
              <w:keepLines w:val="0"/>
              <w:pageBreakBefore w:val="0"/>
              <w:widowControl w:val="0"/>
              <w:kinsoku/>
              <w:wordWrap/>
              <w:overflowPunct/>
              <w:topLinePunct w:val="0"/>
              <w:autoSpaceDE/>
              <w:autoSpaceDN/>
              <w:bidi w:val="0"/>
              <w:spacing w:line="420" w:lineRule="exact"/>
              <w:ind w:firstLine="480" w:firstLineChars="200"/>
              <w:textAlignment w:val="auto"/>
              <w:rPr>
                <w:rFonts w:hint="default" w:ascii="Times New Roman" w:hAnsi="Times New Roman" w:eastAsia="宋体" w:cs="Times New Roman"/>
                <w:bCs/>
                <w:color w:val="auto"/>
                <w:sz w:val="24"/>
                <w:szCs w:val="24"/>
                <w:highlight w:val="none"/>
                <w:u w:val="none" w:color="auto"/>
                <w:lang w:val="en-US" w:eastAsia="zh-CN"/>
              </w:rPr>
            </w:pPr>
            <w:r>
              <w:rPr>
                <w:rFonts w:hint="eastAsia" w:ascii="Times New Roman" w:hAnsi="Times New Roman" w:eastAsia="宋体" w:cs="Times New Roman"/>
                <w:bCs/>
                <w:color w:val="auto"/>
                <w:sz w:val="24"/>
                <w:szCs w:val="24"/>
                <w:highlight w:val="none"/>
                <w:u w:val="none" w:color="auto"/>
                <w:lang w:val="en-US" w:eastAsia="zh-CN"/>
              </w:rPr>
              <w:t>湘潭海鑫金属节能制品有限公司前身为湘潭县强盛金属节能制品有限责任公司，选址湘潭县吴家巷工业区</w:t>
            </w:r>
            <w:r>
              <w:rPr>
                <w:rFonts w:hint="eastAsia" w:cs="Times New Roman"/>
                <w:bCs/>
                <w:color w:val="auto"/>
                <w:sz w:val="24"/>
                <w:szCs w:val="24"/>
                <w:highlight w:val="none"/>
                <w:u w:val="none" w:color="auto"/>
                <w:lang w:val="en-US" w:eastAsia="zh-CN"/>
              </w:rPr>
              <w:t>，</w:t>
            </w:r>
            <w:r>
              <w:rPr>
                <w:rFonts w:hint="eastAsia" w:ascii="Times New Roman" w:hAnsi="Times New Roman" w:eastAsia="宋体" w:cs="Times New Roman"/>
                <w:bCs/>
                <w:color w:val="auto"/>
                <w:sz w:val="24"/>
                <w:szCs w:val="24"/>
                <w:highlight w:val="none"/>
                <w:u w:val="none" w:color="auto"/>
                <w:lang w:val="en-US" w:eastAsia="zh-CN"/>
              </w:rPr>
              <w:t>是一家以盘条钢丝为原料进行精品钢材及深加工弹簧钢丝加工的企业。2009年12月由湘潭市环境保护科学研究院编制完成《湘潭县强盛金属节能制品有限责任公司年产2.2万吨精品钢材及深加工项目环境影响报告表》，2010年12月31日，湘潭市环境保护局以2010[322]号文对该环境影响报告表予以审批。2011年6月，《湘潭县强盛金属节能制品有限责任公司年产2.2 万吨精品钢材及深加工项目》通过湘潭市环保局环保验收（潭环验</w:t>
            </w:r>
            <w:r>
              <w:rPr>
                <w:rFonts w:hint="eastAsia" w:cs="Times New Roman"/>
                <w:bCs/>
                <w:color w:val="auto"/>
                <w:sz w:val="24"/>
                <w:szCs w:val="24"/>
                <w:highlight w:val="none"/>
                <w:u w:val="none" w:color="auto"/>
                <w:lang w:val="en-US" w:eastAsia="zh-CN"/>
              </w:rPr>
              <w:t>〔2011〕45号</w:t>
            </w:r>
            <w:r>
              <w:rPr>
                <w:rFonts w:hint="eastAsia" w:ascii="Times New Roman" w:hAnsi="Times New Roman" w:eastAsia="宋体" w:cs="Times New Roman"/>
                <w:bCs/>
                <w:color w:val="auto"/>
                <w:sz w:val="24"/>
                <w:szCs w:val="24"/>
                <w:highlight w:val="none"/>
                <w:u w:val="none" w:color="auto"/>
                <w:lang w:val="en-US" w:eastAsia="zh-CN"/>
              </w:rPr>
              <w:t>），2012年7月13日，建设单位名称变更为湘潭海鑫金属节能制品有限公司。由于原有生产场地狭小，且环保设施老化，湘潭海鑫金属节能制品有限公司在天易示范区管委会、中国银行湘潭县</w:t>
            </w:r>
            <w:r>
              <w:rPr>
                <w:rFonts w:hint="eastAsia" w:cs="Times New Roman"/>
                <w:bCs/>
                <w:color w:val="auto"/>
                <w:sz w:val="24"/>
                <w:szCs w:val="24"/>
                <w:highlight w:val="none"/>
                <w:u w:val="none" w:color="auto"/>
                <w:lang w:val="en-US" w:eastAsia="zh-CN"/>
              </w:rPr>
              <w:t>分行</w:t>
            </w:r>
            <w:r>
              <w:rPr>
                <w:rFonts w:hint="eastAsia" w:ascii="Times New Roman" w:hAnsi="Times New Roman" w:eastAsia="宋体" w:cs="Times New Roman"/>
                <w:bCs/>
                <w:color w:val="auto"/>
                <w:sz w:val="24"/>
                <w:szCs w:val="24"/>
                <w:highlight w:val="none"/>
                <w:u w:val="none" w:color="auto"/>
                <w:lang w:val="en-US" w:eastAsia="zh-CN"/>
              </w:rPr>
              <w:t>等的支持下，全资接管濒临破产的湖南金龙建筑机械</w:t>
            </w:r>
            <w:r>
              <w:rPr>
                <w:rFonts w:hint="eastAsia" w:cs="Times New Roman"/>
                <w:bCs/>
                <w:color w:val="auto"/>
                <w:sz w:val="24"/>
                <w:szCs w:val="24"/>
                <w:highlight w:val="none"/>
                <w:u w:val="none" w:color="auto"/>
                <w:lang w:val="en-US" w:eastAsia="zh-CN"/>
              </w:rPr>
              <w:t>有限公司</w:t>
            </w:r>
            <w:r>
              <w:rPr>
                <w:rFonts w:hint="eastAsia" w:ascii="Times New Roman" w:hAnsi="Times New Roman" w:eastAsia="宋体" w:cs="Times New Roman"/>
                <w:bCs/>
                <w:color w:val="auto"/>
                <w:sz w:val="24"/>
                <w:szCs w:val="24"/>
                <w:highlight w:val="none"/>
                <w:u w:val="none" w:color="auto"/>
                <w:lang w:val="en-US" w:eastAsia="zh-CN"/>
              </w:rPr>
              <w:t>（原湖南工程学院校办工厂），2014年10月整体搬迁至新厂址（距原厂址100余米），其产品、规模、工艺，生产设备及原辅材料与已有环评设计保持一致，增加一套酸雾处理环保设施。2014年11月20日，公司就整体搬迁事项，不再重新办理环评手续，向湘潭县环保局提出申请，2015年1月14日湘潭市环保局同意湘潭海鑫金属节能制品有限公司年产2.2万吨精品钢材及深加工项目迁至新</w:t>
            </w:r>
            <w:r>
              <w:rPr>
                <w:rFonts w:hint="eastAsia" w:cs="Times New Roman"/>
                <w:bCs/>
                <w:color w:val="auto"/>
                <w:sz w:val="24"/>
                <w:szCs w:val="24"/>
                <w:highlight w:val="none"/>
                <w:u w:val="none" w:color="auto"/>
                <w:lang w:val="en-US" w:eastAsia="zh-CN"/>
              </w:rPr>
              <w:t>厂</w:t>
            </w:r>
            <w:r>
              <w:rPr>
                <w:rFonts w:hint="eastAsia" w:ascii="Times New Roman" w:hAnsi="Times New Roman" w:eastAsia="宋体" w:cs="Times New Roman"/>
                <w:bCs/>
                <w:color w:val="auto"/>
                <w:sz w:val="24"/>
                <w:szCs w:val="24"/>
                <w:highlight w:val="none"/>
                <w:u w:val="none" w:color="auto"/>
                <w:lang w:val="en-US" w:eastAsia="zh-CN"/>
              </w:rPr>
              <w:t>后，可不用重新补办环评手续，继续使用由湘潭市环境保护科学研究院编制完成的《湘潭县强盛金属节能制品有限责任公司年产2.2万吨精品钢材及深加工项目环境影响报告表》，2015年11月搬迁完成并投产。2017年1月，《湘潭海鑫金属节能制品有限公司年产2.2 万吨精品钢材及深加工项目竣工环境保护验收监测报告》通过湘潭市环保局环保验收（潭环审[2017]19号）。湘潭海鑫金属节能制品有限公司于2019年3月委托重庆九天环境影响评价有限公司编制《湘潭海鑫金属节能制品有限公司新增喷漆房建设项目环境影响报告表》，2019年4月4日获得湘潭市生态环境局湘潭县分局的审批意见（文号为潭县环审字</w:t>
            </w:r>
            <w:r>
              <w:rPr>
                <w:rFonts w:hint="eastAsia" w:cs="Times New Roman"/>
                <w:bCs/>
                <w:color w:val="auto"/>
                <w:sz w:val="24"/>
                <w:szCs w:val="24"/>
                <w:highlight w:val="none"/>
                <w:u w:val="none" w:color="auto"/>
                <w:lang w:val="en-US" w:eastAsia="zh-CN"/>
              </w:rPr>
              <w:t>〔2019〕39号</w:t>
            </w:r>
            <w:r>
              <w:rPr>
                <w:rFonts w:hint="eastAsia" w:ascii="Times New Roman" w:hAnsi="Times New Roman" w:eastAsia="宋体" w:cs="Times New Roman"/>
                <w:bCs/>
                <w:color w:val="auto"/>
                <w:sz w:val="24"/>
                <w:szCs w:val="24"/>
                <w:highlight w:val="none"/>
                <w:u w:val="none" w:color="auto"/>
                <w:lang w:val="en-US" w:eastAsia="zh-CN"/>
              </w:rPr>
              <w:t>），并于2019年10月23日通过环境保护验收会议，并于2019年10月23日通过环境保护验收会议。2019年11月20日首次取得排污许可证，编号为91430300712140845T001P。</w:t>
            </w:r>
          </w:p>
          <w:p w14:paraId="4D55AB0C">
            <w:pPr>
              <w:keepNext w:val="0"/>
              <w:keepLines w:val="0"/>
              <w:pageBreakBefore w:val="0"/>
              <w:widowControl w:val="0"/>
              <w:kinsoku/>
              <w:wordWrap/>
              <w:overflowPunct/>
              <w:topLinePunct w:val="0"/>
              <w:autoSpaceDE/>
              <w:autoSpaceDN/>
              <w:bidi w:val="0"/>
              <w:spacing w:line="420" w:lineRule="exact"/>
              <w:ind w:firstLine="480" w:firstLineChars="200"/>
              <w:textAlignment w:val="auto"/>
              <w:rPr>
                <w:rFonts w:hint="default" w:ascii="Times New Roman" w:hAnsi="Times New Roman" w:eastAsia="宋体" w:cs="Times New Roman"/>
                <w:bCs/>
                <w:color w:val="auto"/>
                <w:sz w:val="24"/>
                <w:szCs w:val="24"/>
                <w:highlight w:val="none"/>
                <w:u w:val="single" w:color="auto"/>
                <w:lang w:val="en-US" w:eastAsia="zh-CN"/>
              </w:rPr>
            </w:pPr>
            <w:r>
              <w:rPr>
                <w:rFonts w:hint="eastAsia" w:ascii="Times New Roman" w:hAnsi="Times New Roman" w:eastAsia="宋体" w:cs="Times New Roman"/>
                <w:bCs/>
                <w:color w:val="auto"/>
                <w:sz w:val="24"/>
                <w:szCs w:val="24"/>
                <w:highlight w:val="none"/>
                <w:u w:val="single" w:color="auto"/>
                <w:lang w:val="en-US" w:eastAsia="zh-CN"/>
              </w:rPr>
              <w:t>湘潭海鑫金属节能制品有限公司因现有生产厂区面积狭小，为了更好的促进企业发展，实现做大做强，公司公司</w:t>
            </w:r>
            <w:r>
              <w:rPr>
                <w:rFonts w:hint="default" w:ascii="Times New Roman" w:hAnsi="Times New Roman" w:eastAsia="宋体" w:cs="Times New Roman"/>
                <w:bCs/>
                <w:color w:val="auto"/>
                <w:sz w:val="24"/>
                <w:szCs w:val="24"/>
                <w:highlight w:val="none"/>
                <w:u w:val="single" w:color="auto"/>
                <w:lang w:val="en-US" w:eastAsia="zh-CN"/>
              </w:rPr>
              <w:t>拟</w:t>
            </w:r>
            <w:r>
              <w:rPr>
                <w:rFonts w:hint="eastAsia" w:cs="Times New Roman"/>
                <w:bCs/>
                <w:color w:val="auto"/>
                <w:sz w:val="24"/>
                <w:szCs w:val="24"/>
                <w:highlight w:val="none"/>
                <w:u w:val="single" w:color="auto"/>
                <w:lang w:val="en-US" w:eastAsia="zh-CN"/>
              </w:rPr>
              <w:t>投资450万元，</w:t>
            </w:r>
            <w:r>
              <w:rPr>
                <w:rFonts w:hint="eastAsia" w:ascii="Times New Roman" w:hAnsi="Times New Roman" w:eastAsia="宋体" w:cs="Times New Roman"/>
                <w:bCs/>
                <w:color w:val="auto"/>
                <w:sz w:val="24"/>
                <w:szCs w:val="24"/>
                <w:highlight w:val="none"/>
                <w:u w:val="single" w:color="auto"/>
                <w:lang w:val="en-US" w:eastAsia="zh-CN"/>
              </w:rPr>
              <w:t>租赁湖南涟湘河食品有限公司湘潭县易俗河镇飞龙村龙大组</w:t>
            </w:r>
            <w:r>
              <w:rPr>
                <w:rFonts w:hint="default" w:ascii="Times New Roman" w:hAnsi="Times New Roman" w:eastAsia="宋体" w:cs="Times New Roman"/>
                <w:bCs/>
                <w:color w:val="auto"/>
                <w:sz w:val="24"/>
                <w:szCs w:val="24"/>
                <w:highlight w:val="none"/>
                <w:u w:val="single" w:color="auto"/>
                <w:lang w:val="en-US" w:eastAsia="zh-CN"/>
              </w:rPr>
              <w:t>现有厂区</w:t>
            </w:r>
            <w:r>
              <w:rPr>
                <w:rFonts w:hint="eastAsia" w:ascii="Times New Roman" w:hAnsi="Times New Roman" w:eastAsia="宋体" w:cs="Times New Roman"/>
                <w:bCs/>
                <w:color w:val="auto"/>
                <w:sz w:val="24"/>
                <w:szCs w:val="24"/>
                <w:highlight w:val="none"/>
                <w:u w:val="single" w:color="auto"/>
                <w:lang w:val="en-US" w:eastAsia="zh-CN"/>
              </w:rPr>
              <w:t>建设</w:t>
            </w:r>
            <w:r>
              <w:rPr>
                <w:rFonts w:hint="eastAsia" w:cs="Times New Roman"/>
                <w:bCs/>
                <w:color w:val="auto"/>
                <w:sz w:val="24"/>
                <w:szCs w:val="24"/>
                <w:highlight w:val="none"/>
                <w:u w:val="single" w:color="auto"/>
                <w:lang w:val="en-US" w:eastAsia="zh-CN"/>
              </w:rPr>
              <w:t>年产风扇、风罩3000台套、年处理高铁连接板8000件建设项目，新建项目与原工程无关联关系，新建项目拟租赁厂区位于现有厂区西南侧，直线距离为3.4km</w:t>
            </w:r>
            <w:r>
              <w:rPr>
                <w:rFonts w:hint="eastAsia" w:ascii="Times New Roman" w:hAnsi="Times New Roman" w:eastAsia="宋体" w:cs="Times New Roman"/>
                <w:bCs/>
                <w:color w:val="auto"/>
                <w:sz w:val="24"/>
                <w:szCs w:val="24"/>
                <w:highlight w:val="none"/>
                <w:u w:val="single" w:color="auto"/>
                <w:lang w:val="en-US" w:eastAsia="zh-CN"/>
              </w:rPr>
              <w:t>。</w:t>
            </w:r>
          </w:p>
          <w:p w14:paraId="4F6D73C9">
            <w:pPr>
              <w:keepNext w:val="0"/>
              <w:keepLines w:val="0"/>
              <w:pageBreakBefore w:val="0"/>
              <w:widowControl/>
              <w:kinsoku/>
              <w:wordWrap/>
              <w:overflowPunct/>
              <w:topLinePunct w:val="0"/>
              <w:autoSpaceDE/>
              <w:autoSpaceDN/>
              <w:bidi w:val="0"/>
              <w:spacing w:line="420" w:lineRule="exact"/>
              <w:ind w:firstLine="480" w:firstLineChars="200"/>
              <w:textAlignment w:val="auto"/>
              <w:rPr>
                <w:rFonts w:hint="default" w:ascii="Times New Roman" w:hAnsi="Times New Roman" w:eastAsia="宋体" w:cs="Times New Roman"/>
                <w:bCs/>
                <w:color w:val="auto"/>
                <w:sz w:val="24"/>
                <w:szCs w:val="24"/>
                <w:highlight w:val="none"/>
                <w:u w:val="none" w:color="auto"/>
                <w:lang w:val="en-US" w:eastAsia="zh-CN"/>
              </w:rPr>
            </w:pPr>
            <w:r>
              <w:rPr>
                <w:rFonts w:hint="default" w:ascii="Times New Roman" w:hAnsi="Times New Roman" w:eastAsia="宋体" w:cs="Times New Roman"/>
                <w:bCs/>
                <w:color w:val="auto"/>
                <w:sz w:val="24"/>
                <w:szCs w:val="24"/>
                <w:highlight w:val="none"/>
                <w:u w:val="none" w:color="auto"/>
                <w:lang w:val="en-US" w:eastAsia="zh-CN"/>
              </w:rPr>
              <w:t>根据《中华人民共和国环境保护法》、《中华人民共和国环境影响评价法》、《建设项目环境保护管理条例》(国务院682号令)的有关规定，该项目必须进行环境影响评价。对照《国民经济行业分类》（GB/T 4754-2017），本项目产品为</w:t>
            </w:r>
            <w:r>
              <w:rPr>
                <w:rFonts w:hint="eastAsia" w:cs="Times New Roman"/>
                <w:bCs/>
                <w:color w:val="auto"/>
                <w:sz w:val="24"/>
                <w:szCs w:val="24"/>
                <w:highlight w:val="none"/>
                <w:u w:val="none" w:color="auto"/>
                <w:lang w:val="en-US" w:eastAsia="zh-CN"/>
              </w:rPr>
              <w:t>风扇、风罩</w:t>
            </w:r>
            <w:r>
              <w:rPr>
                <w:rFonts w:hint="eastAsia" w:ascii="Times New Roman" w:hAnsi="Times New Roman" w:eastAsia="宋体" w:cs="Times New Roman"/>
                <w:bCs/>
                <w:color w:val="auto"/>
                <w:sz w:val="24"/>
                <w:szCs w:val="24"/>
                <w:highlight w:val="none"/>
                <w:u w:val="none" w:color="auto"/>
                <w:lang w:val="en-US" w:eastAsia="zh-CN"/>
              </w:rPr>
              <w:t>、高铁连接板</w:t>
            </w:r>
            <w:r>
              <w:rPr>
                <w:rFonts w:hint="default" w:ascii="Times New Roman" w:hAnsi="Times New Roman" w:eastAsia="宋体" w:cs="Times New Roman"/>
                <w:bCs/>
                <w:color w:val="auto"/>
                <w:sz w:val="24"/>
                <w:szCs w:val="24"/>
                <w:highlight w:val="none"/>
                <w:u w:val="none" w:color="auto"/>
                <w:lang w:val="en-US" w:eastAsia="zh-CN"/>
              </w:rPr>
              <w:t>，属于C3714高铁设备、配件制造</w:t>
            </w:r>
            <w:r>
              <w:rPr>
                <w:rFonts w:hint="eastAsia" w:ascii="Times New Roman" w:hAnsi="Times New Roman" w:eastAsia="宋体" w:cs="Times New Roman"/>
                <w:bCs/>
                <w:color w:val="auto"/>
                <w:sz w:val="24"/>
                <w:szCs w:val="24"/>
                <w:highlight w:val="none"/>
                <w:u w:val="none" w:color="auto"/>
                <w:lang w:val="en-US" w:eastAsia="zh-CN"/>
              </w:rPr>
              <w:t>、</w:t>
            </w:r>
            <w:r>
              <w:rPr>
                <w:rFonts w:hint="default" w:ascii="Times New Roman" w:hAnsi="Times New Roman" w:eastAsia="宋体" w:cs="Times New Roman"/>
                <w:bCs/>
                <w:color w:val="auto"/>
                <w:sz w:val="24"/>
                <w:szCs w:val="24"/>
                <w:highlight w:val="none"/>
                <w:u w:val="none" w:color="auto"/>
                <w:lang w:val="en-US" w:eastAsia="zh-CN"/>
              </w:rPr>
              <w:t>C3462风机、风扇制造。</w:t>
            </w:r>
            <w:r>
              <w:rPr>
                <w:rFonts w:hint="eastAsia" w:ascii="Times New Roman" w:hAnsi="Times New Roman" w:eastAsia="宋体" w:cs="Times New Roman"/>
                <w:bCs/>
                <w:color w:val="auto"/>
                <w:sz w:val="24"/>
                <w:szCs w:val="24"/>
                <w:highlight w:val="none"/>
                <w:u w:val="none" w:color="auto"/>
                <w:lang w:val="en-US" w:eastAsia="zh-CN"/>
              </w:rPr>
              <w:t>另外</w:t>
            </w:r>
            <w:r>
              <w:rPr>
                <w:rFonts w:hint="default" w:ascii="Times New Roman" w:hAnsi="Times New Roman" w:eastAsia="宋体" w:cs="Times New Roman"/>
                <w:bCs/>
                <w:color w:val="auto"/>
                <w:sz w:val="24"/>
                <w:szCs w:val="24"/>
                <w:highlight w:val="none"/>
                <w:u w:val="none" w:color="auto"/>
                <w:lang w:val="en-US" w:eastAsia="zh-CN"/>
              </w:rPr>
              <w:t>根据《建设项目环境影响评价分类管理名录》（2021年版），本项目</w:t>
            </w:r>
            <w:r>
              <w:rPr>
                <w:rFonts w:hint="eastAsia" w:cs="Times New Roman"/>
                <w:bCs/>
                <w:color w:val="auto"/>
                <w:sz w:val="24"/>
                <w:szCs w:val="24"/>
                <w:highlight w:val="none"/>
                <w:u w:val="none" w:color="auto"/>
                <w:lang w:val="en-US" w:eastAsia="zh-CN"/>
              </w:rPr>
              <w:t>风扇、风罩</w:t>
            </w:r>
            <w:r>
              <w:rPr>
                <w:rFonts w:hint="default" w:ascii="Times New Roman" w:hAnsi="Times New Roman" w:eastAsia="宋体" w:cs="Times New Roman"/>
                <w:bCs/>
                <w:color w:val="auto"/>
                <w:sz w:val="24"/>
                <w:szCs w:val="24"/>
                <w:highlight w:val="none"/>
                <w:u w:val="none" w:color="auto"/>
                <w:lang w:val="en-US" w:eastAsia="zh-CN"/>
              </w:rPr>
              <w:t>属于三十</w:t>
            </w:r>
            <w:r>
              <w:rPr>
                <w:rFonts w:hint="eastAsia" w:ascii="Times New Roman" w:hAnsi="Times New Roman" w:eastAsia="宋体" w:cs="Times New Roman"/>
                <w:bCs/>
                <w:color w:val="auto"/>
                <w:sz w:val="24"/>
                <w:szCs w:val="24"/>
                <w:highlight w:val="none"/>
                <w:u w:val="none" w:color="auto"/>
                <w:lang w:val="en-US" w:eastAsia="zh-CN"/>
              </w:rPr>
              <w:t>一</w:t>
            </w:r>
            <w:r>
              <w:rPr>
                <w:rFonts w:hint="default" w:ascii="Times New Roman" w:hAnsi="Times New Roman" w:eastAsia="宋体" w:cs="Times New Roman"/>
                <w:bCs/>
                <w:color w:val="auto"/>
                <w:sz w:val="24"/>
                <w:szCs w:val="24"/>
                <w:highlight w:val="none"/>
                <w:u w:val="none" w:color="auto"/>
                <w:lang w:val="en-US" w:eastAsia="zh-CN"/>
              </w:rPr>
              <w:t>、</w:t>
            </w:r>
            <w:r>
              <w:rPr>
                <w:rFonts w:hint="eastAsia" w:ascii="Times New Roman" w:hAnsi="Times New Roman" w:eastAsia="宋体" w:cs="Times New Roman"/>
                <w:bCs/>
                <w:color w:val="auto"/>
                <w:sz w:val="24"/>
                <w:szCs w:val="24"/>
                <w:highlight w:val="none"/>
                <w:u w:val="none" w:color="auto"/>
                <w:lang w:val="en-US" w:eastAsia="zh-CN"/>
              </w:rPr>
              <w:t>通用设备制造业 烘炉、风机、包装等设备制造346</w:t>
            </w:r>
            <w:r>
              <w:rPr>
                <w:rFonts w:hint="default" w:ascii="Times New Roman" w:hAnsi="Times New Roman" w:eastAsia="宋体" w:cs="Times New Roman"/>
                <w:bCs/>
                <w:color w:val="auto"/>
                <w:sz w:val="24"/>
                <w:szCs w:val="24"/>
                <w:highlight w:val="none"/>
                <w:u w:val="none" w:color="auto"/>
                <w:lang w:val="en-US" w:eastAsia="zh-CN"/>
              </w:rPr>
              <w:t>，</w:t>
            </w:r>
            <w:r>
              <w:rPr>
                <w:color w:val="auto"/>
                <w:sz w:val="24"/>
                <w:u w:val="none" w:color="auto"/>
              </w:rPr>
              <w:t>该项</w:t>
            </w:r>
            <w:r>
              <w:rPr>
                <w:rFonts w:hint="eastAsia" w:eastAsia="宋体"/>
                <w:color w:val="auto"/>
                <w:sz w:val="24"/>
                <w:u w:val="none" w:color="auto"/>
                <w:lang w:eastAsia="zh-CN"/>
              </w:rPr>
              <w:t>“</w:t>
            </w:r>
            <w:r>
              <w:rPr>
                <w:rFonts w:hint="eastAsia" w:ascii="Calibri" w:eastAsia="宋体"/>
                <w:color w:val="auto"/>
                <w:sz w:val="24"/>
                <w:u w:val="none" w:color="auto"/>
                <w:lang w:val="en-US" w:eastAsia="zh-CN"/>
              </w:rPr>
              <w:t>有电镀工艺的；年用溶剂型涂料（含稀释剂）10吨及以上</w:t>
            </w:r>
            <w:r>
              <w:rPr>
                <w:rFonts w:hint="eastAsia" w:eastAsia="宋体"/>
                <w:color w:val="auto"/>
                <w:sz w:val="24"/>
                <w:u w:val="none" w:color="auto"/>
                <w:lang w:eastAsia="zh-CN"/>
              </w:rPr>
              <w:t>”</w:t>
            </w:r>
            <w:r>
              <w:rPr>
                <w:color w:val="auto"/>
                <w:sz w:val="24"/>
                <w:u w:val="none" w:color="auto"/>
              </w:rPr>
              <w:t>应编制</w:t>
            </w:r>
            <w:r>
              <w:rPr>
                <w:rFonts w:hint="eastAsia" w:ascii="Calibri" w:eastAsia="宋体"/>
                <w:color w:val="auto"/>
                <w:sz w:val="24"/>
                <w:u w:val="none" w:color="auto"/>
                <w:lang w:val="en-US" w:eastAsia="zh-CN"/>
              </w:rPr>
              <w:t>环境影响</w:t>
            </w:r>
            <w:r>
              <w:rPr>
                <w:color w:val="auto"/>
                <w:sz w:val="24"/>
                <w:u w:val="none" w:color="auto"/>
              </w:rPr>
              <w:t>报告书，</w:t>
            </w:r>
            <w:r>
              <w:rPr>
                <w:rFonts w:hint="eastAsia"/>
                <w:color w:val="auto"/>
                <w:sz w:val="24"/>
                <w:u w:val="none" w:color="auto"/>
              </w:rPr>
              <w:t>“</w:t>
            </w:r>
            <w:r>
              <w:rPr>
                <w:rFonts w:hint="eastAsia" w:ascii="Calibri" w:eastAsia="宋体"/>
                <w:color w:val="auto"/>
                <w:sz w:val="24"/>
                <w:u w:val="none" w:color="auto"/>
                <w:lang w:val="en-US" w:eastAsia="zh-CN"/>
              </w:rPr>
              <w:t>其他（仅分割、焊接、组装的除外；年用非溶剂型低VOCs含量涂料10吨以下的除外）</w:t>
            </w:r>
            <w:r>
              <w:rPr>
                <w:rFonts w:hint="eastAsia" w:eastAsia="宋体"/>
                <w:color w:val="auto"/>
                <w:sz w:val="24"/>
                <w:u w:val="none" w:color="auto"/>
                <w:lang w:eastAsia="zh-CN"/>
              </w:rPr>
              <w:t>”，</w:t>
            </w:r>
            <w:r>
              <w:rPr>
                <w:rFonts w:hint="eastAsia" w:ascii="Calibri" w:eastAsia="宋体"/>
                <w:color w:val="auto"/>
                <w:sz w:val="24"/>
                <w:u w:val="none" w:color="auto"/>
                <w:lang w:val="en-US" w:eastAsia="zh-CN"/>
              </w:rPr>
              <w:t>项目</w:t>
            </w:r>
            <w:r>
              <w:rPr>
                <w:rFonts w:hint="eastAsia" w:ascii="Times New Roman" w:hAnsi="Times New Roman" w:eastAsia="宋体" w:cs="Times New Roman"/>
                <w:bCs/>
                <w:color w:val="auto"/>
                <w:sz w:val="24"/>
                <w:szCs w:val="24"/>
                <w:highlight w:val="none"/>
                <w:u w:val="none" w:color="auto"/>
                <w:lang w:val="en-US" w:eastAsia="zh-CN"/>
              </w:rPr>
              <w:t>高铁连接板</w:t>
            </w:r>
            <w:r>
              <w:rPr>
                <w:rFonts w:hint="default" w:ascii="Times New Roman" w:hAnsi="Times New Roman" w:eastAsia="宋体" w:cs="Times New Roman"/>
                <w:bCs/>
                <w:color w:val="auto"/>
                <w:sz w:val="24"/>
                <w:szCs w:val="24"/>
                <w:highlight w:val="none"/>
                <w:u w:val="none" w:color="auto"/>
                <w:lang w:val="en-US" w:eastAsia="zh-CN"/>
              </w:rPr>
              <w:t>属于三十四、铁路、船舶、航空航天和其他运输设备制造业</w:t>
            </w:r>
            <w:r>
              <w:rPr>
                <w:rFonts w:hint="eastAsia" w:ascii="Times New Roman" w:hAnsi="Times New Roman" w:eastAsia="宋体" w:cs="Times New Roman"/>
                <w:bCs/>
                <w:color w:val="auto"/>
                <w:sz w:val="24"/>
                <w:szCs w:val="24"/>
                <w:highlight w:val="none"/>
                <w:u w:val="none" w:color="auto"/>
                <w:lang w:val="en-US" w:eastAsia="zh-CN"/>
              </w:rPr>
              <w:t xml:space="preserve"> </w:t>
            </w:r>
            <w:r>
              <w:rPr>
                <w:rFonts w:hint="default" w:ascii="Times New Roman" w:hAnsi="Times New Roman" w:eastAsia="宋体" w:cs="Times New Roman"/>
                <w:bCs/>
                <w:color w:val="auto"/>
                <w:sz w:val="24"/>
                <w:szCs w:val="24"/>
                <w:highlight w:val="none"/>
                <w:u w:val="none" w:color="auto"/>
                <w:lang w:val="en-US" w:eastAsia="zh-CN"/>
              </w:rPr>
              <w:t>铁路运输设备 制造371，</w:t>
            </w:r>
            <w:r>
              <w:rPr>
                <w:color w:val="auto"/>
                <w:sz w:val="24"/>
                <w:u w:val="none" w:color="auto"/>
              </w:rPr>
              <w:t>该项</w:t>
            </w:r>
            <w:r>
              <w:rPr>
                <w:rFonts w:hint="eastAsia" w:eastAsia="宋体"/>
                <w:color w:val="auto"/>
                <w:sz w:val="24"/>
                <w:u w:val="none" w:color="auto"/>
                <w:lang w:eastAsia="zh-CN"/>
              </w:rPr>
              <w:t>“</w:t>
            </w:r>
            <w:r>
              <w:rPr>
                <w:rFonts w:hint="eastAsia" w:ascii="Calibri" w:eastAsia="宋体"/>
                <w:color w:val="auto"/>
                <w:sz w:val="24"/>
                <w:u w:val="none" w:color="auto"/>
                <w:lang w:val="en-US" w:eastAsia="zh-CN"/>
              </w:rPr>
              <w:t>机车、车辆、高铁车组、城市轨道交通设备制造；发动机生产；有电镀工艺的；年用溶剂型涂料（含稀释剂）10吨及以上的</w:t>
            </w:r>
            <w:r>
              <w:rPr>
                <w:rFonts w:hint="eastAsia" w:eastAsia="宋体"/>
                <w:color w:val="auto"/>
                <w:sz w:val="24"/>
                <w:u w:val="none" w:color="auto"/>
                <w:lang w:eastAsia="zh-CN"/>
              </w:rPr>
              <w:t>”</w:t>
            </w:r>
            <w:r>
              <w:rPr>
                <w:color w:val="auto"/>
                <w:sz w:val="24"/>
                <w:u w:val="none" w:color="auto"/>
              </w:rPr>
              <w:t>应编制</w:t>
            </w:r>
            <w:r>
              <w:rPr>
                <w:rFonts w:hint="eastAsia" w:ascii="Calibri" w:eastAsia="宋体"/>
                <w:color w:val="auto"/>
                <w:sz w:val="24"/>
                <w:u w:val="none" w:color="auto"/>
                <w:lang w:val="en-US" w:eastAsia="zh-CN"/>
              </w:rPr>
              <w:t>环境影响</w:t>
            </w:r>
            <w:r>
              <w:rPr>
                <w:color w:val="auto"/>
                <w:sz w:val="24"/>
                <w:u w:val="none" w:color="auto"/>
              </w:rPr>
              <w:t>报告书，</w:t>
            </w:r>
            <w:r>
              <w:rPr>
                <w:rFonts w:hint="eastAsia"/>
                <w:color w:val="auto"/>
                <w:sz w:val="24"/>
                <w:u w:val="none" w:color="auto"/>
              </w:rPr>
              <w:t>“</w:t>
            </w:r>
            <w:r>
              <w:rPr>
                <w:rFonts w:hint="eastAsia" w:ascii="Calibri" w:eastAsia="宋体"/>
                <w:color w:val="auto"/>
                <w:sz w:val="24"/>
                <w:u w:val="none" w:color="auto"/>
                <w:lang w:val="en-US" w:eastAsia="zh-CN"/>
              </w:rPr>
              <w:t>其他（</w:t>
            </w:r>
            <w:r>
              <w:rPr>
                <w:rFonts w:hint="eastAsia" w:ascii="Times New Roman" w:hAnsi="Times New Roman" w:eastAsia="宋体" w:cs="Times New Roman"/>
                <w:bCs/>
                <w:color w:val="auto"/>
                <w:sz w:val="24"/>
                <w:szCs w:val="24"/>
                <w:highlight w:val="none"/>
                <w:u w:val="none" w:color="auto"/>
                <w:lang w:val="en-US" w:eastAsia="zh-CN"/>
              </w:rPr>
              <w:t>年用非溶剂型低VOCs含量涂料10吨以下的除外）均</w:t>
            </w:r>
            <w:r>
              <w:rPr>
                <w:rFonts w:hint="default" w:ascii="Times New Roman" w:hAnsi="Times New Roman" w:eastAsia="宋体" w:cs="Times New Roman"/>
                <w:bCs/>
                <w:color w:val="auto"/>
                <w:sz w:val="24"/>
                <w:szCs w:val="24"/>
                <w:highlight w:val="none"/>
                <w:u w:val="none" w:color="auto"/>
                <w:lang w:val="en-US" w:eastAsia="zh-CN"/>
              </w:rPr>
              <w:t>编制</w:t>
            </w:r>
            <w:r>
              <w:rPr>
                <w:rFonts w:hint="eastAsia" w:ascii="Times New Roman" w:hAnsi="Times New Roman" w:eastAsia="宋体" w:cs="Times New Roman"/>
                <w:bCs/>
                <w:color w:val="auto"/>
                <w:sz w:val="24"/>
                <w:szCs w:val="24"/>
                <w:highlight w:val="none"/>
                <w:u w:val="none" w:color="auto"/>
                <w:lang w:val="en-US" w:eastAsia="zh-CN"/>
              </w:rPr>
              <w:t>环境影响</w:t>
            </w:r>
            <w:r>
              <w:rPr>
                <w:rFonts w:hint="default" w:ascii="Times New Roman" w:hAnsi="Times New Roman" w:eastAsia="宋体" w:cs="Times New Roman"/>
                <w:bCs/>
                <w:color w:val="auto"/>
                <w:sz w:val="24"/>
                <w:szCs w:val="24"/>
                <w:highlight w:val="none"/>
                <w:u w:val="none" w:color="auto"/>
                <w:lang w:val="en-US" w:eastAsia="zh-CN"/>
              </w:rPr>
              <w:t>报告表。本项目</w:t>
            </w:r>
            <w:r>
              <w:rPr>
                <w:rFonts w:hint="eastAsia" w:ascii="Times New Roman" w:hAnsi="Times New Roman" w:eastAsia="宋体" w:cs="Times New Roman"/>
                <w:bCs/>
                <w:color w:val="auto"/>
                <w:sz w:val="24"/>
                <w:szCs w:val="24"/>
                <w:highlight w:val="none"/>
                <w:u w:val="none" w:color="auto"/>
                <w:lang w:val="en-US" w:eastAsia="zh-CN"/>
              </w:rPr>
              <w:t>喷漆工艺年用油性漆量（含稀释剂</w:t>
            </w:r>
            <w:r>
              <w:rPr>
                <w:rFonts w:hint="eastAsia" w:cs="Times New Roman"/>
                <w:bCs/>
                <w:color w:val="auto"/>
                <w:sz w:val="24"/>
                <w:szCs w:val="24"/>
                <w:highlight w:val="none"/>
                <w:u w:val="none" w:color="auto"/>
                <w:lang w:val="en-US" w:eastAsia="zh-CN"/>
              </w:rPr>
              <w:t>、固化剂</w:t>
            </w:r>
            <w:r>
              <w:rPr>
                <w:rFonts w:hint="eastAsia" w:ascii="Times New Roman" w:hAnsi="Times New Roman" w:eastAsia="宋体" w:cs="Times New Roman"/>
                <w:bCs/>
                <w:color w:val="auto"/>
                <w:sz w:val="24"/>
                <w:szCs w:val="24"/>
                <w:highlight w:val="none"/>
                <w:u w:val="none" w:color="auto"/>
                <w:lang w:val="en-US" w:eastAsia="zh-CN"/>
              </w:rPr>
              <w:t>）</w:t>
            </w:r>
            <w:r>
              <w:rPr>
                <w:rFonts w:hint="eastAsia" w:cs="Times New Roman"/>
                <w:bCs/>
                <w:color w:val="auto"/>
                <w:sz w:val="24"/>
                <w:szCs w:val="24"/>
                <w:highlight w:val="none"/>
                <w:u w:val="none" w:color="auto"/>
                <w:lang w:val="en-US" w:eastAsia="zh-CN"/>
              </w:rPr>
              <w:t>为6.556t/a，属于</w:t>
            </w:r>
            <w:r>
              <w:rPr>
                <w:rFonts w:hint="eastAsia" w:ascii="Times New Roman" w:hAnsi="Times New Roman" w:eastAsia="宋体" w:cs="Times New Roman"/>
                <w:bCs/>
                <w:color w:val="auto"/>
                <w:sz w:val="24"/>
                <w:szCs w:val="24"/>
                <w:highlight w:val="none"/>
                <w:u w:val="none" w:color="auto"/>
                <w:lang w:val="en-US" w:eastAsia="zh-CN"/>
              </w:rPr>
              <w:t>10吨以下</w:t>
            </w:r>
            <w:r>
              <w:rPr>
                <w:rFonts w:hint="default" w:ascii="Times New Roman" w:hAnsi="Times New Roman" w:eastAsia="宋体" w:cs="Times New Roman"/>
                <w:bCs/>
                <w:color w:val="auto"/>
                <w:sz w:val="24"/>
                <w:szCs w:val="24"/>
                <w:highlight w:val="none"/>
                <w:u w:val="none" w:color="auto"/>
                <w:lang w:val="en-US" w:eastAsia="zh-CN"/>
              </w:rPr>
              <w:t>，则项目需编制环境影响报告</w:t>
            </w:r>
            <w:r>
              <w:rPr>
                <w:rFonts w:hint="eastAsia" w:ascii="Times New Roman" w:hAnsi="Times New Roman" w:eastAsia="宋体" w:cs="Times New Roman"/>
                <w:bCs/>
                <w:color w:val="auto"/>
                <w:sz w:val="24"/>
                <w:szCs w:val="24"/>
                <w:highlight w:val="none"/>
                <w:u w:val="none" w:color="auto"/>
                <w:lang w:val="en-US" w:eastAsia="zh-CN"/>
              </w:rPr>
              <w:t>表</w:t>
            </w:r>
            <w:r>
              <w:rPr>
                <w:rFonts w:hint="default" w:ascii="Times New Roman" w:hAnsi="Times New Roman" w:eastAsia="宋体" w:cs="Times New Roman"/>
                <w:bCs/>
                <w:color w:val="auto"/>
                <w:sz w:val="24"/>
                <w:szCs w:val="24"/>
                <w:highlight w:val="none"/>
                <w:u w:val="none" w:color="auto"/>
                <w:lang w:val="en-US" w:eastAsia="zh-CN"/>
              </w:rPr>
              <w:t>。</w:t>
            </w:r>
          </w:p>
          <w:p w14:paraId="1A9BA04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2.2</w:t>
            </w:r>
            <w:r>
              <w:rPr>
                <w:rFonts w:hint="default" w:ascii="Times New Roman" w:hAnsi="Times New Roman" w:eastAsia="宋体" w:cs="Times New Roman"/>
                <w:b/>
                <w:bCs/>
                <w:color w:val="auto"/>
                <w:sz w:val="24"/>
                <w:szCs w:val="24"/>
                <w:highlight w:val="none"/>
                <w:u w:val="none" w:color="auto"/>
                <w:lang w:val="en-US" w:eastAsia="zh-CN"/>
              </w:rPr>
              <w:t>项目建设内容</w:t>
            </w:r>
          </w:p>
          <w:p w14:paraId="62A0F1A3">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jc w:val="both"/>
              <w:textAlignment w:val="auto"/>
              <w:rPr>
                <w:rFonts w:hint="default" w:ascii="Times New Roman" w:hAnsi="Times New Roman" w:eastAsia="宋体" w:cs="Times New Roman"/>
                <w:bCs/>
                <w:color w:val="auto"/>
                <w:sz w:val="24"/>
                <w:szCs w:val="24"/>
                <w:highlight w:val="none"/>
                <w:u w:val="none" w:color="auto"/>
                <w:lang w:val="en-US" w:eastAsia="zh-CN"/>
              </w:rPr>
            </w:pPr>
            <w:r>
              <w:rPr>
                <w:rFonts w:hint="default" w:ascii="Times New Roman" w:hAnsi="Times New Roman" w:eastAsia="宋体" w:cs="Times New Roman"/>
                <w:bCs/>
                <w:color w:val="auto"/>
                <w:sz w:val="24"/>
                <w:szCs w:val="24"/>
                <w:highlight w:val="none"/>
                <w:u w:val="none" w:color="auto"/>
                <w:lang w:val="en-US" w:eastAsia="zh-CN"/>
              </w:rPr>
              <w:t>本项目</w:t>
            </w:r>
            <w:r>
              <w:rPr>
                <w:rFonts w:hint="eastAsia" w:ascii="Times New Roman" w:hAnsi="Times New Roman" w:eastAsia="宋体" w:cs="Times New Roman"/>
                <w:bCs/>
                <w:color w:val="auto"/>
                <w:sz w:val="24"/>
                <w:szCs w:val="24"/>
                <w:highlight w:val="none"/>
                <w:u w:val="none" w:color="auto"/>
                <w:lang w:val="en-US" w:eastAsia="zh-CN"/>
              </w:rPr>
              <w:t>总占地面积</w:t>
            </w:r>
            <w:r>
              <w:rPr>
                <w:rFonts w:hint="eastAsia" w:cs="Times New Roman"/>
                <w:bCs/>
                <w:color w:val="auto"/>
                <w:sz w:val="24"/>
                <w:szCs w:val="24"/>
                <w:highlight w:val="none"/>
                <w:u w:val="none" w:color="auto"/>
                <w:lang w:val="en-US" w:eastAsia="zh-CN"/>
              </w:rPr>
              <w:t>6667</w:t>
            </w:r>
            <w:r>
              <w:rPr>
                <w:rFonts w:hint="default" w:ascii="Times New Roman" w:hAnsi="Times New Roman" w:eastAsia="宋体" w:cs="Times New Roman"/>
                <w:bCs/>
                <w:color w:val="auto"/>
                <w:sz w:val="24"/>
                <w:szCs w:val="24"/>
                <w:highlight w:val="none"/>
                <w:u w:val="none" w:color="auto"/>
                <w:lang w:val="en-US" w:eastAsia="zh-CN"/>
              </w:rPr>
              <w:t>m</w:t>
            </w:r>
            <w:r>
              <w:rPr>
                <w:rFonts w:hint="default" w:ascii="Times New Roman" w:hAnsi="Times New Roman" w:eastAsia="宋体" w:cs="Times New Roman"/>
                <w:bCs/>
                <w:color w:val="auto"/>
                <w:sz w:val="24"/>
                <w:szCs w:val="24"/>
                <w:highlight w:val="none"/>
                <w:u w:val="none" w:color="auto"/>
                <w:vertAlign w:val="superscript"/>
                <w:lang w:val="en-US" w:eastAsia="zh-CN"/>
              </w:rPr>
              <w:t>2</w:t>
            </w:r>
            <w:r>
              <w:rPr>
                <w:rFonts w:hint="default" w:ascii="Times New Roman" w:hAnsi="Times New Roman" w:eastAsia="宋体" w:cs="Times New Roman"/>
                <w:bCs/>
                <w:color w:val="auto"/>
                <w:sz w:val="24"/>
                <w:szCs w:val="24"/>
                <w:highlight w:val="none"/>
                <w:u w:val="none" w:color="auto"/>
                <w:lang w:val="en-US" w:eastAsia="zh-CN"/>
              </w:rPr>
              <w:t>，</w:t>
            </w:r>
            <w:r>
              <w:rPr>
                <w:rFonts w:hint="eastAsia" w:cs="Times New Roman"/>
                <w:bCs/>
                <w:color w:val="auto"/>
                <w:sz w:val="24"/>
                <w:szCs w:val="24"/>
                <w:highlight w:val="none"/>
                <w:u w:val="none" w:color="auto"/>
                <w:lang w:val="en-US" w:eastAsia="zh-CN"/>
              </w:rPr>
              <w:t>建筑面积5118m</w:t>
            </w:r>
            <w:r>
              <w:rPr>
                <w:rFonts w:hint="eastAsia" w:cs="Times New Roman"/>
                <w:bCs/>
                <w:color w:val="auto"/>
                <w:sz w:val="24"/>
                <w:szCs w:val="24"/>
                <w:highlight w:val="none"/>
                <w:u w:val="none" w:color="auto"/>
                <w:vertAlign w:val="superscript"/>
                <w:lang w:val="en-US" w:eastAsia="zh-CN"/>
              </w:rPr>
              <w:t>2</w:t>
            </w:r>
            <w:r>
              <w:rPr>
                <w:rFonts w:hint="eastAsia" w:cs="Times New Roman"/>
                <w:bCs/>
                <w:color w:val="auto"/>
                <w:sz w:val="24"/>
                <w:szCs w:val="24"/>
                <w:highlight w:val="none"/>
                <w:u w:val="none" w:color="auto"/>
                <w:vertAlign w:val="baseline"/>
                <w:lang w:val="en-US" w:eastAsia="zh-CN"/>
              </w:rPr>
              <w:t>。租用现有厂房，</w:t>
            </w:r>
            <w:r>
              <w:rPr>
                <w:rFonts w:hint="eastAsia" w:ascii="Times New Roman" w:hAnsi="Times New Roman" w:eastAsia="宋体" w:cs="Times New Roman"/>
                <w:color w:val="auto"/>
                <w:kern w:val="2"/>
                <w:sz w:val="24"/>
                <w:szCs w:val="24"/>
                <w:highlight w:val="none"/>
                <w:u w:val="none" w:color="auto"/>
                <w:lang w:val="en-US" w:eastAsia="zh-CN"/>
              </w:rPr>
              <w:t>主要建设内容包括</w:t>
            </w:r>
            <w:r>
              <w:rPr>
                <w:rFonts w:hint="eastAsia" w:cs="Times New Roman"/>
                <w:color w:val="auto"/>
                <w:kern w:val="2"/>
                <w:sz w:val="24"/>
                <w:szCs w:val="24"/>
                <w:highlight w:val="none"/>
                <w:u w:val="none" w:color="auto"/>
                <w:lang w:val="en-US" w:eastAsia="zh-CN"/>
              </w:rPr>
              <w:t>办公区、生产区</w:t>
            </w:r>
            <w:r>
              <w:rPr>
                <w:rFonts w:hint="default" w:ascii="Times New Roman" w:hAnsi="Times New Roman" w:eastAsia="宋体" w:cs="Times New Roman"/>
                <w:bCs/>
                <w:color w:val="auto"/>
                <w:sz w:val="24"/>
                <w:szCs w:val="24"/>
                <w:highlight w:val="none"/>
                <w:u w:val="none" w:color="auto"/>
                <w:lang w:val="en-US" w:eastAsia="zh-CN"/>
              </w:rPr>
              <w:t>、废水、废气处理等公用、环保工程</w:t>
            </w:r>
            <w:r>
              <w:rPr>
                <w:rFonts w:hint="eastAsia" w:cs="Times New Roman"/>
                <w:color w:val="auto"/>
                <w:kern w:val="2"/>
                <w:sz w:val="24"/>
                <w:szCs w:val="24"/>
                <w:highlight w:val="none"/>
                <w:u w:val="none" w:color="auto"/>
                <w:lang w:val="en-US" w:eastAsia="zh-CN"/>
              </w:rPr>
              <w:t>。</w:t>
            </w:r>
            <w:r>
              <w:rPr>
                <w:rFonts w:hint="eastAsia" w:ascii="Times New Roman" w:hAnsi="Times New Roman" w:eastAsia="宋体" w:cs="Times New Roman"/>
                <w:color w:val="auto"/>
                <w:kern w:val="2"/>
                <w:sz w:val="24"/>
                <w:szCs w:val="24"/>
                <w:highlight w:val="none"/>
                <w:u w:val="none" w:color="auto"/>
                <w:lang w:val="en-US" w:eastAsia="zh-CN"/>
              </w:rPr>
              <w:t>建成后，可达</w:t>
            </w:r>
            <w:r>
              <w:rPr>
                <w:rFonts w:hint="eastAsia" w:ascii="Times New Roman" w:hAnsi="Times New Roman" w:eastAsia="宋体" w:cs="Times New Roman"/>
                <w:bCs/>
                <w:color w:val="auto"/>
                <w:sz w:val="24"/>
                <w:szCs w:val="24"/>
                <w:highlight w:val="none"/>
                <w:u w:val="none" w:color="auto"/>
                <w:lang w:val="en-US" w:eastAsia="zh-CN"/>
              </w:rPr>
              <w:t>年产</w:t>
            </w:r>
            <w:r>
              <w:rPr>
                <w:rFonts w:hint="eastAsia" w:cs="Times New Roman"/>
                <w:bCs/>
                <w:color w:val="auto"/>
                <w:sz w:val="24"/>
                <w:szCs w:val="24"/>
                <w:highlight w:val="none"/>
                <w:u w:val="none" w:color="auto"/>
                <w:lang w:val="en-US" w:eastAsia="zh-CN"/>
              </w:rPr>
              <w:t>风扇、风罩</w:t>
            </w:r>
            <w:r>
              <w:rPr>
                <w:rFonts w:hint="eastAsia" w:ascii="Times New Roman" w:hAnsi="Times New Roman" w:eastAsia="宋体" w:cs="Times New Roman"/>
                <w:bCs/>
                <w:color w:val="auto"/>
                <w:sz w:val="24"/>
                <w:szCs w:val="24"/>
                <w:highlight w:val="none"/>
                <w:u w:val="none" w:color="auto"/>
                <w:lang w:val="en-US" w:eastAsia="zh-CN"/>
              </w:rPr>
              <w:t>3000台套、年加工高铁连接板8000件</w:t>
            </w:r>
            <w:r>
              <w:rPr>
                <w:rFonts w:hint="eastAsia" w:ascii="Times New Roman" w:hAnsi="Times New Roman" w:eastAsia="宋体" w:cs="Times New Roman"/>
                <w:color w:val="auto"/>
                <w:kern w:val="2"/>
                <w:sz w:val="24"/>
                <w:szCs w:val="24"/>
                <w:highlight w:val="none"/>
                <w:u w:val="none" w:color="auto"/>
                <w:lang w:val="en-US" w:eastAsia="zh-CN"/>
              </w:rPr>
              <w:t>的生产能力。</w:t>
            </w:r>
            <w:r>
              <w:rPr>
                <w:rFonts w:hint="default" w:ascii="Times New Roman" w:hAnsi="Times New Roman" w:eastAsia="宋体" w:cs="Times New Roman"/>
                <w:bCs/>
                <w:color w:val="auto"/>
                <w:sz w:val="24"/>
                <w:szCs w:val="24"/>
                <w:highlight w:val="none"/>
                <w:u w:val="none" w:color="auto"/>
                <w:lang w:val="en-US" w:eastAsia="zh-CN"/>
              </w:rPr>
              <w:t>本工程基本情况详见下表。</w:t>
            </w:r>
          </w:p>
          <w:p w14:paraId="38501DEA">
            <w:pPr>
              <w:keepNext w:val="0"/>
              <w:keepLines w:val="0"/>
              <w:pageBreakBefore w:val="0"/>
              <w:widowControl w:val="0"/>
              <w:kinsoku/>
              <w:wordWrap/>
              <w:overflowPunct/>
              <w:topLinePunct w:val="0"/>
              <w:autoSpaceDE/>
              <w:autoSpaceDN/>
              <w:bidi w:val="0"/>
              <w:adjustRightInd w:val="0"/>
              <w:snapToGrid w:val="0"/>
              <w:spacing w:line="480" w:lineRule="exact"/>
              <w:ind w:firstLine="0" w:firstLineChars="0"/>
              <w:jc w:val="center"/>
              <w:textAlignment w:val="auto"/>
              <w:rPr>
                <w:rFonts w:hint="default" w:ascii="Times New Roman" w:hAnsi="Times New Roman" w:eastAsia="宋体" w:cs="Times New Roman"/>
                <w:b/>
                <w:bCs w:val="0"/>
                <w:color w:val="auto"/>
                <w:sz w:val="21"/>
                <w:szCs w:val="21"/>
                <w:highlight w:val="none"/>
                <w:u w:val="none" w:color="auto"/>
                <w:vertAlign w:val="baseline"/>
                <w:lang w:val="en-US" w:eastAsia="zh-CN"/>
              </w:rPr>
            </w:pPr>
            <w:r>
              <w:rPr>
                <w:rFonts w:hint="default" w:ascii="Times New Roman" w:hAnsi="Times New Roman" w:eastAsia="宋体" w:cs="Times New Roman"/>
                <w:b/>
                <w:bCs w:val="0"/>
                <w:color w:val="auto"/>
                <w:sz w:val="21"/>
                <w:szCs w:val="21"/>
                <w:highlight w:val="none"/>
                <w:u w:val="none" w:color="auto"/>
                <w:vertAlign w:val="baseline"/>
                <w:lang w:val="en-US" w:eastAsia="zh-CN"/>
              </w:rPr>
              <w:t>表2-1</w:t>
            </w:r>
            <w:r>
              <w:rPr>
                <w:rFonts w:hint="eastAsia" w:ascii="Times New Roman" w:hAnsi="Times New Roman" w:eastAsia="宋体" w:cs="Times New Roman"/>
                <w:b/>
                <w:bCs w:val="0"/>
                <w:color w:val="auto"/>
                <w:sz w:val="21"/>
                <w:szCs w:val="21"/>
                <w:highlight w:val="none"/>
                <w:u w:val="none" w:color="auto"/>
                <w:vertAlign w:val="baseline"/>
                <w:lang w:val="en-US" w:eastAsia="zh-CN"/>
              </w:rPr>
              <w:t xml:space="preserve">    </w:t>
            </w:r>
            <w:r>
              <w:rPr>
                <w:rFonts w:hint="default" w:ascii="Times New Roman" w:hAnsi="Times New Roman" w:eastAsia="宋体" w:cs="Times New Roman"/>
                <w:b/>
                <w:bCs w:val="0"/>
                <w:color w:val="auto"/>
                <w:sz w:val="21"/>
                <w:szCs w:val="21"/>
                <w:highlight w:val="none"/>
                <w:u w:val="none" w:color="auto"/>
                <w:vertAlign w:val="baseline"/>
                <w:lang w:val="en-US" w:eastAsia="zh-CN"/>
              </w:rPr>
              <w:t>项目建设内容一览表</w:t>
            </w:r>
          </w:p>
          <w:tbl>
            <w:tblPr>
              <w:tblStyle w:val="31"/>
              <w:tblW w:w="7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93"/>
              <w:gridCol w:w="1280"/>
              <w:gridCol w:w="1411"/>
              <w:gridCol w:w="3954"/>
            </w:tblGrid>
            <w:tr w14:paraId="62620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14" w:hRule="atLeast"/>
                <w:tblHeader/>
                <w:jc w:val="center"/>
              </w:trPr>
              <w:tc>
                <w:tcPr>
                  <w:tcW w:w="693" w:type="dxa"/>
                  <w:noWrap w:val="0"/>
                  <w:vAlign w:val="center"/>
                </w:tcPr>
                <w:p w14:paraId="5D641A39">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工程</w:t>
                  </w:r>
                </w:p>
                <w:p w14:paraId="210431E8">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类别</w:t>
                  </w:r>
                </w:p>
              </w:tc>
              <w:tc>
                <w:tcPr>
                  <w:tcW w:w="1280" w:type="dxa"/>
                  <w:noWrap w:val="0"/>
                  <w:vAlign w:val="center"/>
                </w:tcPr>
                <w:p w14:paraId="2B26874E">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生产设施名称</w:t>
                  </w:r>
                </w:p>
              </w:tc>
              <w:tc>
                <w:tcPr>
                  <w:tcW w:w="5365" w:type="dxa"/>
                  <w:gridSpan w:val="2"/>
                  <w:noWrap w:val="0"/>
                  <w:vAlign w:val="center"/>
                </w:tcPr>
                <w:p w14:paraId="37042DA2">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主要建设内容</w:t>
                  </w:r>
                </w:p>
              </w:tc>
            </w:tr>
            <w:tr w14:paraId="4DA60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70" w:hRule="atLeast"/>
                <w:tblHeader/>
                <w:jc w:val="center"/>
              </w:trPr>
              <w:tc>
                <w:tcPr>
                  <w:tcW w:w="693" w:type="dxa"/>
                  <w:vMerge w:val="restart"/>
                  <w:noWrap w:val="0"/>
                  <w:vAlign w:val="center"/>
                </w:tcPr>
                <w:p w14:paraId="37D13970">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主体</w:t>
                  </w:r>
                </w:p>
                <w:p w14:paraId="163D331E">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工程</w:t>
                  </w:r>
                </w:p>
              </w:tc>
              <w:tc>
                <w:tcPr>
                  <w:tcW w:w="1280" w:type="dxa"/>
                  <w:noWrap w:val="0"/>
                  <w:vAlign w:val="center"/>
                </w:tcPr>
                <w:p w14:paraId="21761A6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none"/>
                      <w:u w:val="none" w:color="auto"/>
                      <w:lang w:eastAsia="zh-CN"/>
                    </w:rPr>
                  </w:pPr>
                  <w:r>
                    <w:rPr>
                      <w:rFonts w:hint="eastAsia" w:ascii="Times New Roman" w:hAnsi="Times New Roman" w:cs="Times New Roman"/>
                      <w:color w:val="auto"/>
                      <w:sz w:val="21"/>
                      <w:szCs w:val="21"/>
                      <w:highlight w:val="none"/>
                      <w:u w:val="none" w:color="auto"/>
                      <w:lang w:val="en-US" w:eastAsia="zh-CN"/>
                    </w:rPr>
                    <w:t>车间一</w:t>
                  </w:r>
                </w:p>
              </w:tc>
              <w:tc>
                <w:tcPr>
                  <w:tcW w:w="5365" w:type="dxa"/>
                  <w:gridSpan w:val="2"/>
                  <w:noWrap w:val="0"/>
                  <w:vAlign w:val="center"/>
                </w:tcPr>
                <w:p w14:paraId="279916A6">
                  <w:pPr>
                    <w:keepNext w:val="0"/>
                    <w:keepLines w:val="0"/>
                    <w:pageBreakBefore w:val="0"/>
                    <w:widowControl w:val="0"/>
                    <w:kinsoku/>
                    <w:wordWrap/>
                    <w:overflowPunct/>
                    <w:topLinePunct w:val="0"/>
                    <w:autoSpaceDE/>
                    <w:autoSpaceDN/>
                    <w:bidi w:val="0"/>
                    <w:adjustRightInd/>
                    <w:snapToGrid/>
                    <w:spacing w:before="0" w:after="0" w:line="260" w:lineRule="exact"/>
                    <w:jc w:val="left"/>
                    <w:textAlignment w:val="auto"/>
                    <w:rPr>
                      <w:rFonts w:hint="default" w:ascii="Times New Roman" w:hAnsi="Times New Roman" w:eastAsia="宋体" w:cs="Times New Roman"/>
                      <w:color w:val="auto"/>
                      <w:kern w:val="0"/>
                      <w:sz w:val="21"/>
                      <w:szCs w:val="21"/>
                      <w:highlight w:val="yellow"/>
                      <w:u w:val="none" w:color="auto"/>
                      <w:lang w:val="en-US" w:eastAsia="zh-CN" w:bidi="ar-SA"/>
                    </w:rPr>
                  </w:pPr>
                  <w:r>
                    <w:rPr>
                      <w:rFonts w:hint="default" w:ascii="Times New Roman" w:hAnsi="Times New Roman" w:eastAsia="宋体" w:cs="Times New Roman"/>
                      <w:color w:val="auto"/>
                      <w:kern w:val="0"/>
                      <w:sz w:val="21"/>
                      <w:szCs w:val="21"/>
                      <w:highlight w:val="none"/>
                      <w:u w:val="none" w:color="auto"/>
                      <w:lang w:val="en-US" w:eastAsia="zh-CN" w:bidi="ar-SA"/>
                    </w:rPr>
                    <w:t>占地面积</w:t>
                  </w:r>
                  <w:r>
                    <w:rPr>
                      <w:rFonts w:hint="eastAsia" w:cs="Times New Roman"/>
                      <w:color w:val="auto"/>
                      <w:kern w:val="0"/>
                      <w:sz w:val="21"/>
                      <w:szCs w:val="21"/>
                      <w:highlight w:val="none"/>
                      <w:u w:val="none" w:color="auto"/>
                      <w:lang w:val="en-US" w:eastAsia="zh-CN" w:bidi="ar-SA"/>
                    </w:rPr>
                    <w:t>1400</w:t>
                  </w:r>
                  <w:r>
                    <w:rPr>
                      <w:rFonts w:hint="default" w:ascii="Times New Roman" w:hAnsi="Times New Roman" w:eastAsia="宋体" w:cs="Times New Roman"/>
                      <w:color w:val="auto"/>
                      <w:kern w:val="0"/>
                      <w:sz w:val="21"/>
                      <w:szCs w:val="21"/>
                      <w:highlight w:val="none"/>
                      <w:u w:val="none" w:color="auto"/>
                      <w:lang w:val="en-US" w:eastAsia="zh-CN" w:bidi="ar-SA"/>
                    </w:rPr>
                    <w:t>m</w:t>
                  </w:r>
                  <w:r>
                    <w:rPr>
                      <w:rFonts w:hint="default" w:ascii="Times New Roman" w:hAnsi="Times New Roman" w:eastAsia="宋体" w:cs="Times New Roman"/>
                      <w:color w:val="auto"/>
                      <w:kern w:val="0"/>
                      <w:sz w:val="21"/>
                      <w:szCs w:val="21"/>
                      <w:highlight w:val="none"/>
                      <w:u w:val="none" w:color="auto"/>
                      <w:vertAlign w:val="superscript"/>
                      <w:lang w:val="en-US" w:eastAsia="zh-CN" w:bidi="ar-SA"/>
                    </w:rPr>
                    <w:t>2</w:t>
                  </w:r>
                  <w:r>
                    <w:rPr>
                      <w:rFonts w:hint="default" w:ascii="Times New Roman" w:hAnsi="Times New Roman" w:eastAsia="宋体" w:cs="Times New Roman"/>
                      <w:color w:val="auto"/>
                      <w:kern w:val="0"/>
                      <w:sz w:val="21"/>
                      <w:szCs w:val="21"/>
                      <w:highlight w:val="none"/>
                      <w:u w:val="none" w:color="auto"/>
                      <w:lang w:val="en-US" w:eastAsia="zh-CN" w:bidi="ar-SA"/>
                    </w:rPr>
                    <w:t>，建筑面积</w:t>
                  </w:r>
                  <w:r>
                    <w:rPr>
                      <w:rFonts w:hint="eastAsia" w:cs="Times New Roman"/>
                      <w:color w:val="auto"/>
                      <w:kern w:val="0"/>
                      <w:sz w:val="21"/>
                      <w:szCs w:val="21"/>
                      <w:highlight w:val="none"/>
                      <w:u w:val="none" w:color="auto"/>
                      <w:lang w:val="en-US" w:eastAsia="zh-CN" w:bidi="ar-SA"/>
                    </w:rPr>
                    <w:t>1400</w:t>
                  </w:r>
                  <w:r>
                    <w:rPr>
                      <w:rFonts w:hint="default" w:ascii="Times New Roman" w:hAnsi="Times New Roman" w:eastAsia="宋体" w:cs="Times New Roman"/>
                      <w:color w:val="auto"/>
                      <w:kern w:val="0"/>
                      <w:sz w:val="21"/>
                      <w:szCs w:val="21"/>
                      <w:highlight w:val="none"/>
                      <w:u w:val="none" w:color="auto"/>
                      <w:lang w:val="en-US" w:eastAsia="zh-CN" w:bidi="ar-SA"/>
                    </w:rPr>
                    <w:t>m</w:t>
                  </w:r>
                  <w:r>
                    <w:rPr>
                      <w:rFonts w:hint="default" w:ascii="Times New Roman" w:hAnsi="Times New Roman" w:eastAsia="宋体" w:cs="Times New Roman"/>
                      <w:color w:val="auto"/>
                      <w:kern w:val="0"/>
                      <w:sz w:val="21"/>
                      <w:szCs w:val="21"/>
                      <w:highlight w:val="none"/>
                      <w:u w:val="none" w:color="auto"/>
                      <w:vertAlign w:val="superscript"/>
                      <w:lang w:val="en-US" w:eastAsia="zh-CN" w:bidi="ar-SA"/>
                    </w:rPr>
                    <w:t>2</w:t>
                  </w:r>
                  <w:r>
                    <w:rPr>
                      <w:rFonts w:hint="default" w:ascii="Times New Roman" w:hAnsi="Times New Roman" w:eastAsia="宋体" w:cs="Times New Roman"/>
                      <w:color w:val="auto"/>
                      <w:kern w:val="0"/>
                      <w:sz w:val="21"/>
                      <w:szCs w:val="21"/>
                      <w:highlight w:val="none"/>
                      <w:u w:val="none" w:color="auto"/>
                      <w:lang w:val="en-US" w:eastAsia="zh-CN" w:bidi="ar-SA"/>
                    </w:rPr>
                    <w:t>，</w:t>
                  </w:r>
                  <w:r>
                    <w:rPr>
                      <w:rFonts w:hint="eastAsia" w:cs="Times New Roman"/>
                      <w:color w:val="auto"/>
                      <w:kern w:val="0"/>
                      <w:sz w:val="21"/>
                      <w:szCs w:val="21"/>
                      <w:highlight w:val="none"/>
                      <w:u w:val="none" w:color="auto"/>
                      <w:lang w:val="en-US" w:eastAsia="zh-CN" w:bidi="ar-SA"/>
                    </w:rPr>
                    <w:t>砖混结构，</w:t>
                  </w:r>
                  <w:r>
                    <w:rPr>
                      <w:rFonts w:hint="eastAsia" w:ascii="Times New Roman" w:hAnsi="Times New Roman" w:eastAsia="宋体" w:cs="Times New Roman"/>
                      <w:color w:val="auto"/>
                      <w:kern w:val="0"/>
                      <w:sz w:val="21"/>
                      <w:szCs w:val="21"/>
                      <w:highlight w:val="none"/>
                      <w:u w:val="none" w:color="auto"/>
                      <w:lang w:val="en-US" w:eastAsia="zh-CN" w:bidi="ar-SA"/>
                    </w:rPr>
                    <w:t>1</w:t>
                  </w:r>
                  <w:r>
                    <w:rPr>
                      <w:rFonts w:hint="default" w:ascii="Times New Roman" w:hAnsi="Times New Roman" w:eastAsia="宋体" w:cs="Times New Roman"/>
                      <w:color w:val="auto"/>
                      <w:kern w:val="0"/>
                      <w:sz w:val="21"/>
                      <w:szCs w:val="21"/>
                      <w:highlight w:val="none"/>
                      <w:u w:val="none" w:color="auto"/>
                      <w:lang w:val="en-US" w:eastAsia="zh-CN" w:bidi="ar-SA"/>
                    </w:rPr>
                    <w:t>层，位于厂区</w:t>
                  </w:r>
                  <w:r>
                    <w:rPr>
                      <w:rFonts w:hint="eastAsia" w:cs="Times New Roman"/>
                      <w:color w:val="auto"/>
                      <w:kern w:val="0"/>
                      <w:sz w:val="21"/>
                      <w:szCs w:val="21"/>
                      <w:highlight w:val="none"/>
                      <w:u w:val="none" w:color="auto"/>
                      <w:lang w:val="en-US" w:eastAsia="zh-CN" w:bidi="ar-SA"/>
                    </w:rPr>
                    <w:t>东</w:t>
                  </w:r>
                  <w:r>
                    <w:rPr>
                      <w:rFonts w:hint="eastAsia" w:ascii="Times New Roman" w:hAnsi="Times New Roman" w:eastAsia="宋体" w:cs="Times New Roman"/>
                      <w:color w:val="auto"/>
                      <w:kern w:val="0"/>
                      <w:sz w:val="21"/>
                      <w:szCs w:val="21"/>
                      <w:highlight w:val="none"/>
                      <w:u w:val="none" w:color="auto"/>
                      <w:lang w:val="en-US" w:eastAsia="zh-CN" w:bidi="ar-SA"/>
                    </w:rPr>
                    <w:t>部</w:t>
                  </w:r>
                  <w:r>
                    <w:rPr>
                      <w:rFonts w:hint="default" w:ascii="Times New Roman" w:hAnsi="Times New Roman" w:eastAsia="宋体" w:cs="Times New Roman"/>
                      <w:color w:val="auto"/>
                      <w:kern w:val="0"/>
                      <w:sz w:val="21"/>
                      <w:szCs w:val="21"/>
                      <w:highlight w:val="none"/>
                      <w:u w:val="none" w:color="auto"/>
                      <w:lang w:val="en-US" w:eastAsia="zh-CN" w:bidi="ar-SA"/>
                    </w:rPr>
                    <w:t>，</w:t>
                  </w:r>
                  <w:r>
                    <w:rPr>
                      <w:rFonts w:hint="eastAsia" w:ascii="Times New Roman" w:hAnsi="Times New Roman" w:eastAsia="宋体" w:cs="Times New Roman"/>
                      <w:color w:val="auto"/>
                      <w:kern w:val="0"/>
                      <w:sz w:val="21"/>
                      <w:szCs w:val="21"/>
                      <w:highlight w:val="none"/>
                      <w:u w:val="none" w:color="auto"/>
                      <w:lang w:val="en-US" w:eastAsia="zh-CN" w:bidi="ar-SA"/>
                    </w:rPr>
                    <w:t>包括</w:t>
                  </w:r>
                  <w:r>
                    <w:rPr>
                      <w:rFonts w:hint="eastAsia" w:cs="Times New Roman"/>
                      <w:color w:val="auto"/>
                      <w:kern w:val="0"/>
                      <w:sz w:val="21"/>
                      <w:szCs w:val="21"/>
                      <w:highlight w:val="none"/>
                      <w:u w:val="none" w:color="auto"/>
                      <w:lang w:val="en-US" w:eastAsia="zh-CN" w:bidi="ar-SA"/>
                    </w:rPr>
                    <w:t>风扇、风罩前处理、喷漆</w:t>
                  </w:r>
                  <w:r>
                    <w:rPr>
                      <w:rFonts w:hint="eastAsia" w:ascii="Times New Roman" w:hAnsi="Times New Roman" w:eastAsia="宋体" w:cs="Times New Roman"/>
                      <w:color w:val="auto"/>
                      <w:kern w:val="0"/>
                      <w:sz w:val="21"/>
                      <w:szCs w:val="21"/>
                      <w:highlight w:val="none"/>
                      <w:u w:val="none" w:color="auto"/>
                      <w:lang w:val="en-US" w:eastAsia="zh-CN" w:bidi="ar-SA"/>
                    </w:rPr>
                    <w:t>工序</w:t>
                  </w:r>
                  <w:r>
                    <w:rPr>
                      <w:rFonts w:hint="eastAsia" w:cs="Times New Roman"/>
                      <w:color w:val="auto"/>
                      <w:kern w:val="0"/>
                      <w:sz w:val="21"/>
                      <w:szCs w:val="21"/>
                      <w:highlight w:val="none"/>
                      <w:u w:val="none" w:color="auto"/>
                      <w:lang w:val="en-US" w:eastAsia="zh-CN" w:bidi="ar-SA"/>
                    </w:rPr>
                    <w:t>以及原材料存放区域</w:t>
                  </w:r>
                  <w:r>
                    <w:rPr>
                      <w:rFonts w:hint="default" w:ascii="Times New Roman" w:hAnsi="Times New Roman" w:eastAsia="宋体" w:cs="Times New Roman"/>
                      <w:i w:val="0"/>
                      <w:iCs w:val="0"/>
                      <w:color w:val="auto"/>
                      <w:kern w:val="0"/>
                      <w:sz w:val="21"/>
                      <w:szCs w:val="21"/>
                      <w:highlight w:val="none"/>
                      <w:u w:val="none" w:color="auto"/>
                      <w:lang w:val="en-US" w:eastAsia="zh-CN" w:bidi="ar-SA"/>
                    </w:rPr>
                    <w:t>等。</w:t>
                  </w:r>
                </w:p>
              </w:tc>
            </w:tr>
            <w:tr w14:paraId="056B4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70" w:hRule="atLeast"/>
                <w:tblHeader/>
                <w:jc w:val="center"/>
              </w:trPr>
              <w:tc>
                <w:tcPr>
                  <w:tcW w:w="693" w:type="dxa"/>
                  <w:vMerge w:val="continue"/>
                  <w:noWrap w:val="0"/>
                  <w:vAlign w:val="center"/>
                </w:tcPr>
                <w:p w14:paraId="5DE6F8EA">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yellow"/>
                      <w:u w:val="none" w:color="auto"/>
                      <w:lang w:val="zh-CN" w:eastAsia="zh-CN" w:bidi="ar-SA"/>
                    </w:rPr>
                  </w:pPr>
                </w:p>
              </w:tc>
              <w:tc>
                <w:tcPr>
                  <w:tcW w:w="1280" w:type="dxa"/>
                  <w:noWrap w:val="0"/>
                  <w:vAlign w:val="center"/>
                </w:tcPr>
                <w:p w14:paraId="5E86C2C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车间二</w:t>
                  </w:r>
                </w:p>
              </w:tc>
              <w:tc>
                <w:tcPr>
                  <w:tcW w:w="5365" w:type="dxa"/>
                  <w:gridSpan w:val="2"/>
                  <w:noWrap w:val="0"/>
                  <w:vAlign w:val="center"/>
                </w:tcPr>
                <w:p w14:paraId="2B1BB765">
                  <w:pPr>
                    <w:keepNext w:val="0"/>
                    <w:keepLines w:val="0"/>
                    <w:pageBreakBefore w:val="0"/>
                    <w:widowControl w:val="0"/>
                    <w:kinsoku/>
                    <w:wordWrap/>
                    <w:overflowPunct/>
                    <w:topLinePunct w:val="0"/>
                    <w:autoSpaceDE/>
                    <w:autoSpaceDN/>
                    <w:bidi w:val="0"/>
                    <w:adjustRightInd/>
                    <w:snapToGrid/>
                    <w:spacing w:before="0" w:after="0" w:line="260" w:lineRule="exact"/>
                    <w:jc w:val="left"/>
                    <w:textAlignment w:val="auto"/>
                    <w:rPr>
                      <w:rFonts w:hint="default" w:ascii="Times New Roman" w:hAnsi="Times New Roman" w:eastAsia="宋体" w:cs="Times New Roman"/>
                      <w:color w:val="auto"/>
                      <w:kern w:val="0"/>
                      <w:sz w:val="21"/>
                      <w:szCs w:val="21"/>
                      <w:highlight w:val="yellow"/>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en-US" w:eastAsia="zh-CN" w:bidi="ar-SA"/>
                    </w:rPr>
                    <w:t>占地面积</w:t>
                  </w:r>
                  <w:r>
                    <w:rPr>
                      <w:rFonts w:hint="eastAsia" w:cs="Times New Roman"/>
                      <w:color w:val="auto"/>
                      <w:kern w:val="0"/>
                      <w:sz w:val="21"/>
                      <w:szCs w:val="21"/>
                      <w:highlight w:val="none"/>
                      <w:u w:val="none" w:color="auto"/>
                      <w:lang w:val="en-US" w:eastAsia="zh-CN" w:bidi="ar-SA"/>
                    </w:rPr>
                    <w:t>800</w:t>
                  </w:r>
                  <w:r>
                    <w:rPr>
                      <w:rFonts w:hint="default" w:ascii="Times New Roman" w:hAnsi="Times New Roman" w:eastAsia="宋体" w:cs="Times New Roman"/>
                      <w:color w:val="auto"/>
                      <w:kern w:val="0"/>
                      <w:sz w:val="21"/>
                      <w:szCs w:val="21"/>
                      <w:highlight w:val="none"/>
                      <w:u w:val="none" w:color="auto"/>
                      <w:lang w:val="en-US" w:eastAsia="zh-CN" w:bidi="ar-SA"/>
                    </w:rPr>
                    <w:t>m</w:t>
                  </w:r>
                  <w:r>
                    <w:rPr>
                      <w:rFonts w:hint="default" w:ascii="Times New Roman" w:hAnsi="Times New Roman" w:eastAsia="宋体" w:cs="Times New Roman"/>
                      <w:color w:val="auto"/>
                      <w:kern w:val="0"/>
                      <w:sz w:val="21"/>
                      <w:szCs w:val="21"/>
                      <w:highlight w:val="none"/>
                      <w:u w:val="none" w:color="auto"/>
                      <w:vertAlign w:val="superscript"/>
                      <w:lang w:val="en-US" w:eastAsia="zh-CN" w:bidi="ar-SA"/>
                    </w:rPr>
                    <w:t>2</w:t>
                  </w:r>
                  <w:r>
                    <w:rPr>
                      <w:rFonts w:hint="default" w:ascii="Times New Roman" w:hAnsi="Times New Roman" w:eastAsia="宋体" w:cs="Times New Roman"/>
                      <w:color w:val="auto"/>
                      <w:kern w:val="0"/>
                      <w:sz w:val="21"/>
                      <w:szCs w:val="21"/>
                      <w:highlight w:val="none"/>
                      <w:u w:val="none" w:color="auto"/>
                      <w:lang w:val="en-US" w:eastAsia="zh-CN" w:bidi="ar-SA"/>
                    </w:rPr>
                    <w:t>，建筑面积</w:t>
                  </w:r>
                  <w:r>
                    <w:rPr>
                      <w:rFonts w:hint="eastAsia" w:cs="Times New Roman"/>
                      <w:color w:val="auto"/>
                      <w:kern w:val="0"/>
                      <w:sz w:val="21"/>
                      <w:szCs w:val="21"/>
                      <w:highlight w:val="none"/>
                      <w:u w:val="none" w:color="auto"/>
                      <w:lang w:val="en-US" w:eastAsia="zh-CN" w:bidi="ar-SA"/>
                    </w:rPr>
                    <w:t>800</w:t>
                  </w:r>
                  <w:r>
                    <w:rPr>
                      <w:rFonts w:hint="default" w:ascii="Times New Roman" w:hAnsi="Times New Roman" w:eastAsia="宋体" w:cs="Times New Roman"/>
                      <w:color w:val="auto"/>
                      <w:kern w:val="0"/>
                      <w:sz w:val="21"/>
                      <w:szCs w:val="21"/>
                      <w:highlight w:val="none"/>
                      <w:u w:val="none" w:color="auto"/>
                      <w:lang w:val="en-US" w:eastAsia="zh-CN" w:bidi="ar-SA"/>
                    </w:rPr>
                    <w:t>m</w:t>
                  </w:r>
                  <w:r>
                    <w:rPr>
                      <w:rFonts w:hint="default" w:ascii="Times New Roman" w:hAnsi="Times New Roman" w:eastAsia="宋体" w:cs="Times New Roman"/>
                      <w:color w:val="auto"/>
                      <w:kern w:val="0"/>
                      <w:sz w:val="21"/>
                      <w:szCs w:val="21"/>
                      <w:highlight w:val="none"/>
                      <w:u w:val="none" w:color="auto"/>
                      <w:vertAlign w:val="superscript"/>
                      <w:lang w:val="en-US" w:eastAsia="zh-CN" w:bidi="ar-SA"/>
                    </w:rPr>
                    <w:t>2</w:t>
                  </w:r>
                  <w:r>
                    <w:rPr>
                      <w:rFonts w:hint="default" w:ascii="Times New Roman" w:hAnsi="Times New Roman" w:eastAsia="宋体" w:cs="Times New Roman"/>
                      <w:color w:val="auto"/>
                      <w:kern w:val="0"/>
                      <w:sz w:val="21"/>
                      <w:szCs w:val="21"/>
                      <w:highlight w:val="none"/>
                      <w:u w:val="none" w:color="auto"/>
                      <w:lang w:val="en-US" w:eastAsia="zh-CN" w:bidi="ar-SA"/>
                    </w:rPr>
                    <w:t>，</w:t>
                  </w:r>
                  <w:r>
                    <w:rPr>
                      <w:rFonts w:hint="eastAsia" w:cs="Times New Roman"/>
                      <w:color w:val="auto"/>
                      <w:kern w:val="0"/>
                      <w:sz w:val="21"/>
                      <w:szCs w:val="21"/>
                      <w:highlight w:val="none"/>
                      <w:u w:val="none" w:color="auto"/>
                      <w:lang w:val="en-US" w:eastAsia="zh-CN" w:bidi="ar-SA"/>
                    </w:rPr>
                    <w:t>钢结构，</w:t>
                  </w:r>
                  <w:r>
                    <w:rPr>
                      <w:rFonts w:hint="eastAsia" w:ascii="Times New Roman" w:hAnsi="Times New Roman" w:eastAsia="宋体" w:cs="Times New Roman"/>
                      <w:color w:val="auto"/>
                      <w:kern w:val="0"/>
                      <w:sz w:val="21"/>
                      <w:szCs w:val="21"/>
                      <w:highlight w:val="none"/>
                      <w:u w:val="none" w:color="auto"/>
                      <w:lang w:val="en-US" w:eastAsia="zh-CN" w:bidi="ar-SA"/>
                    </w:rPr>
                    <w:t>1</w:t>
                  </w:r>
                  <w:r>
                    <w:rPr>
                      <w:rFonts w:hint="default" w:ascii="Times New Roman" w:hAnsi="Times New Roman" w:eastAsia="宋体" w:cs="Times New Roman"/>
                      <w:color w:val="auto"/>
                      <w:kern w:val="0"/>
                      <w:sz w:val="21"/>
                      <w:szCs w:val="21"/>
                      <w:highlight w:val="none"/>
                      <w:u w:val="none" w:color="auto"/>
                      <w:lang w:val="en-US" w:eastAsia="zh-CN" w:bidi="ar-SA"/>
                    </w:rPr>
                    <w:t>层，</w:t>
                  </w:r>
                  <w:r>
                    <w:rPr>
                      <w:rFonts w:hint="eastAsia" w:ascii="Times New Roman" w:hAnsi="Times New Roman" w:eastAsia="宋体" w:cs="Times New Roman"/>
                      <w:color w:val="auto"/>
                      <w:kern w:val="0"/>
                      <w:sz w:val="21"/>
                      <w:szCs w:val="21"/>
                      <w:highlight w:val="none"/>
                      <w:u w:val="none" w:color="auto"/>
                      <w:lang w:val="en-US" w:eastAsia="zh-CN" w:bidi="ar-SA"/>
                    </w:rPr>
                    <w:t>位于厂区</w:t>
                  </w:r>
                  <w:r>
                    <w:rPr>
                      <w:rFonts w:hint="eastAsia" w:cs="Times New Roman"/>
                      <w:color w:val="auto"/>
                      <w:kern w:val="0"/>
                      <w:sz w:val="21"/>
                      <w:szCs w:val="21"/>
                      <w:highlight w:val="none"/>
                      <w:u w:val="none" w:color="auto"/>
                      <w:lang w:val="en-US" w:eastAsia="zh-CN" w:bidi="ar-SA"/>
                    </w:rPr>
                    <w:t>中</w:t>
                  </w:r>
                  <w:r>
                    <w:rPr>
                      <w:rFonts w:hint="eastAsia" w:ascii="Times New Roman" w:hAnsi="Times New Roman" w:eastAsia="宋体" w:cs="Times New Roman"/>
                      <w:color w:val="auto"/>
                      <w:kern w:val="0"/>
                      <w:sz w:val="21"/>
                      <w:szCs w:val="21"/>
                      <w:highlight w:val="none"/>
                      <w:u w:val="none" w:color="auto"/>
                      <w:lang w:val="en-US" w:eastAsia="zh-CN" w:bidi="ar-SA"/>
                    </w:rPr>
                    <w:t>部，</w:t>
                  </w:r>
                  <w:r>
                    <w:rPr>
                      <w:rFonts w:hint="eastAsia" w:cs="Times New Roman"/>
                      <w:color w:val="auto"/>
                      <w:kern w:val="0"/>
                      <w:sz w:val="21"/>
                      <w:szCs w:val="21"/>
                      <w:highlight w:val="none"/>
                      <w:u w:val="none" w:color="auto"/>
                      <w:lang w:val="en-US" w:eastAsia="zh-CN" w:bidi="ar-SA"/>
                    </w:rPr>
                    <w:t>车间北部为高铁连接板喷漆、烤漆区域，该区域设置单独密闭车间；车间南部为原料、半成品、成品存放区域</w:t>
                  </w:r>
                  <w:r>
                    <w:rPr>
                      <w:rFonts w:hint="default" w:ascii="Times New Roman" w:hAnsi="Times New Roman" w:eastAsia="宋体" w:cs="Times New Roman"/>
                      <w:color w:val="auto"/>
                      <w:kern w:val="0"/>
                      <w:sz w:val="21"/>
                      <w:szCs w:val="21"/>
                      <w:highlight w:val="none"/>
                      <w:u w:val="none" w:color="auto"/>
                      <w:lang w:val="en-US" w:eastAsia="zh-CN" w:bidi="ar-SA"/>
                    </w:rPr>
                    <w:t>等。</w:t>
                  </w:r>
                </w:p>
              </w:tc>
            </w:tr>
            <w:tr w14:paraId="6C48E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14" w:hRule="atLeast"/>
                <w:tblHeader/>
                <w:jc w:val="center"/>
              </w:trPr>
              <w:tc>
                <w:tcPr>
                  <w:tcW w:w="693" w:type="dxa"/>
                  <w:vMerge w:val="continue"/>
                  <w:noWrap w:val="0"/>
                  <w:vAlign w:val="center"/>
                </w:tcPr>
                <w:p w14:paraId="3D8D1197">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yellow"/>
                      <w:u w:val="none" w:color="auto"/>
                      <w:lang w:val="zh-CN" w:eastAsia="zh-CN" w:bidi="ar-SA"/>
                    </w:rPr>
                  </w:pPr>
                </w:p>
              </w:tc>
              <w:tc>
                <w:tcPr>
                  <w:tcW w:w="1280" w:type="dxa"/>
                  <w:noWrap w:val="0"/>
                  <w:vAlign w:val="center"/>
                </w:tcPr>
                <w:p w14:paraId="1F7EFC26">
                  <w:pPr>
                    <w:keepNext w:val="0"/>
                    <w:keepLines w:val="0"/>
                    <w:pageBreakBefore w:val="0"/>
                    <w:widowControl w:val="0"/>
                    <w:tabs>
                      <w:tab w:val="left" w:pos="382"/>
                    </w:tabs>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车间三</w:t>
                  </w:r>
                </w:p>
              </w:tc>
              <w:tc>
                <w:tcPr>
                  <w:tcW w:w="5365" w:type="dxa"/>
                  <w:gridSpan w:val="2"/>
                  <w:noWrap w:val="0"/>
                  <w:vAlign w:val="center"/>
                </w:tcPr>
                <w:p w14:paraId="697DDF6E">
                  <w:pPr>
                    <w:keepNext w:val="0"/>
                    <w:keepLines w:val="0"/>
                    <w:pageBreakBefore w:val="0"/>
                    <w:widowControl w:val="0"/>
                    <w:kinsoku/>
                    <w:wordWrap/>
                    <w:overflowPunct/>
                    <w:topLinePunct w:val="0"/>
                    <w:autoSpaceDE/>
                    <w:autoSpaceDN/>
                    <w:bidi w:val="0"/>
                    <w:adjustRightInd/>
                    <w:snapToGrid/>
                    <w:spacing w:before="0" w:after="0" w:line="260" w:lineRule="exact"/>
                    <w:jc w:val="left"/>
                    <w:textAlignment w:val="auto"/>
                    <w:rPr>
                      <w:rFonts w:hint="default" w:ascii="Times New Roman" w:hAnsi="Times New Roman" w:eastAsia="宋体" w:cs="Times New Roman"/>
                      <w:color w:val="auto"/>
                      <w:kern w:val="0"/>
                      <w:sz w:val="21"/>
                      <w:szCs w:val="21"/>
                      <w:highlight w:val="none"/>
                      <w:u w:val="none" w:color="auto"/>
                      <w:lang w:val="en-US" w:eastAsia="zh-CN" w:bidi="ar-SA"/>
                    </w:rPr>
                  </w:pPr>
                  <w:r>
                    <w:rPr>
                      <w:rFonts w:hint="default" w:ascii="Times New Roman" w:hAnsi="Times New Roman" w:eastAsia="宋体" w:cs="Times New Roman"/>
                      <w:color w:val="auto"/>
                      <w:kern w:val="0"/>
                      <w:sz w:val="21"/>
                      <w:szCs w:val="21"/>
                      <w:highlight w:val="none"/>
                      <w:u w:val="none" w:color="auto"/>
                      <w:lang w:val="en-US" w:eastAsia="zh-CN" w:bidi="ar-SA"/>
                    </w:rPr>
                    <w:t>占地面积</w:t>
                  </w:r>
                  <w:r>
                    <w:rPr>
                      <w:rFonts w:hint="eastAsia" w:cs="Times New Roman"/>
                      <w:color w:val="auto"/>
                      <w:kern w:val="0"/>
                      <w:sz w:val="21"/>
                      <w:szCs w:val="21"/>
                      <w:highlight w:val="none"/>
                      <w:u w:val="none" w:color="auto"/>
                      <w:lang w:val="en-US" w:eastAsia="zh-CN" w:bidi="ar-SA"/>
                    </w:rPr>
                    <w:t>500</w:t>
                  </w:r>
                  <w:r>
                    <w:rPr>
                      <w:rFonts w:hint="default" w:ascii="Times New Roman" w:hAnsi="Times New Roman" w:eastAsia="宋体" w:cs="Times New Roman"/>
                      <w:color w:val="auto"/>
                      <w:kern w:val="0"/>
                      <w:sz w:val="21"/>
                      <w:szCs w:val="21"/>
                      <w:highlight w:val="none"/>
                      <w:u w:val="none" w:color="auto"/>
                      <w:lang w:val="en-US" w:eastAsia="zh-CN" w:bidi="ar-SA"/>
                    </w:rPr>
                    <w:t>m</w:t>
                  </w:r>
                  <w:r>
                    <w:rPr>
                      <w:rFonts w:hint="default" w:ascii="Times New Roman" w:hAnsi="Times New Roman" w:eastAsia="宋体" w:cs="Times New Roman"/>
                      <w:color w:val="auto"/>
                      <w:kern w:val="0"/>
                      <w:sz w:val="21"/>
                      <w:szCs w:val="21"/>
                      <w:highlight w:val="none"/>
                      <w:u w:val="none" w:color="auto"/>
                      <w:vertAlign w:val="superscript"/>
                      <w:lang w:val="en-US" w:eastAsia="zh-CN" w:bidi="ar-SA"/>
                    </w:rPr>
                    <w:t>2</w:t>
                  </w:r>
                  <w:r>
                    <w:rPr>
                      <w:rFonts w:hint="default" w:ascii="Times New Roman" w:hAnsi="Times New Roman" w:eastAsia="宋体" w:cs="Times New Roman"/>
                      <w:color w:val="auto"/>
                      <w:kern w:val="0"/>
                      <w:sz w:val="21"/>
                      <w:szCs w:val="21"/>
                      <w:highlight w:val="none"/>
                      <w:u w:val="none" w:color="auto"/>
                      <w:lang w:val="en-US" w:eastAsia="zh-CN" w:bidi="ar-SA"/>
                    </w:rPr>
                    <w:t>，建筑面积</w:t>
                  </w:r>
                  <w:r>
                    <w:rPr>
                      <w:rFonts w:hint="eastAsia" w:cs="Times New Roman"/>
                      <w:color w:val="auto"/>
                      <w:kern w:val="0"/>
                      <w:sz w:val="21"/>
                      <w:szCs w:val="21"/>
                      <w:highlight w:val="none"/>
                      <w:u w:val="none" w:color="auto"/>
                      <w:lang w:val="en-US" w:eastAsia="zh-CN" w:bidi="ar-SA"/>
                    </w:rPr>
                    <w:t>500</w:t>
                  </w:r>
                  <w:r>
                    <w:rPr>
                      <w:rFonts w:hint="default" w:ascii="Times New Roman" w:hAnsi="Times New Roman" w:eastAsia="宋体" w:cs="Times New Roman"/>
                      <w:color w:val="auto"/>
                      <w:kern w:val="0"/>
                      <w:sz w:val="21"/>
                      <w:szCs w:val="21"/>
                      <w:highlight w:val="none"/>
                      <w:u w:val="none" w:color="auto"/>
                      <w:lang w:val="en-US" w:eastAsia="zh-CN" w:bidi="ar-SA"/>
                    </w:rPr>
                    <w:t>m</w:t>
                  </w:r>
                  <w:r>
                    <w:rPr>
                      <w:rFonts w:hint="default" w:ascii="Times New Roman" w:hAnsi="Times New Roman" w:eastAsia="宋体" w:cs="Times New Roman"/>
                      <w:color w:val="auto"/>
                      <w:kern w:val="0"/>
                      <w:sz w:val="21"/>
                      <w:szCs w:val="21"/>
                      <w:highlight w:val="none"/>
                      <w:u w:val="none" w:color="auto"/>
                      <w:vertAlign w:val="superscript"/>
                      <w:lang w:val="en-US" w:eastAsia="zh-CN" w:bidi="ar-SA"/>
                    </w:rPr>
                    <w:t>2</w:t>
                  </w:r>
                  <w:r>
                    <w:rPr>
                      <w:rFonts w:hint="default" w:ascii="Times New Roman" w:hAnsi="Times New Roman" w:eastAsia="宋体" w:cs="Times New Roman"/>
                      <w:color w:val="auto"/>
                      <w:kern w:val="0"/>
                      <w:sz w:val="21"/>
                      <w:szCs w:val="21"/>
                      <w:highlight w:val="none"/>
                      <w:u w:val="none" w:color="auto"/>
                      <w:lang w:val="en-US" w:eastAsia="zh-CN" w:bidi="ar-SA"/>
                    </w:rPr>
                    <w:t>，</w:t>
                  </w:r>
                  <w:r>
                    <w:rPr>
                      <w:rFonts w:hint="eastAsia" w:cs="Times New Roman"/>
                      <w:color w:val="auto"/>
                      <w:kern w:val="0"/>
                      <w:sz w:val="21"/>
                      <w:szCs w:val="21"/>
                      <w:highlight w:val="none"/>
                      <w:u w:val="none" w:color="auto"/>
                      <w:lang w:val="en-US" w:eastAsia="zh-CN" w:bidi="ar-SA"/>
                    </w:rPr>
                    <w:t>砖混结构，</w:t>
                  </w:r>
                  <w:r>
                    <w:rPr>
                      <w:rFonts w:hint="eastAsia" w:ascii="Times New Roman" w:hAnsi="Times New Roman" w:eastAsia="宋体" w:cs="Times New Roman"/>
                      <w:color w:val="auto"/>
                      <w:kern w:val="0"/>
                      <w:sz w:val="21"/>
                      <w:szCs w:val="21"/>
                      <w:highlight w:val="none"/>
                      <w:u w:val="none" w:color="auto"/>
                      <w:lang w:val="en-US" w:eastAsia="zh-CN" w:bidi="ar-SA"/>
                    </w:rPr>
                    <w:t>1</w:t>
                  </w:r>
                  <w:r>
                    <w:rPr>
                      <w:rFonts w:hint="default" w:ascii="Times New Roman" w:hAnsi="Times New Roman" w:eastAsia="宋体" w:cs="Times New Roman"/>
                      <w:color w:val="auto"/>
                      <w:kern w:val="0"/>
                      <w:sz w:val="21"/>
                      <w:szCs w:val="21"/>
                      <w:highlight w:val="none"/>
                      <w:u w:val="none" w:color="auto"/>
                      <w:lang w:val="en-US" w:eastAsia="zh-CN" w:bidi="ar-SA"/>
                    </w:rPr>
                    <w:t>层，</w:t>
                  </w:r>
                  <w:r>
                    <w:rPr>
                      <w:rFonts w:hint="eastAsia" w:ascii="Times New Roman" w:hAnsi="Times New Roman" w:eastAsia="宋体" w:cs="Times New Roman"/>
                      <w:color w:val="auto"/>
                      <w:kern w:val="0"/>
                      <w:sz w:val="21"/>
                      <w:szCs w:val="21"/>
                      <w:highlight w:val="none"/>
                      <w:u w:val="none" w:color="auto"/>
                      <w:lang w:val="en-US" w:eastAsia="zh-CN" w:bidi="ar-SA"/>
                    </w:rPr>
                    <w:t>位于厂区</w:t>
                  </w:r>
                  <w:r>
                    <w:rPr>
                      <w:rFonts w:hint="eastAsia" w:cs="Times New Roman"/>
                      <w:color w:val="auto"/>
                      <w:kern w:val="0"/>
                      <w:sz w:val="21"/>
                      <w:szCs w:val="21"/>
                      <w:highlight w:val="none"/>
                      <w:u w:val="none" w:color="auto"/>
                      <w:lang w:val="en-US" w:eastAsia="zh-CN" w:bidi="ar-SA"/>
                    </w:rPr>
                    <w:t>西</w:t>
                  </w:r>
                  <w:r>
                    <w:rPr>
                      <w:rFonts w:hint="eastAsia" w:ascii="Times New Roman" w:hAnsi="Times New Roman" w:eastAsia="宋体" w:cs="Times New Roman"/>
                      <w:color w:val="auto"/>
                      <w:kern w:val="0"/>
                      <w:sz w:val="21"/>
                      <w:szCs w:val="21"/>
                      <w:highlight w:val="none"/>
                      <w:u w:val="none" w:color="auto"/>
                      <w:lang w:val="en-US" w:eastAsia="zh-CN" w:bidi="ar-SA"/>
                    </w:rPr>
                    <w:t>部，</w:t>
                  </w:r>
                  <w:r>
                    <w:rPr>
                      <w:rFonts w:hint="eastAsia" w:cs="Times New Roman"/>
                      <w:color w:val="auto"/>
                      <w:kern w:val="0"/>
                      <w:sz w:val="21"/>
                      <w:szCs w:val="21"/>
                      <w:highlight w:val="none"/>
                      <w:u w:val="none" w:color="auto"/>
                      <w:lang w:val="en-US" w:eastAsia="zh-CN" w:bidi="ar-SA"/>
                    </w:rPr>
                    <w:t>为高铁连接板打孔、打磨、火焰软化区域。</w:t>
                  </w:r>
                </w:p>
              </w:tc>
            </w:tr>
            <w:tr w14:paraId="22D16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14" w:hRule="atLeast"/>
                <w:tblHeader/>
                <w:jc w:val="center"/>
              </w:trPr>
              <w:tc>
                <w:tcPr>
                  <w:tcW w:w="693" w:type="dxa"/>
                  <w:vMerge w:val="continue"/>
                  <w:noWrap w:val="0"/>
                  <w:vAlign w:val="center"/>
                </w:tcPr>
                <w:p w14:paraId="6907E13A">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yellow"/>
                      <w:u w:val="none" w:color="auto"/>
                      <w:lang w:val="zh-CN" w:eastAsia="zh-CN" w:bidi="ar-SA"/>
                    </w:rPr>
                  </w:pPr>
                </w:p>
              </w:tc>
              <w:tc>
                <w:tcPr>
                  <w:tcW w:w="1280" w:type="dxa"/>
                  <w:noWrap w:val="0"/>
                  <w:vAlign w:val="center"/>
                </w:tcPr>
                <w:p w14:paraId="383F1938">
                  <w:pPr>
                    <w:keepNext w:val="0"/>
                    <w:keepLines w:val="0"/>
                    <w:pageBreakBefore w:val="0"/>
                    <w:widowControl w:val="0"/>
                    <w:tabs>
                      <w:tab w:val="left" w:pos="382"/>
                    </w:tabs>
                    <w:kinsoku/>
                    <w:wordWrap/>
                    <w:overflowPunct/>
                    <w:topLinePunct w:val="0"/>
                    <w:autoSpaceDE/>
                    <w:autoSpaceDN/>
                    <w:bidi w:val="0"/>
                    <w:adjustRightInd/>
                    <w:snapToGrid/>
                    <w:spacing w:line="260" w:lineRule="exact"/>
                    <w:jc w:val="center"/>
                    <w:textAlignment w:val="auto"/>
                    <w:rPr>
                      <w:rFonts w:hint="default"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空置厂房</w:t>
                  </w:r>
                </w:p>
              </w:tc>
              <w:tc>
                <w:tcPr>
                  <w:tcW w:w="5365" w:type="dxa"/>
                  <w:gridSpan w:val="2"/>
                  <w:noWrap w:val="0"/>
                  <w:vAlign w:val="center"/>
                </w:tcPr>
                <w:p w14:paraId="0670DAC0">
                  <w:pPr>
                    <w:keepNext w:val="0"/>
                    <w:keepLines w:val="0"/>
                    <w:pageBreakBefore w:val="0"/>
                    <w:widowControl w:val="0"/>
                    <w:kinsoku/>
                    <w:wordWrap/>
                    <w:overflowPunct/>
                    <w:topLinePunct w:val="0"/>
                    <w:autoSpaceDE/>
                    <w:autoSpaceDN/>
                    <w:bidi w:val="0"/>
                    <w:adjustRightInd/>
                    <w:snapToGrid/>
                    <w:spacing w:before="0" w:after="0" w:line="260" w:lineRule="exact"/>
                    <w:jc w:val="left"/>
                    <w:textAlignment w:val="auto"/>
                    <w:rPr>
                      <w:rFonts w:hint="default" w:ascii="Times New Roman" w:hAnsi="Times New Roman" w:eastAsia="宋体" w:cs="Times New Roman"/>
                      <w:color w:val="auto"/>
                      <w:kern w:val="0"/>
                      <w:sz w:val="21"/>
                      <w:szCs w:val="21"/>
                      <w:highlight w:val="none"/>
                      <w:u w:val="none" w:color="auto"/>
                      <w:lang w:val="en-US" w:eastAsia="zh-CN" w:bidi="ar-SA"/>
                    </w:rPr>
                  </w:pPr>
                  <w:r>
                    <w:rPr>
                      <w:rFonts w:hint="default" w:ascii="Times New Roman" w:hAnsi="Times New Roman" w:eastAsia="宋体" w:cs="Times New Roman"/>
                      <w:color w:val="auto"/>
                      <w:kern w:val="0"/>
                      <w:sz w:val="21"/>
                      <w:szCs w:val="21"/>
                      <w:highlight w:val="none"/>
                      <w:u w:val="none" w:color="auto"/>
                      <w:lang w:val="en-US" w:eastAsia="zh-CN" w:bidi="ar-SA"/>
                    </w:rPr>
                    <w:t>占地面积</w:t>
                  </w:r>
                  <w:r>
                    <w:rPr>
                      <w:rFonts w:hint="eastAsia" w:cs="Times New Roman"/>
                      <w:color w:val="auto"/>
                      <w:kern w:val="0"/>
                      <w:sz w:val="21"/>
                      <w:szCs w:val="21"/>
                      <w:highlight w:val="none"/>
                      <w:u w:val="none" w:color="auto"/>
                      <w:lang w:val="en-US" w:eastAsia="zh-CN" w:bidi="ar-SA"/>
                    </w:rPr>
                    <w:t>400</w:t>
                  </w:r>
                  <w:r>
                    <w:rPr>
                      <w:rFonts w:hint="default" w:ascii="Times New Roman" w:hAnsi="Times New Roman" w:eastAsia="宋体" w:cs="Times New Roman"/>
                      <w:color w:val="auto"/>
                      <w:kern w:val="0"/>
                      <w:sz w:val="21"/>
                      <w:szCs w:val="21"/>
                      <w:highlight w:val="none"/>
                      <w:u w:val="none" w:color="auto"/>
                      <w:lang w:val="en-US" w:eastAsia="zh-CN" w:bidi="ar-SA"/>
                    </w:rPr>
                    <w:t>m</w:t>
                  </w:r>
                  <w:r>
                    <w:rPr>
                      <w:rFonts w:hint="default" w:ascii="Times New Roman" w:hAnsi="Times New Roman" w:eastAsia="宋体" w:cs="Times New Roman"/>
                      <w:color w:val="auto"/>
                      <w:kern w:val="0"/>
                      <w:sz w:val="21"/>
                      <w:szCs w:val="21"/>
                      <w:highlight w:val="none"/>
                      <w:u w:val="none" w:color="auto"/>
                      <w:vertAlign w:val="superscript"/>
                      <w:lang w:val="en-US" w:eastAsia="zh-CN" w:bidi="ar-SA"/>
                    </w:rPr>
                    <w:t>2</w:t>
                  </w:r>
                  <w:r>
                    <w:rPr>
                      <w:rFonts w:hint="default" w:ascii="Times New Roman" w:hAnsi="Times New Roman" w:eastAsia="宋体" w:cs="Times New Roman"/>
                      <w:color w:val="auto"/>
                      <w:kern w:val="0"/>
                      <w:sz w:val="21"/>
                      <w:szCs w:val="21"/>
                      <w:highlight w:val="none"/>
                      <w:u w:val="none" w:color="auto"/>
                      <w:lang w:val="en-US" w:eastAsia="zh-CN" w:bidi="ar-SA"/>
                    </w:rPr>
                    <w:t>，建筑面积</w:t>
                  </w:r>
                  <w:r>
                    <w:rPr>
                      <w:rFonts w:hint="eastAsia" w:cs="Times New Roman"/>
                      <w:color w:val="auto"/>
                      <w:kern w:val="0"/>
                      <w:sz w:val="21"/>
                      <w:szCs w:val="21"/>
                      <w:highlight w:val="none"/>
                      <w:u w:val="none" w:color="auto"/>
                      <w:lang w:val="en-US" w:eastAsia="zh-CN" w:bidi="ar-SA"/>
                    </w:rPr>
                    <w:t>1200</w:t>
                  </w:r>
                  <w:r>
                    <w:rPr>
                      <w:rFonts w:hint="default" w:ascii="Times New Roman" w:hAnsi="Times New Roman" w:eastAsia="宋体" w:cs="Times New Roman"/>
                      <w:color w:val="auto"/>
                      <w:kern w:val="0"/>
                      <w:sz w:val="21"/>
                      <w:szCs w:val="21"/>
                      <w:highlight w:val="none"/>
                      <w:u w:val="none" w:color="auto"/>
                      <w:lang w:val="en-US" w:eastAsia="zh-CN" w:bidi="ar-SA"/>
                    </w:rPr>
                    <w:t>m</w:t>
                  </w:r>
                  <w:r>
                    <w:rPr>
                      <w:rFonts w:hint="default" w:ascii="Times New Roman" w:hAnsi="Times New Roman" w:eastAsia="宋体" w:cs="Times New Roman"/>
                      <w:color w:val="auto"/>
                      <w:kern w:val="0"/>
                      <w:sz w:val="21"/>
                      <w:szCs w:val="21"/>
                      <w:highlight w:val="none"/>
                      <w:u w:val="none" w:color="auto"/>
                      <w:vertAlign w:val="superscript"/>
                      <w:lang w:val="en-US" w:eastAsia="zh-CN" w:bidi="ar-SA"/>
                    </w:rPr>
                    <w:t>2</w:t>
                  </w:r>
                  <w:r>
                    <w:rPr>
                      <w:rFonts w:hint="default" w:ascii="Times New Roman" w:hAnsi="Times New Roman" w:eastAsia="宋体" w:cs="Times New Roman"/>
                      <w:color w:val="auto"/>
                      <w:kern w:val="0"/>
                      <w:sz w:val="21"/>
                      <w:szCs w:val="21"/>
                      <w:highlight w:val="none"/>
                      <w:u w:val="none" w:color="auto"/>
                      <w:lang w:val="en-US" w:eastAsia="zh-CN" w:bidi="ar-SA"/>
                    </w:rPr>
                    <w:t>，</w:t>
                  </w:r>
                  <w:r>
                    <w:rPr>
                      <w:rFonts w:hint="eastAsia" w:cs="Times New Roman"/>
                      <w:color w:val="auto"/>
                      <w:kern w:val="0"/>
                      <w:sz w:val="21"/>
                      <w:szCs w:val="21"/>
                      <w:highlight w:val="none"/>
                      <w:u w:val="none" w:color="auto"/>
                      <w:lang w:val="en-US" w:eastAsia="zh-CN" w:bidi="ar-SA"/>
                    </w:rPr>
                    <w:t>砖混结构，3</w:t>
                  </w:r>
                  <w:r>
                    <w:rPr>
                      <w:rFonts w:hint="default" w:ascii="Times New Roman" w:hAnsi="Times New Roman" w:eastAsia="宋体" w:cs="Times New Roman"/>
                      <w:color w:val="auto"/>
                      <w:kern w:val="0"/>
                      <w:sz w:val="21"/>
                      <w:szCs w:val="21"/>
                      <w:highlight w:val="none"/>
                      <w:u w:val="none" w:color="auto"/>
                      <w:lang w:val="en-US" w:eastAsia="zh-CN" w:bidi="ar-SA"/>
                    </w:rPr>
                    <w:t>层，</w:t>
                  </w:r>
                </w:p>
              </w:tc>
            </w:tr>
            <w:tr w14:paraId="62511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14" w:hRule="atLeast"/>
                <w:tblHeader/>
                <w:jc w:val="center"/>
              </w:trPr>
              <w:tc>
                <w:tcPr>
                  <w:tcW w:w="693" w:type="dxa"/>
                  <w:vMerge w:val="continue"/>
                  <w:noWrap w:val="0"/>
                  <w:vAlign w:val="center"/>
                </w:tcPr>
                <w:p w14:paraId="35F89B7E">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yellow"/>
                      <w:u w:val="none" w:color="auto"/>
                      <w:lang w:val="zh-CN" w:eastAsia="zh-CN" w:bidi="ar-SA"/>
                    </w:rPr>
                  </w:pPr>
                </w:p>
              </w:tc>
              <w:tc>
                <w:tcPr>
                  <w:tcW w:w="1280" w:type="dxa"/>
                  <w:noWrap w:val="0"/>
                  <w:vAlign w:val="center"/>
                </w:tcPr>
                <w:p w14:paraId="75DFF6FA">
                  <w:pPr>
                    <w:keepNext w:val="0"/>
                    <w:keepLines w:val="0"/>
                    <w:pageBreakBefore w:val="0"/>
                    <w:widowControl w:val="0"/>
                    <w:tabs>
                      <w:tab w:val="left" w:pos="382"/>
                    </w:tabs>
                    <w:kinsoku/>
                    <w:wordWrap/>
                    <w:overflowPunct/>
                    <w:topLinePunct w:val="0"/>
                    <w:autoSpaceDE/>
                    <w:autoSpaceDN/>
                    <w:bidi w:val="0"/>
                    <w:adjustRightInd/>
                    <w:snapToGrid/>
                    <w:spacing w:line="260" w:lineRule="exact"/>
                    <w:jc w:val="center"/>
                    <w:textAlignment w:val="auto"/>
                    <w:rPr>
                      <w:rFonts w:hint="default"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油漆房</w:t>
                  </w:r>
                </w:p>
              </w:tc>
              <w:tc>
                <w:tcPr>
                  <w:tcW w:w="5365" w:type="dxa"/>
                  <w:gridSpan w:val="2"/>
                  <w:noWrap w:val="0"/>
                  <w:vAlign w:val="center"/>
                </w:tcPr>
                <w:p w14:paraId="0EC9C454">
                  <w:pPr>
                    <w:keepNext w:val="0"/>
                    <w:keepLines w:val="0"/>
                    <w:pageBreakBefore w:val="0"/>
                    <w:widowControl w:val="0"/>
                    <w:kinsoku/>
                    <w:wordWrap/>
                    <w:overflowPunct/>
                    <w:topLinePunct w:val="0"/>
                    <w:autoSpaceDE/>
                    <w:autoSpaceDN/>
                    <w:bidi w:val="0"/>
                    <w:adjustRightInd/>
                    <w:snapToGrid/>
                    <w:spacing w:before="0" w:after="0" w:line="260" w:lineRule="exact"/>
                    <w:jc w:val="left"/>
                    <w:textAlignment w:val="auto"/>
                    <w:rPr>
                      <w:rFonts w:hint="default" w:ascii="Times New Roman" w:hAnsi="Times New Roman" w:eastAsia="宋体" w:cs="Times New Roman"/>
                      <w:color w:val="auto"/>
                      <w:kern w:val="0"/>
                      <w:sz w:val="21"/>
                      <w:szCs w:val="21"/>
                      <w:highlight w:val="none"/>
                      <w:u w:val="none" w:color="auto"/>
                      <w:vertAlign w:val="baseline"/>
                      <w:lang w:val="en-US" w:eastAsia="zh-CN" w:bidi="ar-SA"/>
                    </w:rPr>
                  </w:pPr>
                  <w:r>
                    <w:rPr>
                      <w:rFonts w:hint="eastAsia" w:cs="Times New Roman"/>
                      <w:color w:val="auto"/>
                      <w:kern w:val="0"/>
                      <w:sz w:val="21"/>
                      <w:szCs w:val="21"/>
                      <w:highlight w:val="none"/>
                      <w:u w:val="none" w:color="auto"/>
                      <w:lang w:val="en-US" w:eastAsia="zh-CN" w:bidi="ar-SA"/>
                    </w:rPr>
                    <w:t>占地面积50m</w:t>
                  </w:r>
                  <w:r>
                    <w:rPr>
                      <w:rFonts w:hint="eastAsia" w:cs="Times New Roman"/>
                      <w:color w:val="auto"/>
                      <w:kern w:val="0"/>
                      <w:sz w:val="21"/>
                      <w:szCs w:val="21"/>
                      <w:highlight w:val="none"/>
                      <w:u w:val="none" w:color="auto"/>
                      <w:vertAlign w:val="superscript"/>
                      <w:lang w:val="en-US" w:eastAsia="zh-CN" w:bidi="ar-SA"/>
                    </w:rPr>
                    <w:t>2</w:t>
                  </w:r>
                  <w:r>
                    <w:rPr>
                      <w:rFonts w:hint="eastAsia" w:cs="Times New Roman"/>
                      <w:color w:val="auto"/>
                      <w:kern w:val="0"/>
                      <w:sz w:val="21"/>
                      <w:szCs w:val="21"/>
                      <w:highlight w:val="none"/>
                      <w:u w:val="none" w:color="auto"/>
                      <w:vertAlign w:val="baseline"/>
                      <w:lang w:val="en-US" w:eastAsia="zh-CN" w:bidi="ar-SA"/>
                    </w:rPr>
                    <w:t>，</w:t>
                  </w:r>
                  <w:r>
                    <w:rPr>
                      <w:rFonts w:hint="default" w:ascii="Times New Roman" w:hAnsi="Times New Roman" w:eastAsia="宋体" w:cs="Times New Roman"/>
                      <w:color w:val="auto"/>
                      <w:kern w:val="0"/>
                      <w:sz w:val="21"/>
                      <w:szCs w:val="21"/>
                      <w:highlight w:val="none"/>
                      <w:u w:val="none" w:color="auto"/>
                      <w:lang w:val="en-US" w:eastAsia="zh-CN" w:bidi="ar-SA"/>
                    </w:rPr>
                    <w:t>建筑面积</w:t>
                  </w:r>
                  <w:r>
                    <w:rPr>
                      <w:rFonts w:hint="eastAsia" w:cs="Times New Roman"/>
                      <w:color w:val="auto"/>
                      <w:kern w:val="0"/>
                      <w:sz w:val="21"/>
                      <w:szCs w:val="21"/>
                      <w:highlight w:val="none"/>
                      <w:u w:val="none" w:color="auto"/>
                      <w:lang w:val="en-US" w:eastAsia="zh-CN" w:bidi="ar-SA"/>
                    </w:rPr>
                    <w:t>50</w:t>
                  </w:r>
                  <w:r>
                    <w:rPr>
                      <w:rFonts w:hint="default" w:ascii="Times New Roman" w:hAnsi="Times New Roman" w:eastAsia="宋体" w:cs="Times New Roman"/>
                      <w:color w:val="auto"/>
                      <w:kern w:val="0"/>
                      <w:sz w:val="21"/>
                      <w:szCs w:val="21"/>
                      <w:highlight w:val="none"/>
                      <w:u w:val="none" w:color="auto"/>
                      <w:lang w:val="en-US" w:eastAsia="zh-CN" w:bidi="ar-SA"/>
                    </w:rPr>
                    <w:t>m</w:t>
                  </w:r>
                  <w:r>
                    <w:rPr>
                      <w:rFonts w:hint="default" w:ascii="Times New Roman" w:hAnsi="Times New Roman" w:eastAsia="宋体" w:cs="Times New Roman"/>
                      <w:color w:val="auto"/>
                      <w:kern w:val="0"/>
                      <w:sz w:val="21"/>
                      <w:szCs w:val="21"/>
                      <w:highlight w:val="none"/>
                      <w:u w:val="none" w:color="auto"/>
                      <w:vertAlign w:val="superscript"/>
                      <w:lang w:val="en-US" w:eastAsia="zh-CN" w:bidi="ar-SA"/>
                    </w:rPr>
                    <w:t>2</w:t>
                  </w:r>
                  <w:r>
                    <w:rPr>
                      <w:rFonts w:hint="eastAsia" w:cs="Times New Roman"/>
                      <w:color w:val="auto"/>
                      <w:kern w:val="0"/>
                      <w:sz w:val="21"/>
                      <w:szCs w:val="21"/>
                      <w:highlight w:val="none"/>
                      <w:u w:val="none" w:color="auto"/>
                      <w:vertAlign w:val="baseline"/>
                      <w:lang w:val="en-US" w:eastAsia="zh-CN" w:bidi="ar-SA"/>
                    </w:rPr>
                    <w:t>，位于车间二西侧，用于存放油漆、固化剂、稀释剂。</w:t>
                  </w:r>
                </w:p>
              </w:tc>
            </w:tr>
            <w:tr w14:paraId="2EC4D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14" w:hRule="atLeast"/>
                <w:tblHeader/>
                <w:jc w:val="center"/>
              </w:trPr>
              <w:tc>
                <w:tcPr>
                  <w:tcW w:w="693" w:type="dxa"/>
                  <w:vMerge w:val="continue"/>
                  <w:noWrap w:val="0"/>
                  <w:vAlign w:val="center"/>
                </w:tcPr>
                <w:p w14:paraId="53F23EA3">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yellow"/>
                      <w:u w:val="none" w:color="auto"/>
                      <w:lang w:val="zh-CN" w:eastAsia="zh-CN" w:bidi="ar-SA"/>
                    </w:rPr>
                  </w:pPr>
                </w:p>
              </w:tc>
              <w:tc>
                <w:tcPr>
                  <w:tcW w:w="1280" w:type="dxa"/>
                  <w:noWrap w:val="0"/>
                  <w:vAlign w:val="center"/>
                </w:tcPr>
                <w:p w14:paraId="2C61FA58">
                  <w:pPr>
                    <w:keepNext w:val="0"/>
                    <w:keepLines w:val="0"/>
                    <w:pageBreakBefore w:val="0"/>
                    <w:widowControl w:val="0"/>
                    <w:tabs>
                      <w:tab w:val="left" w:pos="382"/>
                    </w:tabs>
                    <w:kinsoku/>
                    <w:wordWrap/>
                    <w:overflowPunct/>
                    <w:topLinePunct w:val="0"/>
                    <w:autoSpaceDE/>
                    <w:autoSpaceDN/>
                    <w:bidi w:val="0"/>
                    <w:adjustRightInd/>
                    <w:snapToGrid/>
                    <w:spacing w:line="260" w:lineRule="exact"/>
                    <w:jc w:val="center"/>
                    <w:textAlignment w:val="auto"/>
                    <w:rPr>
                      <w:rFonts w:hint="default"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废气处理站</w:t>
                  </w:r>
                </w:p>
              </w:tc>
              <w:tc>
                <w:tcPr>
                  <w:tcW w:w="5365" w:type="dxa"/>
                  <w:gridSpan w:val="2"/>
                  <w:noWrap w:val="0"/>
                  <w:vAlign w:val="center"/>
                </w:tcPr>
                <w:p w14:paraId="7C44905F">
                  <w:pPr>
                    <w:keepNext w:val="0"/>
                    <w:keepLines w:val="0"/>
                    <w:pageBreakBefore w:val="0"/>
                    <w:widowControl w:val="0"/>
                    <w:kinsoku/>
                    <w:wordWrap/>
                    <w:overflowPunct/>
                    <w:topLinePunct w:val="0"/>
                    <w:autoSpaceDE/>
                    <w:autoSpaceDN/>
                    <w:bidi w:val="0"/>
                    <w:adjustRightInd/>
                    <w:snapToGrid/>
                    <w:spacing w:before="0" w:after="0" w:line="260" w:lineRule="exact"/>
                    <w:jc w:val="left"/>
                    <w:textAlignment w:val="auto"/>
                    <w:rPr>
                      <w:rFonts w:hint="eastAsia" w:cs="Times New Roman"/>
                      <w:color w:val="auto"/>
                      <w:kern w:val="0"/>
                      <w:sz w:val="21"/>
                      <w:szCs w:val="21"/>
                      <w:highlight w:val="none"/>
                      <w:u w:val="none" w:color="auto"/>
                      <w:lang w:val="en-US" w:eastAsia="zh-CN" w:bidi="ar-SA"/>
                    </w:rPr>
                  </w:pPr>
                  <w:r>
                    <w:rPr>
                      <w:rFonts w:hint="eastAsia" w:cs="Times New Roman"/>
                      <w:color w:val="auto"/>
                      <w:kern w:val="0"/>
                      <w:sz w:val="21"/>
                      <w:szCs w:val="21"/>
                      <w:highlight w:val="none"/>
                      <w:u w:val="none" w:color="auto"/>
                      <w:lang w:val="en-US" w:eastAsia="zh-CN" w:bidi="ar-SA"/>
                    </w:rPr>
                    <w:t>占地面积100m</w:t>
                  </w:r>
                  <w:r>
                    <w:rPr>
                      <w:rFonts w:hint="eastAsia" w:cs="Times New Roman"/>
                      <w:color w:val="auto"/>
                      <w:kern w:val="0"/>
                      <w:sz w:val="21"/>
                      <w:szCs w:val="21"/>
                      <w:highlight w:val="none"/>
                      <w:u w:val="none" w:color="auto"/>
                      <w:vertAlign w:val="superscript"/>
                      <w:lang w:val="en-US" w:eastAsia="zh-CN" w:bidi="ar-SA"/>
                    </w:rPr>
                    <w:t>2</w:t>
                  </w:r>
                  <w:r>
                    <w:rPr>
                      <w:rFonts w:hint="eastAsia" w:cs="Times New Roman"/>
                      <w:color w:val="auto"/>
                      <w:kern w:val="0"/>
                      <w:sz w:val="21"/>
                      <w:szCs w:val="21"/>
                      <w:highlight w:val="none"/>
                      <w:u w:val="none" w:color="auto"/>
                      <w:vertAlign w:val="baseline"/>
                      <w:lang w:val="en-US" w:eastAsia="zh-CN" w:bidi="ar-SA"/>
                    </w:rPr>
                    <w:t>，</w:t>
                  </w:r>
                  <w:r>
                    <w:rPr>
                      <w:rFonts w:hint="default" w:ascii="Times New Roman" w:hAnsi="Times New Roman" w:eastAsia="宋体" w:cs="Times New Roman"/>
                      <w:color w:val="auto"/>
                      <w:kern w:val="0"/>
                      <w:sz w:val="21"/>
                      <w:szCs w:val="21"/>
                      <w:highlight w:val="none"/>
                      <w:u w:val="none" w:color="auto"/>
                      <w:lang w:val="en-US" w:eastAsia="zh-CN" w:bidi="ar-SA"/>
                    </w:rPr>
                    <w:t>建筑面积</w:t>
                  </w:r>
                  <w:r>
                    <w:rPr>
                      <w:rFonts w:hint="eastAsia" w:cs="Times New Roman"/>
                      <w:color w:val="auto"/>
                      <w:kern w:val="0"/>
                      <w:sz w:val="21"/>
                      <w:szCs w:val="21"/>
                      <w:highlight w:val="none"/>
                      <w:u w:val="none" w:color="auto"/>
                      <w:lang w:val="en-US" w:eastAsia="zh-CN" w:bidi="ar-SA"/>
                    </w:rPr>
                    <w:t>200</w:t>
                  </w:r>
                  <w:r>
                    <w:rPr>
                      <w:rFonts w:hint="default" w:ascii="Times New Roman" w:hAnsi="Times New Roman" w:eastAsia="宋体" w:cs="Times New Roman"/>
                      <w:color w:val="auto"/>
                      <w:kern w:val="0"/>
                      <w:sz w:val="21"/>
                      <w:szCs w:val="21"/>
                      <w:highlight w:val="none"/>
                      <w:u w:val="none" w:color="auto"/>
                      <w:lang w:val="en-US" w:eastAsia="zh-CN" w:bidi="ar-SA"/>
                    </w:rPr>
                    <w:t>m</w:t>
                  </w:r>
                  <w:r>
                    <w:rPr>
                      <w:rFonts w:hint="default" w:ascii="Times New Roman" w:hAnsi="Times New Roman" w:eastAsia="宋体" w:cs="Times New Roman"/>
                      <w:color w:val="auto"/>
                      <w:kern w:val="0"/>
                      <w:sz w:val="21"/>
                      <w:szCs w:val="21"/>
                      <w:highlight w:val="none"/>
                      <w:u w:val="none" w:color="auto"/>
                      <w:vertAlign w:val="superscript"/>
                      <w:lang w:val="en-US" w:eastAsia="zh-CN" w:bidi="ar-SA"/>
                    </w:rPr>
                    <w:t>2</w:t>
                  </w:r>
                  <w:r>
                    <w:rPr>
                      <w:rFonts w:hint="eastAsia" w:cs="Times New Roman"/>
                      <w:color w:val="auto"/>
                      <w:kern w:val="0"/>
                      <w:sz w:val="21"/>
                      <w:szCs w:val="21"/>
                      <w:highlight w:val="none"/>
                      <w:u w:val="none" w:color="auto"/>
                      <w:vertAlign w:val="baseline"/>
                      <w:lang w:val="en-US" w:eastAsia="zh-CN" w:bidi="ar-SA"/>
                    </w:rPr>
                    <w:t>，位于车间二北侧</w:t>
                  </w:r>
                </w:p>
              </w:tc>
            </w:tr>
            <w:tr w14:paraId="6474A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blHeader/>
                <w:jc w:val="center"/>
              </w:trPr>
              <w:tc>
                <w:tcPr>
                  <w:tcW w:w="693" w:type="dxa"/>
                  <w:vMerge w:val="continue"/>
                  <w:noWrap w:val="0"/>
                  <w:vAlign w:val="center"/>
                </w:tcPr>
                <w:p w14:paraId="3095AA95">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yellow"/>
                      <w:u w:val="none" w:color="auto"/>
                      <w:lang w:val="zh-CN" w:eastAsia="zh-CN" w:bidi="ar-SA"/>
                    </w:rPr>
                  </w:pPr>
                </w:p>
              </w:tc>
              <w:tc>
                <w:tcPr>
                  <w:tcW w:w="1280" w:type="dxa"/>
                  <w:noWrap w:val="0"/>
                  <w:vAlign w:val="center"/>
                </w:tcPr>
                <w:p w14:paraId="68C2D49C">
                  <w:pPr>
                    <w:keepNext w:val="0"/>
                    <w:keepLines w:val="0"/>
                    <w:pageBreakBefore w:val="0"/>
                    <w:widowControl w:val="0"/>
                    <w:tabs>
                      <w:tab w:val="left" w:pos="382"/>
                    </w:tabs>
                    <w:kinsoku/>
                    <w:wordWrap/>
                    <w:overflowPunct/>
                    <w:topLinePunct w:val="0"/>
                    <w:autoSpaceDE/>
                    <w:autoSpaceDN/>
                    <w:bidi w:val="0"/>
                    <w:adjustRightInd/>
                    <w:snapToGrid/>
                    <w:spacing w:line="260" w:lineRule="exact"/>
                    <w:jc w:val="center"/>
                    <w:textAlignment w:val="auto"/>
                    <w:rPr>
                      <w:rFonts w:hint="default"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加气站</w:t>
                  </w:r>
                </w:p>
              </w:tc>
              <w:tc>
                <w:tcPr>
                  <w:tcW w:w="5365" w:type="dxa"/>
                  <w:gridSpan w:val="2"/>
                  <w:noWrap w:val="0"/>
                  <w:vAlign w:val="center"/>
                </w:tcPr>
                <w:p w14:paraId="39C99283">
                  <w:pPr>
                    <w:keepNext w:val="0"/>
                    <w:keepLines w:val="0"/>
                    <w:pageBreakBefore w:val="0"/>
                    <w:widowControl w:val="0"/>
                    <w:kinsoku/>
                    <w:wordWrap/>
                    <w:overflowPunct/>
                    <w:topLinePunct w:val="0"/>
                    <w:autoSpaceDE/>
                    <w:autoSpaceDN/>
                    <w:bidi w:val="0"/>
                    <w:adjustRightInd/>
                    <w:snapToGrid/>
                    <w:spacing w:before="0" w:after="0" w:line="260" w:lineRule="exact"/>
                    <w:jc w:val="left"/>
                    <w:textAlignment w:val="auto"/>
                    <w:rPr>
                      <w:rFonts w:hint="default" w:cs="Times New Roman"/>
                      <w:color w:val="auto"/>
                      <w:kern w:val="0"/>
                      <w:sz w:val="21"/>
                      <w:szCs w:val="21"/>
                      <w:highlight w:val="none"/>
                      <w:u w:val="none" w:color="auto"/>
                      <w:vertAlign w:val="baseline"/>
                      <w:lang w:val="en-US" w:eastAsia="zh-CN" w:bidi="ar-SA"/>
                    </w:rPr>
                  </w:pPr>
                  <w:r>
                    <w:rPr>
                      <w:rFonts w:hint="eastAsia" w:cs="Times New Roman"/>
                      <w:color w:val="auto"/>
                      <w:kern w:val="0"/>
                      <w:sz w:val="21"/>
                      <w:szCs w:val="21"/>
                      <w:highlight w:val="none"/>
                      <w:u w:val="none" w:color="auto"/>
                      <w:lang w:val="en-US" w:eastAsia="zh-CN" w:bidi="ar-SA"/>
                    </w:rPr>
                    <w:t>占地面积30m</w:t>
                  </w:r>
                  <w:r>
                    <w:rPr>
                      <w:rFonts w:hint="eastAsia" w:cs="Times New Roman"/>
                      <w:color w:val="auto"/>
                      <w:kern w:val="0"/>
                      <w:sz w:val="21"/>
                      <w:szCs w:val="21"/>
                      <w:highlight w:val="none"/>
                      <w:u w:val="none" w:color="auto"/>
                      <w:vertAlign w:val="superscript"/>
                      <w:lang w:val="en-US" w:eastAsia="zh-CN" w:bidi="ar-SA"/>
                    </w:rPr>
                    <w:t>2</w:t>
                  </w:r>
                  <w:r>
                    <w:rPr>
                      <w:rFonts w:hint="eastAsia" w:cs="Times New Roman"/>
                      <w:color w:val="auto"/>
                      <w:kern w:val="0"/>
                      <w:sz w:val="21"/>
                      <w:szCs w:val="21"/>
                      <w:highlight w:val="none"/>
                      <w:u w:val="none" w:color="auto"/>
                      <w:vertAlign w:val="baseline"/>
                      <w:lang w:val="en-US" w:eastAsia="zh-CN" w:bidi="ar-SA"/>
                    </w:rPr>
                    <w:t>，</w:t>
                  </w:r>
                  <w:r>
                    <w:rPr>
                      <w:rFonts w:hint="default" w:ascii="Times New Roman" w:hAnsi="Times New Roman" w:eastAsia="宋体" w:cs="Times New Roman"/>
                      <w:color w:val="auto"/>
                      <w:kern w:val="0"/>
                      <w:sz w:val="21"/>
                      <w:szCs w:val="21"/>
                      <w:highlight w:val="none"/>
                      <w:u w:val="none" w:color="auto"/>
                      <w:lang w:val="en-US" w:eastAsia="zh-CN" w:bidi="ar-SA"/>
                    </w:rPr>
                    <w:t>建筑面积</w:t>
                  </w:r>
                  <w:r>
                    <w:rPr>
                      <w:rFonts w:hint="eastAsia" w:cs="Times New Roman"/>
                      <w:color w:val="auto"/>
                      <w:kern w:val="0"/>
                      <w:sz w:val="21"/>
                      <w:szCs w:val="21"/>
                      <w:highlight w:val="none"/>
                      <w:u w:val="none" w:color="auto"/>
                      <w:lang w:val="en-US" w:eastAsia="zh-CN" w:bidi="ar-SA"/>
                    </w:rPr>
                    <w:t>30</w:t>
                  </w:r>
                  <w:r>
                    <w:rPr>
                      <w:rFonts w:hint="default" w:ascii="Times New Roman" w:hAnsi="Times New Roman" w:eastAsia="宋体" w:cs="Times New Roman"/>
                      <w:color w:val="auto"/>
                      <w:kern w:val="0"/>
                      <w:sz w:val="21"/>
                      <w:szCs w:val="21"/>
                      <w:highlight w:val="none"/>
                      <w:u w:val="none" w:color="auto"/>
                      <w:lang w:val="en-US" w:eastAsia="zh-CN" w:bidi="ar-SA"/>
                    </w:rPr>
                    <w:t>m</w:t>
                  </w:r>
                  <w:r>
                    <w:rPr>
                      <w:rFonts w:hint="default" w:ascii="Times New Roman" w:hAnsi="Times New Roman" w:eastAsia="宋体" w:cs="Times New Roman"/>
                      <w:color w:val="auto"/>
                      <w:kern w:val="0"/>
                      <w:sz w:val="21"/>
                      <w:szCs w:val="21"/>
                      <w:highlight w:val="none"/>
                      <w:u w:val="none" w:color="auto"/>
                      <w:vertAlign w:val="superscript"/>
                      <w:lang w:val="en-US" w:eastAsia="zh-CN" w:bidi="ar-SA"/>
                    </w:rPr>
                    <w:t>2</w:t>
                  </w:r>
                  <w:r>
                    <w:rPr>
                      <w:rFonts w:hint="eastAsia" w:cs="Times New Roman"/>
                      <w:color w:val="auto"/>
                      <w:kern w:val="0"/>
                      <w:sz w:val="21"/>
                      <w:szCs w:val="21"/>
                      <w:highlight w:val="none"/>
                      <w:u w:val="none" w:color="auto"/>
                      <w:vertAlign w:val="baseline"/>
                      <w:lang w:val="en-US" w:eastAsia="zh-CN" w:bidi="ar-SA"/>
                    </w:rPr>
                    <w:t>，位于车间二北侧，液化石油气供气。</w:t>
                  </w:r>
                </w:p>
              </w:tc>
            </w:tr>
            <w:tr w14:paraId="4DFDA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39" w:hRule="atLeast"/>
                <w:tblHeader/>
                <w:jc w:val="center"/>
              </w:trPr>
              <w:tc>
                <w:tcPr>
                  <w:tcW w:w="693" w:type="dxa"/>
                  <w:noWrap w:val="0"/>
                  <w:vAlign w:val="center"/>
                </w:tcPr>
                <w:p w14:paraId="216C589F">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辅助</w:t>
                  </w:r>
                </w:p>
                <w:p w14:paraId="786E9FAF">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工程</w:t>
                  </w:r>
                </w:p>
              </w:tc>
              <w:tc>
                <w:tcPr>
                  <w:tcW w:w="1280" w:type="dxa"/>
                  <w:noWrap w:val="0"/>
                  <w:vAlign w:val="center"/>
                </w:tcPr>
                <w:p w14:paraId="7D0B55D7">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cs="Times New Roman"/>
                      <w:color w:val="auto"/>
                      <w:kern w:val="0"/>
                      <w:sz w:val="21"/>
                      <w:szCs w:val="21"/>
                      <w:highlight w:val="none"/>
                      <w:u w:val="none" w:color="auto"/>
                      <w:lang w:val="en-US" w:eastAsia="zh-CN" w:bidi="ar-SA"/>
                    </w:rPr>
                    <w:t>办公区</w:t>
                  </w:r>
                </w:p>
              </w:tc>
              <w:tc>
                <w:tcPr>
                  <w:tcW w:w="5365" w:type="dxa"/>
                  <w:gridSpan w:val="2"/>
                  <w:noWrap w:val="0"/>
                  <w:vAlign w:val="center"/>
                </w:tcPr>
                <w:p w14:paraId="143CD7D8">
                  <w:pPr>
                    <w:keepNext w:val="0"/>
                    <w:keepLines w:val="0"/>
                    <w:pageBreakBefore w:val="0"/>
                    <w:widowControl w:val="0"/>
                    <w:kinsoku/>
                    <w:wordWrap/>
                    <w:overflowPunct/>
                    <w:topLinePunct w:val="0"/>
                    <w:autoSpaceDE/>
                    <w:autoSpaceDN/>
                    <w:bidi w:val="0"/>
                    <w:adjustRightInd/>
                    <w:snapToGrid/>
                    <w:spacing w:before="0" w:after="0" w:line="260" w:lineRule="exact"/>
                    <w:jc w:val="left"/>
                    <w:textAlignment w:val="auto"/>
                    <w:rPr>
                      <w:rFonts w:hint="default" w:ascii="Times New Roman" w:hAnsi="Times New Roman" w:eastAsia="宋体" w:cs="Times New Roman"/>
                      <w:color w:val="auto"/>
                      <w:kern w:val="0"/>
                      <w:sz w:val="21"/>
                      <w:szCs w:val="21"/>
                      <w:highlight w:val="none"/>
                      <w:u w:val="none" w:color="auto"/>
                      <w:lang w:val="en-US" w:eastAsia="zh-CN" w:bidi="ar-SA"/>
                    </w:rPr>
                  </w:pPr>
                  <w:r>
                    <w:rPr>
                      <w:rFonts w:hint="default" w:ascii="Times New Roman" w:hAnsi="Times New Roman" w:eastAsia="宋体" w:cs="Times New Roman"/>
                      <w:color w:val="auto"/>
                      <w:kern w:val="0"/>
                      <w:sz w:val="21"/>
                      <w:szCs w:val="21"/>
                      <w:highlight w:val="none"/>
                      <w:u w:val="none" w:color="auto"/>
                      <w:lang w:val="en-US" w:eastAsia="zh-CN" w:bidi="ar-SA"/>
                    </w:rPr>
                    <w:t>占地面积</w:t>
                  </w:r>
                  <w:r>
                    <w:rPr>
                      <w:rFonts w:hint="eastAsia" w:cs="Times New Roman"/>
                      <w:color w:val="auto"/>
                      <w:kern w:val="0"/>
                      <w:sz w:val="21"/>
                      <w:szCs w:val="21"/>
                      <w:highlight w:val="none"/>
                      <w:u w:val="none" w:color="auto"/>
                      <w:lang w:val="en-US" w:eastAsia="zh-CN" w:bidi="ar-SA"/>
                    </w:rPr>
                    <w:t>538</w:t>
                  </w:r>
                  <w:r>
                    <w:rPr>
                      <w:rFonts w:hint="default" w:ascii="Times New Roman" w:hAnsi="Times New Roman" w:eastAsia="宋体" w:cs="Times New Roman"/>
                      <w:color w:val="auto"/>
                      <w:kern w:val="0"/>
                      <w:sz w:val="21"/>
                      <w:szCs w:val="21"/>
                      <w:highlight w:val="none"/>
                      <w:u w:val="none" w:color="auto"/>
                      <w:lang w:val="en-US" w:eastAsia="zh-CN" w:bidi="ar-SA"/>
                    </w:rPr>
                    <w:t>m</w:t>
                  </w:r>
                  <w:r>
                    <w:rPr>
                      <w:rFonts w:hint="default" w:ascii="Times New Roman" w:hAnsi="Times New Roman" w:eastAsia="宋体" w:cs="Times New Roman"/>
                      <w:color w:val="auto"/>
                      <w:kern w:val="0"/>
                      <w:sz w:val="21"/>
                      <w:szCs w:val="21"/>
                      <w:highlight w:val="none"/>
                      <w:u w:val="none" w:color="auto"/>
                      <w:vertAlign w:val="superscript"/>
                      <w:lang w:val="en-US" w:eastAsia="zh-CN" w:bidi="ar-SA"/>
                    </w:rPr>
                    <w:t>2</w:t>
                  </w:r>
                  <w:r>
                    <w:rPr>
                      <w:rFonts w:hint="default" w:ascii="Times New Roman" w:hAnsi="Times New Roman" w:eastAsia="宋体" w:cs="Times New Roman"/>
                      <w:color w:val="auto"/>
                      <w:kern w:val="0"/>
                      <w:sz w:val="21"/>
                      <w:szCs w:val="21"/>
                      <w:highlight w:val="none"/>
                      <w:u w:val="none" w:color="auto"/>
                      <w:lang w:val="en-US" w:eastAsia="zh-CN" w:bidi="ar-SA"/>
                    </w:rPr>
                    <w:t>，</w:t>
                  </w:r>
                  <w:r>
                    <w:rPr>
                      <w:rFonts w:hint="eastAsia" w:cs="Times New Roman"/>
                      <w:color w:val="auto"/>
                      <w:kern w:val="0"/>
                      <w:sz w:val="21"/>
                      <w:szCs w:val="21"/>
                      <w:highlight w:val="none"/>
                      <w:u w:val="none" w:color="auto"/>
                      <w:lang w:val="en-US" w:eastAsia="zh-CN" w:bidi="ar-SA"/>
                    </w:rPr>
                    <w:t>建筑</w:t>
                  </w:r>
                  <w:r>
                    <w:rPr>
                      <w:rFonts w:hint="default" w:ascii="Times New Roman" w:hAnsi="Times New Roman" w:eastAsia="宋体" w:cs="Times New Roman"/>
                      <w:color w:val="auto"/>
                      <w:kern w:val="0"/>
                      <w:sz w:val="21"/>
                      <w:szCs w:val="21"/>
                      <w:highlight w:val="none"/>
                      <w:u w:val="none" w:color="auto"/>
                      <w:lang w:val="en-US" w:eastAsia="zh-CN" w:bidi="ar-SA"/>
                    </w:rPr>
                    <w:t>面积</w:t>
                  </w:r>
                  <w:r>
                    <w:rPr>
                      <w:rFonts w:hint="eastAsia" w:cs="Times New Roman"/>
                      <w:color w:val="auto"/>
                      <w:kern w:val="0"/>
                      <w:sz w:val="21"/>
                      <w:szCs w:val="21"/>
                      <w:highlight w:val="none"/>
                      <w:u w:val="none" w:color="auto"/>
                      <w:lang w:val="en-US" w:eastAsia="zh-CN" w:bidi="ar-SA"/>
                    </w:rPr>
                    <w:t>938</w:t>
                  </w:r>
                  <w:r>
                    <w:rPr>
                      <w:rFonts w:hint="default" w:ascii="Times New Roman" w:hAnsi="Times New Roman" w:eastAsia="宋体" w:cs="Times New Roman"/>
                      <w:color w:val="auto"/>
                      <w:kern w:val="0"/>
                      <w:sz w:val="21"/>
                      <w:szCs w:val="21"/>
                      <w:highlight w:val="none"/>
                      <w:u w:val="none" w:color="auto"/>
                      <w:lang w:val="en-US" w:eastAsia="zh-CN" w:bidi="ar-SA"/>
                    </w:rPr>
                    <w:t>m</w:t>
                  </w:r>
                  <w:r>
                    <w:rPr>
                      <w:rFonts w:hint="default" w:ascii="Times New Roman" w:hAnsi="Times New Roman" w:eastAsia="宋体" w:cs="Times New Roman"/>
                      <w:color w:val="auto"/>
                      <w:kern w:val="0"/>
                      <w:sz w:val="21"/>
                      <w:szCs w:val="21"/>
                      <w:highlight w:val="none"/>
                      <w:u w:val="none" w:color="auto"/>
                      <w:vertAlign w:val="superscript"/>
                      <w:lang w:val="en-US" w:eastAsia="zh-CN" w:bidi="ar-SA"/>
                    </w:rPr>
                    <w:t>2</w:t>
                  </w:r>
                  <w:r>
                    <w:rPr>
                      <w:rFonts w:hint="eastAsia" w:cs="Times New Roman"/>
                      <w:color w:val="auto"/>
                      <w:kern w:val="0"/>
                      <w:sz w:val="21"/>
                      <w:szCs w:val="21"/>
                      <w:highlight w:val="none"/>
                      <w:u w:val="none" w:color="auto"/>
                      <w:vertAlign w:val="baseline"/>
                      <w:lang w:val="en-US" w:eastAsia="zh-CN" w:bidi="ar-SA"/>
                    </w:rPr>
                    <w:t>，</w:t>
                  </w:r>
                  <w:r>
                    <w:rPr>
                      <w:rFonts w:hint="eastAsia" w:cs="Times New Roman"/>
                      <w:color w:val="auto"/>
                      <w:kern w:val="0"/>
                      <w:sz w:val="21"/>
                      <w:szCs w:val="21"/>
                      <w:highlight w:val="none"/>
                      <w:u w:val="none" w:color="auto"/>
                      <w:lang w:val="en-US" w:eastAsia="zh-CN" w:bidi="ar-SA"/>
                    </w:rPr>
                    <w:t>办公楼三楼，</w:t>
                  </w:r>
                  <w:r>
                    <w:rPr>
                      <w:rFonts w:hint="default" w:ascii="Times New Roman" w:hAnsi="Times New Roman" w:eastAsia="宋体" w:cs="Times New Roman"/>
                      <w:color w:val="auto"/>
                      <w:kern w:val="0"/>
                      <w:sz w:val="21"/>
                      <w:szCs w:val="21"/>
                      <w:highlight w:val="none"/>
                      <w:u w:val="none" w:color="auto"/>
                      <w:lang w:val="en-US" w:eastAsia="zh-CN" w:bidi="ar-SA"/>
                    </w:rPr>
                    <w:t>位于厂区</w:t>
                  </w:r>
                  <w:r>
                    <w:rPr>
                      <w:rFonts w:hint="eastAsia" w:cs="Times New Roman"/>
                      <w:color w:val="auto"/>
                      <w:kern w:val="0"/>
                      <w:sz w:val="21"/>
                      <w:szCs w:val="21"/>
                      <w:highlight w:val="none"/>
                      <w:u w:val="none" w:color="auto"/>
                      <w:lang w:val="en-US" w:eastAsia="zh-CN" w:bidi="ar-SA"/>
                    </w:rPr>
                    <w:t>南部</w:t>
                  </w:r>
                  <w:r>
                    <w:rPr>
                      <w:rFonts w:hint="default" w:ascii="Times New Roman" w:hAnsi="Times New Roman" w:eastAsia="宋体" w:cs="Times New Roman"/>
                      <w:color w:val="auto"/>
                      <w:kern w:val="0"/>
                      <w:sz w:val="21"/>
                      <w:szCs w:val="21"/>
                      <w:highlight w:val="none"/>
                      <w:u w:val="none" w:color="auto"/>
                      <w:lang w:val="en-US" w:eastAsia="zh-CN" w:bidi="ar-SA"/>
                    </w:rPr>
                    <w:t>。</w:t>
                  </w:r>
                </w:p>
              </w:tc>
            </w:tr>
            <w:tr w14:paraId="49151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12" w:hRule="atLeast"/>
                <w:tblHeader/>
                <w:jc w:val="center"/>
              </w:trPr>
              <w:tc>
                <w:tcPr>
                  <w:tcW w:w="693" w:type="dxa"/>
                  <w:vMerge w:val="restart"/>
                  <w:noWrap w:val="0"/>
                  <w:vAlign w:val="center"/>
                </w:tcPr>
                <w:p w14:paraId="6219FFE8">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公用</w:t>
                  </w:r>
                </w:p>
                <w:p w14:paraId="14164CBE">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工程</w:t>
                  </w:r>
                </w:p>
              </w:tc>
              <w:tc>
                <w:tcPr>
                  <w:tcW w:w="1280" w:type="dxa"/>
                  <w:noWrap w:val="0"/>
                  <w:vAlign w:val="center"/>
                </w:tcPr>
                <w:p w14:paraId="2B692D0C">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供配电</w:t>
                  </w:r>
                </w:p>
              </w:tc>
              <w:tc>
                <w:tcPr>
                  <w:tcW w:w="5365" w:type="dxa"/>
                  <w:gridSpan w:val="2"/>
                  <w:noWrap w:val="0"/>
                  <w:vAlign w:val="center"/>
                </w:tcPr>
                <w:p w14:paraId="2B74A702">
                  <w:pPr>
                    <w:keepNext w:val="0"/>
                    <w:keepLines w:val="0"/>
                    <w:pageBreakBefore w:val="0"/>
                    <w:widowControl w:val="0"/>
                    <w:kinsoku/>
                    <w:wordWrap/>
                    <w:overflowPunct/>
                    <w:topLinePunct w:val="0"/>
                    <w:autoSpaceDE/>
                    <w:autoSpaceDN/>
                    <w:bidi w:val="0"/>
                    <w:adjustRightInd/>
                    <w:snapToGrid/>
                    <w:spacing w:before="0" w:after="0" w:line="260" w:lineRule="exact"/>
                    <w:jc w:val="left"/>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eastAsia"/>
                      <w:color w:val="auto"/>
                      <w:u w:val="none" w:color="auto"/>
                      <w:lang w:val="en-US" w:eastAsia="zh-CN"/>
                    </w:rPr>
                    <w:t>乡镇</w:t>
                  </w:r>
                  <w:r>
                    <w:rPr>
                      <w:color w:val="auto"/>
                      <w:u w:val="none" w:color="auto"/>
                      <w:lang w:val="en-US" w:eastAsia="zh-CN"/>
                    </w:rPr>
                    <w:t>电网供应</w:t>
                  </w:r>
                  <w:r>
                    <w:rPr>
                      <w:rFonts w:hint="eastAsia" w:ascii="Times New Roman" w:hAnsi="Times New Roman" w:eastAsia="宋体" w:cs="Times New Roman"/>
                      <w:color w:val="auto"/>
                      <w:kern w:val="0"/>
                      <w:sz w:val="21"/>
                      <w:szCs w:val="21"/>
                      <w:highlight w:val="none"/>
                      <w:u w:val="none" w:color="auto"/>
                      <w:lang w:val="en-US" w:eastAsia="zh-CN" w:bidi="ar-SA"/>
                    </w:rPr>
                    <w:t>，可满足本项目用电需求</w:t>
                  </w:r>
                  <w:r>
                    <w:rPr>
                      <w:rFonts w:hint="default" w:ascii="Times New Roman" w:hAnsi="Times New Roman" w:eastAsia="宋体" w:cs="Times New Roman"/>
                      <w:color w:val="auto"/>
                      <w:kern w:val="0"/>
                      <w:sz w:val="21"/>
                      <w:szCs w:val="21"/>
                      <w:highlight w:val="none"/>
                      <w:u w:val="none" w:color="auto"/>
                      <w:lang w:val="en-US" w:eastAsia="zh-CN" w:bidi="ar-SA"/>
                    </w:rPr>
                    <w:t>。</w:t>
                  </w:r>
                </w:p>
              </w:tc>
            </w:tr>
            <w:tr w14:paraId="6C2E7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2" w:hRule="atLeast"/>
                <w:tblHeader/>
                <w:jc w:val="center"/>
              </w:trPr>
              <w:tc>
                <w:tcPr>
                  <w:tcW w:w="693" w:type="dxa"/>
                  <w:vMerge w:val="continue"/>
                  <w:noWrap w:val="0"/>
                  <w:vAlign w:val="center"/>
                </w:tcPr>
                <w:p w14:paraId="30F0D63A">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p>
              </w:tc>
              <w:tc>
                <w:tcPr>
                  <w:tcW w:w="1280" w:type="dxa"/>
                  <w:noWrap w:val="0"/>
                  <w:vAlign w:val="center"/>
                </w:tcPr>
                <w:p w14:paraId="65CD9B89">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给排水</w:t>
                  </w:r>
                </w:p>
              </w:tc>
              <w:tc>
                <w:tcPr>
                  <w:tcW w:w="5365" w:type="dxa"/>
                  <w:gridSpan w:val="2"/>
                  <w:noWrap w:val="0"/>
                  <w:vAlign w:val="center"/>
                </w:tcPr>
                <w:p w14:paraId="5ED6C1EB">
                  <w:pPr>
                    <w:keepNext w:val="0"/>
                    <w:keepLines w:val="0"/>
                    <w:pageBreakBefore w:val="0"/>
                    <w:widowControl w:val="0"/>
                    <w:kinsoku/>
                    <w:wordWrap/>
                    <w:overflowPunct/>
                    <w:topLinePunct w:val="0"/>
                    <w:autoSpaceDE/>
                    <w:autoSpaceDN/>
                    <w:bidi w:val="0"/>
                    <w:adjustRightInd/>
                    <w:snapToGrid/>
                    <w:spacing w:before="0" w:after="0" w:line="260" w:lineRule="exact"/>
                    <w:jc w:val="left"/>
                    <w:textAlignment w:val="auto"/>
                    <w:rPr>
                      <w:rFonts w:hint="default" w:ascii="Times New Roman" w:hAnsi="Times New Roman" w:eastAsia="宋体" w:cs="Times New Roman"/>
                      <w:color w:val="auto"/>
                      <w:kern w:val="0"/>
                      <w:sz w:val="21"/>
                      <w:szCs w:val="21"/>
                      <w:highlight w:val="yellow"/>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给水：</w:t>
                  </w:r>
                  <w:r>
                    <w:rPr>
                      <w:rFonts w:hint="default" w:ascii="Times New Roman" w:hAnsi="Times New Roman" w:eastAsia="宋体" w:cs="Times New Roman"/>
                      <w:color w:val="auto"/>
                      <w:kern w:val="0"/>
                      <w:sz w:val="21"/>
                      <w:szCs w:val="21"/>
                      <w:highlight w:val="none"/>
                      <w:u w:val="none" w:color="auto"/>
                      <w:lang w:val="en-US" w:eastAsia="zh-CN" w:bidi="ar-SA"/>
                    </w:rPr>
                    <w:t>项目水源为</w:t>
                  </w:r>
                  <w:r>
                    <w:rPr>
                      <w:rFonts w:hint="eastAsia" w:cs="Times New Roman"/>
                      <w:color w:val="auto"/>
                      <w:kern w:val="0"/>
                      <w:sz w:val="21"/>
                      <w:szCs w:val="21"/>
                      <w:highlight w:val="none"/>
                      <w:u w:val="none" w:color="auto"/>
                      <w:lang w:val="en-US" w:eastAsia="zh-CN" w:bidi="ar-SA"/>
                    </w:rPr>
                    <w:t>自打井井水</w:t>
                  </w:r>
                  <w:r>
                    <w:rPr>
                      <w:rFonts w:hint="default" w:ascii="Times New Roman" w:hAnsi="Times New Roman" w:eastAsia="宋体" w:cs="Times New Roman"/>
                      <w:color w:val="auto"/>
                      <w:kern w:val="0"/>
                      <w:sz w:val="21"/>
                      <w:szCs w:val="21"/>
                      <w:highlight w:val="none"/>
                      <w:u w:val="none" w:color="auto"/>
                      <w:lang w:val="en-US" w:eastAsia="zh-CN" w:bidi="ar-SA"/>
                    </w:rPr>
                    <w:t>。</w:t>
                  </w:r>
                </w:p>
                <w:p w14:paraId="163303D2">
                  <w:pPr>
                    <w:keepNext w:val="0"/>
                    <w:keepLines w:val="0"/>
                    <w:pageBreakBefore w:val="0"/>
                    <w:widowControl w:val="0"/>
                    <w:kinsoku/>
                    <w:wordWrap/>
                    <w:overflowPunct/>
                    <w:topLinePunct w:val="0"/>
                    <w:autoSpaceDE/>
                    <w:autoSpaceDN/>
                    <w:bidi w:val="0"/>
                    <w:adjustRightInd/>
                    <w:snapToGrid/>
                    <w:spacing w:before="0" w:after="0" w:line="260" w:lineRule="exact"/>
                    <w:jc w:val="left"/>
                    <w:textAlignment w:val="auto"/>
                    <w:rPr>
                      <w:rFonts w:hint="default" w:ascii="Times New Roman" w:hAnsi="Times New Roman" w:eastAsia="宋体" w:cs="Times New Roman"/>
                      <w:color w:val="auto"/>
                      <w:kern w:val="0"/>
                      <w:sz w:val="21"/>
                      <w:szCs w:val="21"/>
                      <w:highlight w:val="yellow"/>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排水：本工程采取雨污分流制。地面雨水经</w:t>
                  </w:r>
                  <w:r>
                    <w:rPr>
                      <w:rFonts w:hint="eastAsia" w:cs="Times New Roman"/>
                      <w:color w:val="auto"/>
                      <w:kern w:val="0"/>
                      <w:sz w:val="21"/>
                      <w:szCs w:val="21"/>
                      <w:highlight w:val="none"/>
                      <w:u w:val="none" w:color="auto"/>
                      <w:lang w:val="zh-CN" w:eastAsia="zh-CN" w:bidi="ar-SA"/>
                    </w:rPr>
                    <w:t>雨水沟</w:t>
                  </w:r>
                  <w:r>
                    <w:rPr>
                      <w:rFonts w:hint="default" w:ascii="Times New Roman" w:hAnsi="Times New Roman" w:eastAsia="宋体" w:cs="Times New Roman"/>
                      <w:color w:val="auto"/>
                      <w:kern w:val="0"/>
                      <w:sz w:val="21"/>
                      <w:szCs w:val="21"/>
                      <w:highlight w:val="none"/>
                      <w:u w:val="none" w:color="auto"/>
                      <w:lang w:val="zh-CN" w:eastAsia="zh-CN" w:bidi="ar-SA"/>
                    </w:rPr>
                    <w:t>汇集至厂区内雨水干管内，再排入</w:t>
                  </w:r>
                  <w:r>
                    <w:rPr>
                      <w:rFonts w:hint="eastAsia" w:cs="Times New Roman"/>
                      <w:color w:val="auto"/>
                      <w:kern w:val="0"/>
                      <w:sz w:val="21"/>
                      <w:szCs w:val="21"/>
                      <w:highlight w:val="none"/>
                      <w:u w:val="none" w:color="auto"/>
                      <w:lang w:val="en-US" w:eastAsia="zh-CN" w:bidi="ar-SA"/>
                    </w:rPr>
                    <w:t>周边沟渠</w:t>
                  </w:r>
                  <w:r>
                    <w:rPr>
                      <w:rFonts w:hint="default" w:ascii="Times New Roman" w:hAnsi="Times New Roman" w:eastAsia="宋体" w:cs="Times New Roman"/>
                      <w:color w:val="auto"/>
                      <w:kern w:val="0"/>
                      <w:sz w:val="21"/>
                      <w:szCs w:val="21"/>
                      <w:highlight w:val="none"/>
                      <w:u w:val="none" w:color="auto"/>
                      <w:lang w:val="zh-CN" w:eastAsia="zh-CN" w:bidi="ar-SA"/>
                    </w:rPr>
                    <w:t>。</w:t>
                  </w:r>
                  <w:r>
                    <w:rPr>
                      <w:rFonts w:hint="default" w:ascii="Times New Roman" w:hAnsi="Times New Roman" w:eastAsia="宋体" w:cs="Times New Roman"/>
                      <w:color w:val="auto"/>
                      <w:kern w:val="0"/>
                      <w:sz w:val="21"/>
                      <w:szCs w:val="21"/>
                      <w:highlight w:val="none"/>
                      <w:u w:val="none" w:color="auto"/>
                      <w:lang w:val="en-US" w:eastAsia="zh-CN" w:bidi="ar-SA"/>
                    </w:rPr>
                    <w:t>项目水帘废水作为危险废物处置，委托有资质单位外运处置，不外排，生活污水经化粪池处理后用于周边林地浇灌，不外排</w:t>
                  </w:r>
                </w:p>
              </w:tc>
            </w:tr>
            <w:tr w14:paraId="12823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98" w:hRule="atLeast"/>
                <w:tblHeader/>
                <w:jc w:val="center"/>
              </w:trPr>
              <w:tc>
                <w:tcPr>
                  <w:tcW w:w="693" w:type="dxa"/>
                  <w:vMerge w:val="restart"/>
                  <w:noWrap w:val="0"/>
                  <w:vAlign w:val="center"/>
                </w:tcPr>
                <w:p w14:paraId="5389738E">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环保</w:t>
                  </w:r>
                </w:p>
                <w:p w14:paraId="6BFF93CE">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工程</w:t>
                  </w:r>
                </w:p>
              </w:tc>
              <w:tc>
                <w:tcPr>
                  <w:tcW w:w="1280" w:type="dxa"/>
                  <w:vMerge w:val="restart"/>
                  <w:noWrap w:val="0"/>
                  <w:vAlign w:val="center"/>
                </w:tcPr>
                <w:p w14:paraId="2E22D0DD">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废气处理设施</w:t>
                  </w:r>
                </w:p>
              </w:tc>
              <w:tc>
                <w:tcPr>
                  <w:tcW w:w="1411" w:type="dxa"/>
                  <w:noWrap w:val="0"/>
                  <w:vAlign w:val="center"/>
                </w:tcPr>
                <w:p w14:paraId="2902323C">
                  <w:pPr>
                    <w:keepNext w:val="0"/>
                    <w:keepLines w:val="0"/>
                    <w:pageBreakBefore w:val="0"/>
                    <w:widowControl w:val="0"/>
                    <w:kinsoku/>
                    <w:wordWrap/>
                    <w:overflowPunct/>
                    <w:topLinePunct w:val="0"/>
                    <w:autoSpaceDE/>
                    <w:autoSpaceDN/>
                    <w:bidi w:val="0"/>
                    <w:adjustRightInd/>
                    <w:snapToGrid/>
                    <w:spacing w:line="304" w:lineRule="exact"/>
                    <w:ind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切割</w:t>
                  </w:r>
                  <w:r>
                    <w:rPr>
                      <w:rFonts w:hint="eastAsia" w:cs="Times New Roman"/>
                      <w:color w:val="auto"/>
                      <w:sz w:val="21"/>
                      <w:szCs w:val="21"/>
                      <w:highlight w:val="none"/>
                      <w:u w:val="none" w:color="auto"/>
                      <w:lang w:val="en-US" w:eastAsia="zh-CN"/>
                    </w:rPr>
                    <w:t>、焊接、打磨</w:t>
                  </w:r>
                  <w:r>
                    <w:rPr>
                      <w:rFonts w:hint="default" w:ascii="Times New Roman" w:hAnsi="Times New Roman" w:eastAsia="宋体" w:cs="Times New Roman"/>
                      <w:color w:val="auto"/>
                      <w:sz w:val="21"/>
                      <w:szCs w:val="21"/>
                      <w:highlight w:val="none"/>
                      <w:u w:val="none" w:color="auto"/>
                      <w:lang w:val="en-US" w:eastAsia="zh-CN"/>
                    </w:rPr>
                    <w:t>粉尘</w:t>
                  </w:r>
                </w:p>
              </w:tc>
              <w:tc>
                <w:tcPr>
                  <w:tcW w:w="3954" w:type="dxa"/>
                  <w:noWrap w:val="0"/>
                  <w:vAlign w:val="center"/>
                </w:tcPr>
                <w:p w14:paraId="67193471">
                  <w:pPr>
                    <w:keepNext w:val="0"/>
                    <w:keepLines w:val="0"/>
                    <w:pageBreakBefore w:val="0"/>
                    <w:widowControl w:val="0"/>
                    <w:kinsoku/>
                    <w:wordWrap/>
                    <w:overflowPunct/>
                    <w:topLinePunct w:val="0"/>
                    <w:autoSpaceDE/>
                    <w:autoSpaceDN/>
                    <w:bidi w:val="0"/>
                    <w:adjustRightInd/>
                    <w:snapToGrid/>
                    <w:spacing w:line="304" w:lineRule="exact"/>
                    <w:ind w:firstLine="0" w:firstLineChars="0"/>
                    <w:jc w:val="both"/>
                    <w:textAlignment w:val="auto"/>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ascii="Times New Roman" w:hAnsi="Times New Roman" w:eastAsia="宋体" w:cs="Times New Roman"/>
                      <w:color w:val="auto"/>
                      <w:kern w:val="2"/>
                      <w:sz w:val="21"/>
                      <w:szCs w:val="21"/>
                      <w:highlight w:val="none"/>
                      <w:u w:val="none" w:color="auto"/>
                      <w:lang w:val="en-US" w:eastAsia="zh-CN" w:bidi="ar-SA"/>
                    </w:rPr>
                    <w:t>切割、焊接、打磨工序粉尘采取移动式粉尘净化器处理，处理后以无组织形式外排。</w:t>
                  </w:r>
                </w:p>
              </w:tc>
            </w:tr>
            <w:tr w14:paraId="13976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98" w:hRule="atLeast"/>
                <w:tblHeader/>
                <w:jc w:val="center"/>
              </w:trPr>
              <w:tc>
                <w:tcPr>
                  <w:tcW w:w="693" w:type="dxa"/>
                  <w:vMerge w:val="continue"/>
                  <w:noWrap w:val="0"/>
                  <w:vAlign w:val="center"/>
                </w:tcPr>
                <w:p w14:paraId="0BDF51E6">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p>
              </w:tc>
              <w:tc>
                <w:tcPr>
                  <w:tcW w:w="1280" w:type="dxa"/>
                  <w:vMerge w:val="continue"/>
                  <w:noWrap w:val="0"/>
                  <w:vAlign w:val="center"/>
                </w:tcPr>
                <w:p w14:paraId="47AAC5B7">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p>
              </w:tc>
              <w:tc>
                <w:tcPr>
                  <w:tcW w:w="1411" w:type="dxa"/>
                  <w:noWrap w:val="0"/>
                  <w:vAlign w:val="center"/>
                </w:tcPr>
                <w:p w14:paraId="34E84CA8">
                  <w:pPr>
                    <w:keepNext w:val="0"/>
                    <w:keepLines w:val="0"/>
                    <w:pageBreakBefore w:val="0"/>
                    <w:widowControl w:val="0"/>
                    <w:kinsoku/>
                    <w:wordWrap/>
                    <w:overflowPunct/>
                    <w:topLinePunct w:val="0"/>
                    <w:autoSpaceDE/>
                    <w:autoSpaceDN/>
                    <w:bidi w:val="0"/>
                    <w:adjustRightInd/>
                    <w:snapToGrid/>
                    <w:spacing w:line="304" w:lineRule="exact"/>
                    <w:ind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清洗、喷漆、</w:t>
                  </w:r>
                  <w:r>
                    <w:rPr>
                      <w:rFonts w:hint="eastAsia" w:cs="Times New Roman"/>
                      <w:color w:val="auto"/>
                      <w:sz w:val="21"/>
                      <w:szCs w:val="21"/>
                      <w:highlight w:val="none"/>
                      <w:u w:val="none" w:color="auto"/>
                      <w:lang w:val="en-US" w:eastAsia="zh-CN"/>
                    </w:rPr>
                    <w:t>晾干、</w:t>
                  </w:r>
                  <w:r>
                    <w:rPr>
                      <w:rFonts w:hint="default" w:ascii="Times New Roman" w:hAnsi="Times New Roman" w:eastAsia="宋体" w:cs="Times New Roman"/>
                      <w:color w:val="auto"/>
                      <w:sz w:val="21"/>
                      <w:szCs w:val="21"/>
                      <w:highlight w:val="none"/>
                      <w:u w:val="none" w:color="auto"/>
                      <w:lang w:val="en-US" w:eastAsia="zh-CN"/>
                    </w:rPr>
                    <w:t>烤漆</w:t>
                  </w:r>
                  <w:r>
                    <w:rPr>
                      <w:rFonts w:hint="eastAsia" w:cs="Times New Roman"/>
                      <w:color w:val="auto"/>
                      <w:sz w:val="21"/>
                      <w:szCs w:val="21"/>
                      <w:highlight w:val="none"/>
                      <w:u w:val="none" w:color="auto"/>
                      <w:lang w:val="en-US" w:eastAsia="zh-CN"/>
                    </w:rPr>
                    <w:t>废气</w:t>
                  </w:r>
                </w:p>
              </w:tc>
              <w:tc>
                <w:tcPr>
                  <w:tcW w:w="3954" w:type="dxa"/>
                  <w:noWrap w:val="0"/>
                  <w:vAlign w:val="center"/>
                </w:tcPr>
                <w:p w14:paraId="7D438534">
                  <w:pPr>
                    <w:keepNext w:val="0"/>
                    <w:keepLines w:val="0"/>
                    <w:pageBreakBefore w:val="0"/>
                    <w:widowControl w:val="0"/>
                    <w:kinsoku/>
                    <w:wordWrap/>
                    <w:overflowPunct/>
                    <w:topLinePunct w:val="0"/>
                    <w:autoSpaceDE/>
                    <w:autoSpaceDN/>
                    <w:bidi w:val="0"/>
                    <w:adjustRightInd/>
                    <w:snapToGrid/>
                    <w:spacing w:line="304" w:lineRule="exact"/>
                    <w:ind w:firstLine="0" w:firstLineChars="0"/>
                    <w:jc w:val="both"/>
                    <w:textAlignment w:val="auto"/>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cs="Times New Roman"/>
                      <w:color w:val="auto"/>
                      <w:kern w:val="2"/>
                      <w:sz w:val="21"/>
                      <w:szCs w:val="21"/>
                      <w:highlight w:val="none"/>
                      <w:u w:val="none" w:color="auto"/>
                      <w:lang w:val="en-US" w:eastAsia="zh-CN" w:bidi="ar-SA"/>
                    </w:rPr>
                    <w:t>负压收集</w:t>
                  </w:r>
                  <w:r>
                    <w:rPr>
                      <w:rFonts w:hint="eastAsia" w:ascii="Times New Roman" w:hAnsi="Times New Roman" w:eastAsia="宋体" w:cs="Times New Roman"/>
                      <w:color w:val="auto"/>
                      <w:kern w:val="2"/>
                      <w:sz w:val="21"/>
                      <w:szCs w:val="21"/>
                      <w:highlight w:val="none"/>
                      <w:u w:val="none" w:color="auto"/>
                      <w:lang w:val="en-US" w:eastAsia="zh-CN" w:bidi="ar-SA"/>
                    </w:rPr>
                    <w:t>经水帘除尘</w:t>
                  </w:r>
                  <w:r>
                    <w:rPr>
                      <w:rFonts w:hint="eastAsia" w:cs="Times New Roman"/>
                      <w:color w:val="auto"/>
                      <w:kern w:val="2"/>
                      <w:sz w:val="21"/>
                      <w:szCs w:val="21"/>
                      <w:highlight w:val="none"/>
                      <w:u w:val="none" w:color="auto"/>
                      <w:lang w:val="en-US" w:eastAsia="zh-CN" w:bidi="ar-SA"/>
                    </w:rPr>
                    <w:t>+干式过滤</w:t>
                  </w:r>
                  <w:r>
                    <w:rPr>
                      <w:rFonts w:hint="eastAsia" w:ascii="Times New Roman" w:hAnsi="Times New Roman" w:eastAsia="宋体" w:cs="Times New Roman"/>
                      <w:color w:val="auto"/>
                      <w:kern w:val="2"/>
                      <w:sz w:val="21"/>
                      <w:szCs w:val="21"/>
                      <w:highlight w:val="none"/>
                      <w:u w:val="none" w:color="auto"/>
                      <w:lang w:val="en-US" w:eastAsia="zh-CN" w:bidi="ar-SA"/>
                    </w:rPr>
                    <w:t>除去颗粒物（漆雾）后经活性炭吸附+催化燃烧设施（TA001）处理后通过15m排气筒（DA001）排放</w:t>
                  </w:r>
                </w:p>
              </w:tc>
            </w:tr>
            <w:tr w14:paraId="67F6D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63" w:hRule="atLeast"/>
                <w:tblHeader/>
                <w:jc w:val="center"/>
              </w:trPr>
              <w:tc>
                <w:tcPr>
                  <w:tcW w:w="693" w:type="dxa"/>
                  <w:vMerge w:val="continue"/>
                  <w:noWrap w:val="0"/>
                  <w:vAlign w:val="center"/>
                </w:tcPr>
                <w:p w14:paraId="10E42A82">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p>
              </w:tc>
              <w:tc>
                <w:tcPr>
                  <w:tcW w:w="1280" w:type="dxa"/>
                  <w:vMerge w:val="continue"/>
                  <w:noWrap w:val="0"/>
                  <w:vAlign w:val="center"/>
                </w:tcPr>
                <w:p w14:paraId="049ABE6C">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p>
              </w:tc>
              <w:tc>
                <w:tcPr>
                  <w:tcW w:w="1411" w:type="dxa"/>
                  <w:noWrap w:val="0"/>
                  <w:vAlign w:val="center"/>
                </w:tcPr>
                <w:p w14:paraId="49D299EF">
                  <w:pPr>
                    <w:keepNext w:val="0"/>
                    <w:keepLines w:val="0"/>
                    <w:pageBreakBefore w:val="0"/>
                    <w:widowControl w:val="0"/>
                    <w:kinsoku/>
                    <w:wordWrap/>
                    <w:overflowPunct/>
                    <w:topLinePunct w:val="0"/>
                    <w:autoSpaceDE/>
                    <w:autoSpaceDN/>
                    <w:bidi w:val="0"/>
                    <w:adjustRightInd/>
                    <w:snapToGrid/>
                    <w:spacing w:line="304" w:lineRule="exact"/>
                    <w:ind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调漆</w:t>
                  </w:r>
                  <w:r>
                    <w:rPr>
                      <w:rFonts w:hint="eastAsia" w:cs="Times New Roman"/>
                      <w:color w:val="auto"/>
                      <w:sz w:val="21"/>
                      <w:szCs w:val="21"/>
                      <w:highlight w:val="none"/>
                      <w:u w:val="none" w:color="auto"/>
                      <w:lang w:val="en-US" w:eastAsia="zh-CN"/>
                    </w:rPr>
                    <w:t>、工艺逸散废气</w:t>
                  </w:r>
                </w:p>
              </w:tc>
              <w:tc>
                <w:tcPr>
                  <w:tcW w:w="3954" w:type="dxa"/>
                  <w:noWrap w:val="0"/>
                  <w:vAlign w:val="center"/>
                </w:tcPr>
                <w:p w14:paraId="20B6780A">
                  <w:pPr>
                    <w:keepNext w:val="0"/>
                    <w:keepLines w:val="0"/>
                    <w:pageBreakBefore w:val="0"/>
                    <w:widowControl w:val="0"/>
                    <w:kinsoku/>
                    <w:wordWrap/>
                    <w:overflowPunct/>
                    <w:topLinePunct w:val="0"/>
                    <w:autoSpaceDE/>
                    <w:autoSpaceDN/>
                    <w:bidi w:val="0"/>
                    <w:adjustRightInd/>
                    <w:snapToGrid/>
                    <w:spacing w:line="304" w:lineRule="exact"/>
                    <w:ind w:firstLine="0" w:firstLineChars="0"/>
                    <w:jc w:val="both"/>
                    <w:textAlignment w:val="auto"/>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ascii="Times New Roman" w:hAnsi="Times New Roman" w:eastAsia="宋体" w:cs="Times New Roman"/>
                      <w:color w:val="auto"/>
                      <w:kern w:val="2"/>
                      <w:sz w:val="21"/>
                      <w:szCs w:val="21"/>
                      <w:highlight w:val="none"/>
                      <w:u w:val="none" w:color="auto"/>
                      <w:lang w:val="en-US" w:eastAsia="zh-CN" w:bidi="ar-SA"/>
                    </w:rPr>
                    <w:t>经密闭车间负压收集后经二级活性炭吸附设施（TA002）处理后通过15m排气筒（DA002）排放。</w:t>
                  </w:r>
                </w:p>
              </w:tc>
            </w:tr>
            <w:tr w14:paraId="7077F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63" w:hRule="atLeast"/>
                <w:tblHeader/>
                <w:jc w:val="center"/>
              </w:trPr>
              <w:tc>
                <w:tcPr>
                  <w:tcW w:w="693" w:type="dxa"/>
                  <w:vMerge w:val="continue"/>
                  <w:noWrap w:val="0"/>
                  <w:vAlign w:val="center"/>
                </w:tcPr>
                <w:p w14:paraId="7731302D">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p>
              </w:tc>
              <w:tc>
                <w:tcPr>
                  <w:tcW w:w="1280" w:type="dxa"/>
                  <w:vMerge w:val="continue"/>
                  <w:noWrap w:val="0"/>
                  <w:vAlign w:val="center"/>
                </w:tcPr>
                <w:p w14:paraId="67B6EB9C">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p>
              </w:tc>
              <w:tc>
                <w:tcPr>
                  <w:tcW w:w="1411" w:type="dxa"/>
                  <w:noWrap w:val="0"/>
                  <w:vAlign w:val="center"/>
                </w:tcPr>
                <w:p w14:paraId="2124AE40">
                  <w:pPr>
                    <w:keepNext w:val="0"/>
                    <w:keepLines w:val="0"/>
                    <w:pageBreakBefore w:val="0"/>
                    <w:widowControl w:val="0"/>
                    <w:kinsoku/>
                    <w:wordWrap/>
                    <w:overflowPunct/>
                    <w:topLinePunct w:val="0"/>
                    <w:autoSpaceDE/>
                    <w:autoSpaceDN/>
                    <w:bidi w:val="0"/>
                    <w:adjustRightInd/>
                    <w:snapToGrid/>
                    <w:spacing w:line="304" w:lineRule="exact"/>
                    <w:ind w:firstLine="0" w:firstLineChars="0"/>
                    <w:jc w:val="center"/>
                    <w:textAlignment w:val="auto"/>
                    <w:rPr>
                      <w:rFonts w:hint="eastAsia"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烤漆、催化燃烧液化石油气燃烧废气</w:t>
                  </w:r>
                </w:p>
              </w:tc>
              <w:tc>
                <w:tcPr>
                  <w:tcW w:w="3954" w:type="dxa"/>
                  <w:noWrap w:val="0"/>
                  <w:vAlign w:val="center"/>
                </w:tcPr>
                <w:p w14:paraId="596E8E61">
                  <w:pPr>
                    <w:keepNext w:val="0"/>
                    <w:keepLines w:val="0"/>
                    <w:pageBreakBefore w:val="0"/>
                    <w:widowControl w:val="0"/>
                    <w:kinsoku/>
                    <w:wordWrap/>
                    <w:overflowPunct/>
                    <w:topLinePunct w:val="0"/>
                    <w:autoSpaceDE/>
                    <w:autoSpaceDN/>
                    <w:bidi w:val="0"/>
                    <w:adjustRightInd/>
                    <w:snapToGrid/>
                    <w:spacing w:line="304" w:lineRule="exact"/>
                    <w:ind w:firstLine="0" w:firstLineChars="0"/>
                    <w:jc w:val="both"/>
                    <w:textAlignment w:val="auto"/>
                    <w:rPr>
                      <w:rFonts w:hint="eastAsia" w:ascii="Times New Roman" w:hAnsi="Times New Roman"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经管道收集后经排气筒（DA001）排出</w:t>
                  </w:r>
                </w:p>
              </w:tc>
            </w:tr>
            <w:tr w14:paraId="40D86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795" w:hRule="atLeast"/>
                <w:tblHeader/>
                <w:jc w:val="center"/>
              </w:trPr>
              <w:tc>
                <w:tcPr>
                  <w:tcW w:w="693" w:type="dxa"/>
                  <w:vMerge w:val="continue"/>
                  <w:noWrap w:val="0"/>
                  <w:vAlign w:val="center"/>
                </w:tcPr>
                <w:p w14:paraId="0E86F2B3">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p>
              </w:tc>
              <w:tc>
                <w:tcPr>
                  <w:tcW w:w="1280" w:type="dxa"/>
                  <w:noWrap w:val="0"/>
                  <w:vAlign w:val="center"/>
                </w:tcPr>
                <w:p w14:paraId="35374969">
                  <w:pPr>
                    <w:keepNext w:val="0"/>
                    <w:keepLines w:val="0"/>
                    <w:pageBreakBefore w:val="0"/>
                    <w:widowControl w:val="0"/>
                    <w:kinsoku/>
                    <w:wordWrap/>
                    <w:overflowPunct/>
                    <w:topLinePunct w:val="0"/>
                    <w:autoSpaceDE/>
                    <w:autoSpaceDN/>
                    <w:bidi w:val="0"/>
                    <w:adjustRightInd/>
                    <w:snapToGrid/>
                    <w:spacing w:line="304" w:lineRule="exact"/>
                    <w:ind w:firstLine="0" w:firstLineChars="0"/>
                    <w:jc w:val="both"/>
                    <w:textAlignment w:val="auto"/>
                    <w:rPr>
                      <w:rFonts w:hint="default" w:ascii="Times New Roman" w:hAnsi="Times New Roman" w:eastAsia="宋体" w:cs="Times New Roman"/>
                      <w:color w:val="auto"/>
                      <w:sz w:val="21"/>
                      <w:szCs w:val="21"/>
                      <w:highlight w:val="none"/>
                      <w:u w:val="none" w:color="auto"/>
                      <w:lang w:val="zh-CN" w:eastAsia="zh-CN"/>
                    </w:rPr>
                  </w:pPr>
                  <w:r>
                    <w:rPr>
                      <w:rFonts w:hint="default" w:ascii="Times New Roman" w:hAnsi="Times New Roman" w:eastAsia="宋体" w:cs="Times New Roman"/>
                      <w:color w:val="auto"/>
                      <w:sz w:val="21"/>
                      <w:szCs w:val="21"/>
                      <w:highlight w:val="none"/>
                      <w:u w:val="none" w:color="auto"/>
                      <w:lang w:val="zh-CN" w:eastAsia="zh-CN"/>
                    </w:rPr>
                    <w:t>废水处理设施</w:t>
                  </w:r>
                </w:p>
              </w:tc>
              <w:tc>
                <w:tcPr>
                  <w:tcW w:w="5365" w:type="dxa"/>
                  <w:gridSpan w:val="2"/>
                  <w:noWrap w:val="0"/>
                  <w:vAlign w:val="center"/>
                </w:tcPr>
                <w:p w14:paraId="08122433">
                  <w:pPr>
                    <w:keepNext w:val="0"/>
                    <w:keepLines w:val="0"/>
                    <w:pageBreakBefore w:val="0"/>
                    <w:widowControl w:val="0"/>
                    <w:kinsoku/>
                    <w:wordWrap/>
                    <w:overflowPunct/>
                    <w:topLinePunct w:val="0"/>
                    <w:autoSpaceDE/>
                    <w:autoSpaceDN/>
                    <w:bidi w:val="0"/>
                    <w:adjustRightInd/>
                    <w:snapToGrid/>
                    <w:spacing w:line="304" w:lineRule="exact"/>
                    <w:ind w:firstLine="0" w:firstLineChars="0"/>
                    <w:jc w:val="both"/>
                    <w:textAlignment w:val="auto"/>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项目水帘废水作为危险废物处置，委托有资质单位外运处置，不外排，生活污水经化粪池处理后用于周边林地浇灌，不外排</w:t>
                  </w:r>
                </w:p>
              </w:tc>
            </w:tr>
            <w:tr w14:paraId="31DC8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14" w:hRule="atLeast"/>
                <w:tblHeader/>
                <w:jc w:val="center"/>
              </w:trPr>
              <w:tc>
                <w:tcPr>
                  <w:tcW w:w="693" w:type="dxa"/>
                  <w:vMerge w:val="continue"/>
                  <w:noWrap w:val="0"/>
                  <w:vAlign w:val="center"/>
                </w:tcPr>
                <w:p w14:paraId="7929D68E">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p>
              </w:tc>
              <w:tc>
                <w:tcPr>
                  <w:tcW w:w="1280" w:type="dxa"/>
                  <w:noWrap w:val="0"/>
                  <w:vAlign w:val="center"/>
                </w:tcPr>
                <w:p w14:paraId="369773E2">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固废暂存设施</w:t>
                  </w:r>
                </w:p>
              </w:tc>
              <w:tc>
                <w:tcPr>
                  <w:tcW w:w="5365" w:type="dxa"/>
                  <w:gridSpan w:val="2"/>
                  <w:noWrap w:val="0"/>
                  <w:vAlign w:val="center"/>
                </w:tcPr>
                <w:p w14:paraId="09A167F4">
                  <w:pPr>
                    <w:keepNext w:val="0"/>
                    <w:keepLines w:val="0"/>
                    <w:pageBreakBefore w:val="0"/>
                    <w:widowControl w:val="0"/>
                    <w:kinsoku/>
                    <w:wordWrap/>
                    <w:overflowPunct/>
                    <w:topLinePunct w:val="0"/>
                    <w:autoSpaceDE/>
                    <w:autoSpaceDN/>
                    <w:bidi w:val="0"/>
                    <w:adjustRightInd/>
                    <w:snapToGrid/>
                    <w:spacing w:before="0" w:after="0" w:line="260" w:lineRule="exact"/>
                    <w:jc w:val="left"/>
                    <w:textAlignment w:val="auto"/>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一般固废暂存</w:t>
                  </w:r>
                  <w:r>
                    <w:rPr>
                      <w:rFonts w:hint="eastAsia" w:cs="Times New Roman"/>
                      <w:color w:val="auto"/>
                      <w:kern w:val="0"/>
                      <w:sz w:val="21"/>
                      <w:szCs w:val="21"/>
                      <w:highlight w:val="none"/>
                      <w:u w:val="none" w:color="auto"/>
                      <w:lang w:val="en-US" w:eastAsia="zh-CN" w:bidi="ar-SA"/>
                    </w:rPr>
                    <w:t>区</w:t>
                  </w:r>
                  <w:r>
                    <w:rPr>
                      <w:rFonts w:hint="default" w:ascii="Times New Roman" w:hAnsi="Times New Roman" w:eastAsia="宋体" w:cs="Times New Roman"/>
                      <w:color w:val="auto"/>
                      <w:kern w:val="0"/>
                      <w:sz w:val="21"/>
                      <w:szCs w:val="21"/>
                      <w:highlight w:val="none"/>
                      <w:u w:val="none" w:color="auto"/>
                      <w:lang w:val="zh-CN" w:eastAsia="zh-CN" w:bidi="ar-SA"/>
                    </w:rPr>
                    <w:t>位于</w:t>
                  </w:r>
                  <w:r>
                    <w:rPr>
                      <w:rFonts w:hint="eastAsia" w:ascii="Times New Roman" w:hAnsi="Times New Roman" w:eastAsia="宋体" w:cs="Times New Roman"/>
                      <w:color w:val="auto"/>
                      <w:kern w:val="0"/>
                      <w:sz w:val="21"/>
                      <w:szCs w:val="21"/>
                      <w:highlight w:val="none"/>
                      <w:u w:val="none" w:color="auto"/>
                      <w:lang w:val="en-US" w:eastAsia="zh-CN" w:bidi="ar-SA"/>
                    </w:rPr>
                    <w:t>车间</w:t>
                  </w:r>
                  <w:r>
                    <w:rPr>
                      <w:rFonts w:hint="eastAsia" w:cs="Times New Roman"/>
                      <w:color w:val="auto"/>
                      <w:kern w:val="0"/>
                      <w:sz w:val="21"/>
                      <w:szCs w:val="21"/>
                      <w:highlight w:val="none"/>
                      <w:u w:val="none" w:color="auto"/>
                      <w:lang w:val="en-US" w:eastAsia="zh-CN" w:bidi="ar-SA"/>
                    </w:rPr>
                    <w:t>三</w:t>
                  </w:r>
                  <w:r>
                    <w:rPr>
                      <w:rFonts w:hint="eastAsia" w:ascii="Times New Roman" w:hAnsi="Times New Roman" w:eastAsia="宋体" w:cs="Times New Roman"/>
                      <w:color w:val="auto"/>
                      <w:kern w:val="0"/>
                      <w:sz w:val="21"/>
                      <w:szCs w:val="21"/>
                      <w:highlight w:val="none"/>
                      <w:u w:val="none" w:color="auto"/>
                      <w:lang w:val="en-US" w:eastAsia="zh-CN" w:bidi="ar-SA"/>
                    </w:rPr>
                    <w:t>西侧</w:t>
                  </w:r>
                  <w:r>
                    <w:rPr>
                      <w:rFonts w:hint="default" w:ascii="Times New Roman" w:hAnsi="Times New Roman" w:eastAsia="宋体" w:cs="Times New Roman"/>
                      <w:color w:val="auto"/>
                      <w:kern w:val="0"/>
                      <w:sz w:val="21"/>
                      <w:szCs w:val="21"/>
                      <w:highlight w:val="none"/>
                      <w:u w:val="none" w:color="auto"/>
                      <w:lang w:val="zh-CN" w:eastAsia="zh-CN" w:bidi="ar-SA"/>
                    </w:rPr>
                    <w:t>，1处，占地</w:t>
                  </w:r>
                  <w:r>
                    <w:rPr>
                      <w:rFonts w:hint="eastAsia" w:cs="Times New Roman"/>
                      <w:color w:val="auto"/>
                      <w:kern w:val="0"/>
                      <w:sz w:val="21"/>
                      <w:szCs w:val="21"/>
                      <w:highlight w:val="none"/>
                      <w:u w:val="none" w:color="auto"/>
                      <w:lang w:val="en-US" w:eastAsia="zh-CN" w:bidi="ar-SA"/>
                    </w:rPr>
                    <w:t>20</w:t>
                  </w:r>
                  <w:r>
                    <w:rPr>
                      <w:rFonts w:hint="default" w:ascii="Times New Roman" w:hAnsi="Times New Roman" w:eastAsia="宋体" w:cs="Times New Roman"/>
                      <w:color w:val="auto"/>
                      <w:kern w:val="0"/>
                      <w:sz w:val="21"/>
                      <w:szCs w:val="21"/>
                      <w:highlight w:val="none"/>
                      <w:u w:val="none" w:color="auto"/>
                      <w:lang w:val="zh-CN" w:eastAsia="zh-CN" w:bidi="ar-SA"/>
                    </w:rPr>
                    <w:t>m</w:t>
                  </w:r>
                  <w:r>
                    <w:rPr>
                      <w:rFonts w:hint="default" w:ascii="Times New Roman" w:hAnsi="Times New Roman" w:eastAsia="宋体" w:cs="Times New Roman"/>
                      <w:color w:val="auto"/>
                      <w:kern w:val="0"/>
                      <w:sz w:val="21"/>
                      <w:szCs w:val="21"/>
                      <w:highlight w:val="none"/>
                      <w:u w:val="none" w:color="auto"/>
                      <w:vertAlign w:val="superscript"/>
                      <w:lang w:val="zh-CN" w:eastAsia="zh-CN" w:bidi="ar-SA"/>
                    </w:rPr>
                    <w:t>2</w:t>
                  </w:r>
                  <w:r>
                    <w:rPr>
                      <w:rFonts w:hint="default" w:ascii="Times New Roman" w:hAnsi="Times New Roman" w:eastAsia="宋体" w:cs="Times New Roman"/>
                      <w:color w:val="auto"/>
                      <w:kern w:val="0"/>
                      <w:sz w:val="21"/>
                      <w:szCs w:val="21"/>
                      <w:highlight w:val="none"/>
                      <w:u w:val="none" w:color="auto"/>
                      <w:lang w:val="zh-CN" w:eastAsia="zh-CN" w:bidi="ar-SA"/>
                    </w:rPr>
                    <w:t>；危废暂存</w:t>
                  </w:r>
                  <w:r>
                    <w:rPr>
                      <w:rFonts w:hint="eastAsia" w:ascii="Times New Roman" w:hAnsi="Times New Roman" w:eastAsia="宋体" w:cs="Times New Roman"/>
                      <w:color w:val="auto"/>
                      <w:kern w:val="0"/>
                      <w:sz w:val="21"/>
                      <w:szCs w:val="21"/>
                      <w:highlight w:val="none"/>
                      <w:u w:val="none" w:color="auto"/>
                      <w:lang w:val="en-US" w:eastAsia="zh-CN" w:bidi="ar-SA"/>
                    </w:rPr>
                    <w:t>间</w:t>
                  </w:r>
                  <w:r>
                    <w:rPr>
                      <w:rFonts w:hint="default" w:ascii="Times New Roman" w:hAnsi="Times New Roman" w:eastAsia="宋体" w:cs="Times New Roman"/>
                      <w:color w:val="auto"/>
                      <w:kern w:val="0"/>
                      <w:sz w:val="21"/>
                      <w:szCs w:val="21"/>
                      <w:highlight w:val="none"/>
                      <w:u w:val="none" w:color="auto"/>
                      <w:lang w:val="zh-CN" w:eastAsia="zh-CN" w:bidi="ar-SA"/>
                    </w:rPr>
                    <w:t>位于</w:t>
                  </w:r>
                  <w:r>
                    <w:rPr>
                      <w:rFonts w:hint="eastAsia" w:ascii="Times New Roman" w:hAnsi="Times New Roman" w:eastAsia="宋体" w:cs="Times New Roman"/>
                      <w:color w:val="auto"/>
                      <w:kern w:val="0"/>
                      <w:sz w:val="21"/>
                      <w:szCs w:val="21"/>
                      <w:highlight w:val="none"/>
                      <w:u w:val="none" w:color="auto"/>
                      <w:lang w:val="en-US" w:eastAsia="zh-CN" w:bidi="ar-SA"/>
                    </w:rPr>
                    <w:t>车间</w:t>
                  </w:r>
                  <w:r>
                    <w:rPr>
                      <w:rFonts w:hint="eastAsia" w:cs="Times New Roman"/>
                      <w:color w:val="auto"/>
                      <w:kern w:val="0"/>
                      <w:sz w:val="21"/>
                      <w:szCs w:val="21"/>
                      <w:highlight w:val="none"/>
                      <w:u w:val="none" w:color="auto"/>
                      <w:lang w:val="en-US" w:eastAsia="zh-CN" w:bidi="ar-SA"/>
                    </w:rPr>
                    <w:t>二</w:t>
                  </w:r>
                  <w:r>
                    <w:rPr>
                      <w:rFonts w:hint="eastAsia" w:ascii="Times New Roman" w:hAnsi="Times New Roman" w:eastAsia="宋体" w:cs="Times New Roman"/>
                      <w:color w:val="auto"/>
                      <w:kern w:val="0"/>
                      <w:sz w:val="21"/>
                      <w:szCs w:val="21"/>
                      <w:highlight w:val="none"/>
                      <w:u w:val="none" w:color="auto"/>
                      <w:lang w:val="en-US" w:eastAsia="zh-CN" w:bidi="ar-SA"/>
                    </w:rPr>
                    <w:t>西</w:t>
                  </w:r>
                  <w:r>
                    <w:rPr>
                      <w:rFonts w:hint="eastAsia" w:cs="Times New Roman"/>
                      <w:color w:val="auto"/>
                      <w:kern w:val="0"/>
                      <w:sz w:val="21"/>
                      <w:szCs w:val="21"/>
                      <w:highlight w:val="none"/>
                      <w:u w:val="none" w:color="auto"/>
                      <w:lang w:val="en-US" w:eastAsia="zh-CN" w:bidi="ar-SA"/>
                    </w:rPr>
                    <w:t>侧</w:t>
                  </w:r>
                  <w:r>
                    <w:rPr>
                      <w:rFonts w:hint="default" w:ascii="Times New Roman" w:hAnsi="Times New Roman" w:eastAsia="宋体" w:cs="Times New Roman"/>
                      <w:color w:val="auto"/>
                      <w:kern w:val="0"/>
                      <w:sz w:val="21"/>
                      <w:szCs w:val="21"/>
                      <w:highlight w:val="none"/>
                      <w:u w:val="none" w:color="auto"/>
                      <w:lang w:val="zh-CN" w:eastAsia="zh-CN" w:bidi="ar-SA"/>
                    </w:rPr>
                    <w:t>，1处，占地</w:t>
                  </w:r>
                  <w:r>
                    <w:rPr>
                      <w:rFonts w:hint="eastAsia" w:cs="Times New Roman"/>
                      <w:color w:val="auto"/>
                      <w:kern w:val="0"/>
                      <w:sz w:val="21"/>
                      <w:szCs w:val="21"/>
                      <w:highlight w:val="none"/>
                      <w:u w:val="none" w:color="auto"/>
                      <w:lang w:val="en-US" w:eastAsia="zh-CN" w:bidi="ar-SA"/>
                    </w:rPr>
                    <w:t>50</w:t>
                  </w:r>
                  <w:r>
                    <w:rPr>
                      <w:rFonts w:hint="default" w:ascii="Times New Roman" w:hAnsi="Times New Roman" w:eastAsia="宋体" w:cs="Times New Roman"/>
                      <w:color w:val="auto"/>
                      <w:kern w:val="0"/>
                      <w:sz w:val="21"/>
                      <w:szCs w:val="21"/>
                      <w:highlight w:val="none"/>
                      <w:u w:val="none" w:color="auto"/>
                      <w:lang w:val="zh-CN" w:eastAsia="zh-CN" w:bidi="ar-SA"/>
                    </w:rPr>
                    <w:t>m</w:t>
                  </w:r>
                  <w:r>
                    <w:rPr>
                      <w:rFonts w:hint="default" w:ascii="Times New Roman" w:hAnsi="Times New Roman" w:eastAsia="宋体" w:cs="Times New Roman"/>
                      <w:color w:val="auto"/>
                      <w:kern w:val="0"/>
                      <w:sz w:val="21"/>
                      <w:szCs w:val="21"/>
                      <w:highlight w:val="none"/>
                      <w:u w:val="none" w:color="auto"/>
                      <w:vertAlign w:val="superscript"/>
                      <w:lang w:val="zh-CN" w:eastAsia="zh-CN" w:bidi="ar-SA"/>
                    </w:rPr>
                    <w:t>2</w:t>
                  </w:r>
                  <w:r>
                    <w:rPr>
                      <w:rFonts w:hint="default" w:ascii="Times New Roman" w:hAnsi="Times New Roman" w:eastAsia="宋体" w:cs="Times New Roman"/>
                      <w:color w:val="auto"/>
                      <w:kern w:val="0"/>
                      <w:sz w:val="21"/>
                      <w:szCs w:val="21"/>
                      <w:highlight w:val="none"/>
                      <w:u w:val="none" w:color="auto"/>
                      <w:lang w:val="zh-CN" w:eastAsia="zh-CN" w:bidi="ar-SA"/>
                    </w:rPr>
                    <w:t>。</w:t>
                  </w:r>
                </w:p>
              </w:tc>
            </w:tr>
            <w:tr w14:paraId="405AC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16" w:hRule="atLeast"/>
                <w:tblHeader/>
                <w:jc w:val="center"/>
              </w:trPr>
              <w:tc>
                <w:tcPr>
                  <w:tcW w:w="693" w:type="dxa"/>
                  <w:vMerge w:val="continue"/>
                  <w:noWrap w:val="0"/>
                  <w:vAlign w:val="center"/>
                </w:tcPr>
                <w:p w14:paraId="2524EBE1">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outlineLvl w:val="9"/>
                    <w:rPr>
                      <w:rFonts w:hint="default" w:ascii="Times New Roman" w:hAnsi="Times New Roman" w:eastAsia="宋体" w:cs="Times New Roman"/>
                      <w:color w:val="auto"/>
                      <w:kern w:val="0"/>
                      <w:sz w:val="21"/>
                      <w:szCs w:val="21"/>
                      <w:highlight w:val="none"/>
                      <w:u w:val="none" w:color="auto"/>
                      <w:lang w:val="zh-CN" w:eastAsia="zh-CN" w:bidi="ar-SA"/>
                    </w:rPr>
                  </w:pPr>
                </w:p>
              </w:tc>
              <w:tc>
                <w:tcPr>
                  <w:tcW w:w="1280" w:type="dxa"/>
                  <w:noWrap w:val="0"/>
                  <w:vAlign w:val="center"/>
                </w:tcPr>
                <w:p w14:paraId="57086D75">
                  <w:pPr>
                    <w:keepNext w:val="0"/>
                    <w:keepLines w:val="0"/>
                    <w:pageBreakBefore w:val="0"/>
                    <w:widowControl w:val="0"/>
                    <w:kinsoku/>
                    <w:wordWrap/>
                    <w:overflowPunct/>
                    <w:topLinePunct w:val="0"/>
                    <w:autoSpaceDE/>
                    <w:autoSpaceDN/>
                    <w:bidi w:val="0"/>
                    <w:adjustRightInd/>
                    <w:snapToGrid/>
                    <w:spacing w:before="0" w:after="0" w:line="260" w:lineRule="exact"/>
                    <w:jc w:val="center"/>
                    <w:textAlignment w:val="auto"/>
                    <w:outlineLvl w:val="9"/>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噪声治理</w:t>
                  </w:r>
                </w:p>
              </w:tc>
              <w:tc>
                <w:tcPr>
                  <w:tcW w:w="5365" w:type="dxa"/>
                  <w:gridSpan w:val="2"/>
                  <w:noWrap w:val="0"/>
                  <w:vAlign w:val="center"/>
                </w:tcPr>
                <w:p w14:paraId="21E2B465">
                  <w:pPr>
                    <w:keepNext w:val="0"/>
                    <w:keepLines w:val="0"/>
                    <w:pageBreakBefore w:val="0"/>
                    <w:widowControl w:val="0"/>
                    <w:kinsoku/>
                    <w:wordWrap/>
                    <w:overflowPunct/>
                    <w:topLinePunct w:val="0"/>
                    <w:autoSpaceDE/>
                    <w:autoSpaceDN/>
                    <w:bidi w:val="0"/>
                    <w:adjustRightInd/>
                    <w:snapToGrid/>
                    <w:spacing w:before="0" w:after="0" w:line="260" w:lineRule="exact"/>
                    <w:jc w:val="left"/>
                    <w:textAlignment w:val="auto"/>
                    <w:outlineLvl w:val="9"/>
                    <w:rPr>
                      <w:rFonts w:hint="eastAsia" w:ascii="Times New Roman" w:hAnsi="Times New Roman" w:eastAsia="宋体" w:cs="Times New Roman"/>
                      <w:color w:val="auto"/>
                      <w:kern w:val="0"/>
                      <w:sz w:val="21"/>
                      <w:szCs w:val="21"/>
                      <w:highlight w:val="none"/>
                      <w:u w:val="none" w:color="auto"/>
                      <w:lang w:val="zh-CN" w:eastAsia="zh-CN" w:bidi="ar-SA"/>
                    </w:rPr>
                  </w:pPr>
                  <w:r>
                    <w:rPr>
                      <w:rFonts w:hint="eastAsia" w:ascii="Times New Roman" w:hAnsi="Times New Roman" w:eastAsia="宋体" w:cs="Times New Roman"/>
                      <w:color w:val="auto"/>
                      <w:kern w:val="0"/>
                      <w:sz w:val="21"/>
                      <w:szCs w:val="21"/>
                      <w:highlight w:val="none"/>
                      <w:u w:val="none" w:color="auto"/>
                      <w:lang w:val="zh-CN" w:eastAsia="zh-CN" w:bidi="ar-SA"/>
                    </w:rPr>
                    <w:t>选用低噪声设备，合理布局、基座减振加固、风机出口设置消声器等。</w:t>
                  </w:r>
                </w:p>
              </w:tc>
            </w:tr>
          </w:tbl>
          <w:p w14:paraId="1367C4D8">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2.3产品方案</w:t>
            </w:r>
          </w:p>
          <w:p w14:paraId="79207597">
            <w:pPr>
              <w:keepNext w:val="0"/>
              <w:keepLines w:val="0"/>
              <w:pageBreakBefore w:val="0"/>
              <w:widowControl w:val="0"/>
              <w:kinsoku/>
              <w:wordWrap/>
              <w:overflowPunct/>
              <w:topLinePunct w:val="0"/>
              <w:autoSpaceDE/>
              <w:autoSpaceDN/>
              <w:bidi w:val="0"/>
              <w:adjustRightInd/>
              <w:snapToGrid/>
              <w:spacing w:line="480" w:lineRule="exact"/>
              <w:ind w:firstLine="470" w:firstLineChars="196"/>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产品方案见下表。</w:t>
            </w:r>
          </w:p>
          <w:p w14:paraId="31F1D662">
            <w:pPr>
              <w:keepNext w:val="0"/>
              <w:keepLines w:val="0"/>
              <w:pageBreakBefore w:val="0"/>
              <w:widowControl w:val="0"/>
              <w:kinsoku/>
              <w:wordWrap/>
              <w:overflowPunct/>
              <w:topLinePunct w:val="0"/>
              <w:autoSpaceDE/>
              <w:autoSpaceDN/>
              <w:bidi w:val="0"/>
              <w:adjustRightInd w:val="0"/>
              <w:snapToGrid w:val="0"/>
              <w:spacing w:line="480" w:lineRule="exact"/>
              <w:ind w:firstLine="0" w:firstLineChars="0"/>
              <w:jc w:val="center"/>
              <w:textAlignment w:val="auto"/>
              <w:rPr>
                <w:rFonts w:hint="default" w:ascii="Times New Roman" w:hAnsi="Times New Roman" w:eastAsia="宋体" w:cs="Times New Roman"/>
                <w:b/>
                <w:bCs w:val="0"/>
                <w:color w:val="auto"/>
                <w:sz w:val="21"/>
                <w:szCs w:val="21"/>
                <w:highlight w:val="none"/>
                <w:u w:val="none" w:color="auto"/>
                <w:vertAlign w:val="baseline"/>
                <w:lang w:val="en-US" w:eastAsia="zh-CN"/>
              </w:rPr>
            </w:pPr>
            <w:r>
              <w:rPr>
                <w:rFonts w:hint="eastAsia" w:ascii="Times New Roman" w:hAnsi="Times New Roman" w:eastAsia="宋体" w:cs="Times New Roman"/>
                <w:b/>
                <w:bCs w:val="0"/>
                <w:color w:val="auto"/>
                <w:sz w:val="21"/>
                <w:szCs w:val="21"/>
                <w:highlight w:val="none"/>
                <w:u w:val="none" w:color="auto"/>
                <w:vertAlign w:val="baseline"/>
                <w:lang w:val="en-US" w:eastAsia="zh-CN"/>
              </w:rPr>
              <w:t>表2-</w:t>
            </w:r>
            <w:r>
              <w:rPr>
                <w:rFonts w:hint="eastAsia" w:cs="Times New Roman"/>
                <w:b/>
                <w:bCs w:val="0"/>
                <w:color w:val="auto"/>
                <w:sz w:val="21"/>
                <w:szCs w:val="21"/>
                <w:highlight w:val="none"/>
                <w:u w:val="none" w:color="auto"/>
                <w:vertAlign w:val="baseline"/>
                <w:lang w:val="en-US" w:eastAsia="zh-CN"/>
              </w:rPr>
              <w:t>2</w:t>
            </w:r>
            <w:r>
              <w:rPr>
                <w:rFonts w:hint="eastAsia" w:ascii="Times New Roman" w:hAnsi="Times New Roman" w:eastAsia="宋体" w:cs="Times New Roman"/>
                <w:b/>
                <w:bCs w:val="0"/>
                <w:color w:val="auto"/>
                <w:sz w:val="21"/>
                <w:szCs w:val="21"/>
                <w:highlight w:val="none"/>
                <w:u w:val="none" w:color="auto"/>
                <w:vertAlign w:val="baseline"/>
                <w:lang w:val="en-US" w:eastAsia="zh-CN"/>
              </w:rPr>
              <w:t xml:space="preserve">    项目产品方案</w:t>
            </w:r>
          </w:p>
          <w:tbl>
            <w:tblPr>
              <w:tblStyle w:val="31"/>
              <w:tblW w:w="48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899"/>
              <w:gridCol w:w="1540"/>
              <w:gridCol w:w="857"/>
              <w:gridCol w:w="2408"/>
            </w:tblGrid>
            <w:tr w14:paraId="1BF74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5" w:type="pct"/>
                  <w:noWrap w:val="0"/>
                  <w:vAlign w:val="center"/>
                </w:tcPr>
                <w:p w14:paraId="102AF207">
                  <w:pPr>
                    <w:keepNext w:val="0"/>
                    <w:keepLines w:val="0"/>
                    <w:pageBreakBefore w:val="0"/>
                    <w:widowControl w:val="0"/>
                    <w:kinsoku/>
                    <w:wordWrap/>
                    <w:overflowPunct/>
                    <w:topLinePunct w:val="0"/>
                    <w:autoSpaceDE/>
                    <w:autoSpaceDN/>
                    <w:bidi w:val="0"/>
                    <w:spacing w:line="320" w:lineRule="exact"/>
                    <w:ind w:left="0" w:leftChars="0" w:firstLine="0" w:firstLineChars="0"/>
                    <w:jc w:val="center"/>
                    <w:textAlignment w:val="auto"/>
                    <w:outlineLvl w:val="9"/>
                    <w:rPr>
                      <w:rFonts w:hint="default" w:ascii="Times New Roman" w:hAnsi="Times New Roman" w:eastAsia="宋体" w:cs="Times New Roman"/>
                      <w:b w:val="0"/>
                      <w:bCs/>
                      <w:color w:val="auto"/>
                      <w:kern w:val="0"/>
                      <w:sz w:val="21"/>
                      <w:szCs w:val="21"/>
                      <w:highlight w:val="none"/>
                      <w:u w:val="none" w:color="auto"/>
                      <w:lang w:val="zh-CN" w:eastAsia="zh-CN" w:bidi="ar-SA"/>
                    </w:rPr>
                  </w:pPr>
                  <w:r>
                    <w:rPr>
                      <w:rFonts w:hint="default" w:ascii="Times New Roman" w:hAnsi="Times New Roman" w:eastAsia="宋体" w:cs="Times New Roman"/>
                      <w:b w:val="0"/>
                      <w:bCs/>
                      <w:color w:val="auto"/>
                      <w:kern w:val="0"/>
                      <w:sz w:val="21"/>
                      <w:szCs w:val="21"/>
                      <w:highlight w:val="none"/>
                      <w:u w:val="none" w:color="auto"/>
                      <w:lang w:val="zh-CN" w:eastAsia="zh-CN" w:bidi="ar-SA"/>
                    </w:rPr>
                    <w:t>序号</w:t>
                  </w:r>
                </w:p>
              </w:tc>
              <w:tc>
                <w:tcPr>
                  <w:tcW w:w="1233" w:type="pct"/>
                  <w:noWrap w:val="0"/>
                  <w:vAlign w:val="center"/>
                </w:tcPr>
                <w:p w14:paraId="5EDB0A32">
                  <w:pPr>
                    <w:keepNext w:val="0"/>
                    <w:keepLines w:val="0"/>
                    <w:pageBreakBefore w:val="0"/>
                    <w:widowControl w:val="0"/>
                    <w:kinsoku/>
                    <w:wordWrap/>
                    <w:overflowPunct/>
                    <w:topLinePunct w:val="0"/>
                    <w:autoSpaceDE/>
                    <w:autoSpaceDN/>
                    <w:bidi w:val="0"/>
                    <w:spacing w:line="320" w:lineRule="exact"/>
                    <w:ind w:left="0" w:leftChars="0" w:firstLine="0" w:firstLineChars="0"/>
                    <w:jc w:val="center"/>
                    <w:textAlignment w:val="auto"/>
                    <w:outlineLvl w:val="9"/>
                    <w:rPr>
                      <w:rFonts w:hint="default" w:ascii="Times New Roman" w:hAnsi="Times New Roman" w:eastAsia="宋体" w:cs="Times New Roman"/>
                      <w:b w:val="0"/>
                      <w:bCs/>
                      <w:color w:val="auto"/>
                      <w:kern w:val="0"/>
                      <w:sz w:val="21"/>
                      <w:szCs w:val="21"/>
                      <w:highlight w:val="none"/>
                      <w:u w:val="none" w:color="auto"/>
                      <w:lang w:val="zh-CN" w:eastAsia="zh-CN" w:bidi="ar-SA"/>
                    </w:rPr>
                  </w:pPr>
                  <w:r>
                    <w:rPr>
                      <w:rFonts w:hint="default" w:ascii="Times New Roman" w:hAnsi="Times New Roman" w:eastAsia="宋体" w:cs="Times New Roman"/>
                      <w:b w:val="0"/>
                      <w:bCs/>
                      <w:color w:val="auto"/>
                      <w:kern w:val="0"/>
                      <w:sz w:val="21"/>
                      <w:szCs w:val="21"/>
                      <w:highlight w:val="none"/>
                      <w:u w:val="none" w:color="auto"/>
                      <w:lang w:val="en-US" w:eastAsia="zh-CN" w:bidi="ar-SA"/>
                    </w:rPr>
                    <w:t>产品</w:t>
                  </w:r>
                  <w:r>
                    <w:rPr>
                      <w:rFonts w:hint="default" w:ascii="Times New Roman" w:hAnsi="Times New Roman" w:eastAsia="宋体" w:cs="Times New Roman"/>
                      <w:b w:val="0"/>
                      <w:bCs/>
                      <w:color w:val="auto"/>
                      <w:kern w:val="0"/>
                      <w:sz w:val="21"/>
                      <w:szCs w:val="21"/>
                      <w:highlight w:val="none"/>
                      <w:u w:val="none" w:color="auto"/>
                      <w:lang w:val="zh-CN" w:eastAsia="zh-CN" w:bidi="ar-SA"/>
                    </w:rPr>
                    <w:t>名称</w:t>
                  </w:r>
                </w:p>
              </w:tc>
              <w:tc>
                <w:tcPr>
                  <w:tcW w:w="1000" w:type="pct"/>
                  <w:noWrap w:val="0"/>
                  <w:vAlign w:val="center"/>
                </w:tcPr>
                <w:p w14:paraId="44C6FBD0">
                  <w:pPr>
                    <w:keepNext w:val="0"/>
                    <w:keepLines w:val="0"/>
                    <w:pageBreakBefore w:val="0"/>
                    <w:widowControl w:val="0"/>
                    <w:kinsoku/>
                    <w:wordWrap/>
                    <w:overflowPunct/>
                    <w:topLinePunct w:val="0"/>
                    <w:autoSpaceDE/>
                    <w:autoSpaceDN/>
                    <w:bidi w:val="0"/>
                    <w:spacing w:line="320" w:lineRule="exact"/>
                    <w:ind w:left="0" w:leftChars="0" w:firstLine="0" w:firstLineChars="0"/>
                    <w:jc w:val="center"/>
                    <w:textAlignment w:val="auto"/>
                    <w:outlineLvl w:val="9"/>
                    <w:rPr>
                      <w:rFonts w:hint="default" w:ascii="Times New Roman" w:hAnsi="Times New Roman" w:eastAsia="宋体" w:cs="Times New Roman"/>
                      <w:b w:val="0"/>
                      <w:bCs/>
                      <w:color w:val="auto"/>
                      <w:kern w:val="0"/>
                      <w:sz w:val="21"/>
                      <w:szCs w:val="21"/>
                      <w:highlight w:val="none"/>
                      <w:u w:val="none" w:color="auto"/>
                      <w:lang w:val="en-US" w:eastAsia="zh-CN" w:bidi="ar-SA"/>
                    </w:rPr>
                  </w:pPr>
                  <w:r>
                    <w:rPr>
                      <w:rFonts w:hint="eastAsia" w:ascii="Times New Roman" w:hAnsi="Times New Roman" w:eastAsia="宋体" w:cs="Times New Roman"/>
                      <w:b w:val="0"/>
                      <w:bCs/>
                      <w:color w:val="auto"/>
                      <w:kern w:val="0"/>
                      <w:sz w:val="21"/>
                      <w:szCs w:val="21"/>
                      <w:highlight w:val="none"/>
                      <w:u w:val="none" w:color="auto"/>
                      <w:lang w:val="en-US" w:eastAsia="zh-CN" w:bidi="ar-SA"/>
                    </w:rPr>
                    <w:t>产品数量</w:t>
                  </w:r>
                </w:p>
              </w:tc>
              <w:tc>
                <w:tcPr>
                  <w:tcW w:w="556" w:type="pct"/>
                  <w:noWrap w:val="0"/>
                  <w:vAlign w:val="center"/>
                </w:tcPr>
                <w:p w14:paraId="4599C27A">
                  <w:pPr>
                    <w:keepNext w:val="0"/>
                    <w:keepLines w:val="0"/>
                    <w:pageBreakBefore w:val="0"/>
                    <w:widowControl w:val="0"/>
                    <w:kinsoku/>
                    <w:wordWrap/>
                    <w:overflowPunct/>
                    <w:topLinePunct w:val="0"/>
                    <w:autoSpaceDE/>
                    <w:autoSpaceDN/>
                    <w:bidi w:val="0"/>
                    <w:spacing w:line="320" w:lineRule="exact"/>
                    <w:ind w:left="0" w:leftChars="0" w:firstLine="0" w:firstLineChars="0"/>
                    <w:jc w:val="center"/>
                    <w:textAlignment w:val="auto"/>
                    <w:outlineLvl w:val="9"/>
                    <w:rPr>
                      <w:rFonts w:hint="default" w:ascii="Times New Roman" w:hAnsi="Times New Roman" w:eastAsia="宋体" w:cs="Times New Roman"/>
                      <w:b w:val="0"/>
                      <w:bCs/>
                      <w:color w:val="auto"/>
                      <w:kern w:val="0"/>
                      <w:sz w:val="21"/>
                      <w:szCs w:val="21"/>
                      <w:highlight w:val="none"/>
                      <w:u w:val="none" w:color="auto"/>
                      <w:lang w:val="en-US" w:eastAsia="zh-CN" w:bidi="ar-SA"/>
                    </w:rPr>
                  </w:pPr>
                  <w:r>
                    <w:rPr>
                      <w:rFonts w:hint="eastAsia" w:ascii="Times New Roman" w:hAnsi="Times New Roman" w:eastAsia="宋体" w:cs="Times New Roman"/>
                      <w:b w:val="0"/>
                      <w:bCs/>
                      <w:color w:val="auto"/>
                      <w:kern w:val="0"/>
                      <w:sz w:val="21"/>
                      <w:szCs w:val="21"/>
                      <w:highlight w:val="none"/>
                      <w:u w:val="none" w:color="auto"/>
                      <w:lang w:val="en-US" w:eastAsia="zh-CN" w:bidi="ar-SA"/>
                    </w:rPr>
                    <w:t>单位</w:t>
                  </w:r>
                </w:p>
              </w:tc>
              <w:tc>
                <w:tcPr>
                  <w:tcW w:w="1564" w:type="pct"/>
                  <w:noWrap w:val="0"/>
                  <w:vAlign w:val="center"/>
                </w:tcPr>
                <w:p w14:paraId="58BA994B">
                  <w:pPr>
                    <w:keepNext w:val="0"/>
                    <w:keepLines w:val="0"/>
                    <w:pageBreakBefore w:val="0"/>
                    <w:widowControl w:val="0"/>
                    <w:kinsoku/>
                    <w:wordWrap/>
                    <w:overflowPunct/>
                    <w:topLinePunct w:val="0"/>
                    <w:autoSpaceDE/>
                    <w:autoSpaceDN/>
                    <w:bidi w:val="0"/>
                    <w:spacing w:line="320" w:lineRule="exact"/>
                    <w:ind w:left="0" w:leftChars="0" w:firstLine="0" w:firstLineChars="0"/>
                    <w:jc w:val="center"/>
                    <w:textAlignment w:val="auto"/>
                    <w:outlineLvl w:val="9"/>
                    <w:rPr>
                      <w:rFonts w:hint="default" w:ascii="Times New Roman" w:hAnsi="Times New Roman" w:eastAsia="宋体" w:cs="Times New Roman"/>
                      <w:b w:val="0"/>
                      <w:bCs/>
                      <w:color w:val="auto"/>
                      <w:kern w:val="0"/>
                      <w:sz w:val="21"/>
                      <w:szCs w:val="21"/>
                      <w:highlight w:val="none"/>
                      <w:u w:val="none" w:color="auto"/>
                      <w:lang w:val="en-US" w:eastAsia="zh-CN" w:bidi="ar-SA"/>
                    </w:rPr>
                  </w:pPr>
                  <w:r>
                    <w:rPr>
                      <w:rFonts w:hint="eastAsia" w:ascii="Times New Roman" w:hAnsi="Times New Roman" w:eastAsia="宋体" w:cs="Times New Roman"/>
                      <w:b w:val="0"/>
                      <w:bCs/>
                      <w:color w:val="auto"/>
                      <w:kern w:val="0"/>
                      <w:sz w:val="21"/>
                      <w:szCs w:val="21"/>
                      <w:highlight w:val="none"/>
                      <w:u w:val="none" w:color="auto"/>
                      <w:lang w:val="en-US" w:eastAsia="zh-CN" w:bidi="ar-SA"/>
                    </w:rPr>
                    <w:t>涂装面积</w:t>
                  </w:r>
                </w:p>
              </w:tc>
            </w:tr>
            <w:tr w14:paraId="232B8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5" w:type="pct"/>
                  <w:noWrap w:val="0"/>
                  <w:vAlign w:val="center"/>
                </w:tcPr>
                <w:p w14:paraId="704A139F">
                  <w:pPr>
                    <w:keepNext w:val="0"/>
                    <w:keepLines w:val="0"/>
                    <w:pageBreakBefore w:val="0"/>
                    <w:widowControl w:val="0"/>
                    <w:kinsoku/>
                    <w:wordWrap/>
                    <w:overflowPunct/>
                    <w:topLinePunct w:val="0"/>
                    <w:autoSpaceDE/>
                    <w:autoSpaceDN/>
                    <w:bidi w:val="0"/>
                    <w:adjustRightInd/>
                    <w:snapToGrid/>
                    <w:spacing w:line="304" w:lineRule="exact"/>
                    <w:ind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1</w:t>
                  </w:r>
                </w:p>
              </w:tc>
              <w:tc>
                <w:tcPr>
                  <w:tcW w:w="1233" w:type="pct"/>
                  <w:noWrap w:val="0"/>
                  <w:vAlign w:val="center"/>
                </w:tcPr>
                <w:p w14:paraId="117BED81">
                  <w:pPr>
                    <w:keepNext w:val="0"/>
                    <w:keepLines w:val="0"/>
                    <w:pageBreakBefore w:val="0"/>
                    <w:widowControl w:val="0"/>
                    <w:kinsoku/>
                    <w:wordWrap/>
                    <w:overflowPunct/>
                    <w:topLinePunct w:val="0"/>
                    <w:autoSpaceDE/>
                    <w:autoSpaceDN/>
                    <w:bidi w:val="0"/>
                    <w:adjustRightInd/>
                    <w:snapToGrid/>
                    <w:spacing w:line="304" w:lineRule="exact"/>
                    <w:ind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风扇、风罩</w:t>
                  </w:r>
                </w:p>
              </w:tc>
              <w:tc>
                <w:tcPr>
                  <w:tcW w:w="1000" w:type="pct"/>
                  <w:noWrap w:val="0"/>
                  <w:vAlign w:val="center"/>
                </w:tcPr>
                <w:p w14:paraId="306814D4">
                  <w:pPr>
                    <w:keepNext w:val="0"/>
                    <w:keepLines w:val="0"/>
                    <w:pageBreakBefore w:val="0"/>
                    <w:widowControl w:val="0"/>
                    <w:kinsoku/>
                    <w:wordWrap/>
                    <w:overflowPunct/>
                    <w:topLinePunct w:val="0"/>
                    <w:autoSpaceDE/>
                    <w:autoSpaceDN/>
                    <w:bidi w:val="0"/>
                    <w:adjustRightInd/>
                    <w:snapToGrid/>
                    <w:spacing w:line="304" w:lineRule="exact"/>
                    <w:ind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3000</w:t>
                  </w:r>
                </w:p>
              </w:tc>
              <w:tc>
                <w:tcPr>
                  <w:tcW w:w="556" w:type="pct"/>
                  <w:noWrap w:val="0"/>
                  <w:vAlign w:val="center"/>
                </w:tcPr>
                <w:p w14:paraId="5459F1DC">
                  <w:pPr>
                    <w:keepNext w:val="0"/>
                    <w:keepLines w:val="0"/>
                    <w:pageBreakBefore w:val="0"/>
                    <w:widowControl w:val="0"/>
                    <w:kinsoku/>
                    <w:wordWrap/>
                    <w:overflowPunct/>
                    <w:topLinePunct w:val="0"/>
                    <w:autoSpaceDE/>
                    <w:autoSpaceDN/>
                    <w:bidi w:val="0"/>
                    <w:adjustRightInd/>
                    <w:snapToGrid/>
                    <w:spacing w:line="304" w:lineRule="exact"/>
                    <w:ind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台套/a</w:t>
                  </w:r>
                </w:p>
              </w:tc>
              <w:tc>
                <w:tcPr>
                  <w:tcW w:w="1564" w:type="pct"/>
                  <w:noWrap w:val="0"/>
                  <w:vAlign w:val="center"/>
                </w:tcPr>
                <w:p w14:paraId="1638EF86">
                  <w:pPr>
                    <w:keepNext w:val="0"/>
                    <w:keepLines w:val="0"/>
                    <w:pageBreakBefore w:val="0"/>
                    <w:widowControl w:val="0"/>
                    <w:kinsoku/>
                    <w:wordWrap/>
                    <w:overflowPunct/>
                    <w:topLinePunct w:val="0"/>
                    <w:autoSpaceDE/>
                    <w:autoSpaceDN/>
                    <w:bidi w:val="0"/>
                    <w:adjustRightInd/>
                    <w:snapToGrid/>
                    <w:spacing w:line="304" w:lineRule="exact"/>
                    <w:ind w:firstLine="0" w:firstLineChars="0"/>
                    <w:jc w:val="center"/>
                    <w:textAlignment w:val="auto"/>
                    <w:rPr>
                      <w:rFonts w:hint="default" w:ascii="Times New Roman" w:hAnsi="Times New Roman" w:eastAsia="宋体" w:cs="Times New Roman"/>
                      <w:color w:val="auto"/>
                      <w:sz w:val="21"/>
                      <w:szCs w:val="21"/>
                      <w:highlight w:val="none"/>
                      <w:u w:val="none" w:color="auto"/>
                      <w:vertAlign w:val="baseline"/>
                      <w:lang w:val="en-US" w:eastAsia="zh-CN"/>
                    </w:rPr>
                  </w:pPr>
                  <w:r>
                    <w:rPr>
                      <w:rFonts w:hint="eastAsia" w:ascii="Times New Roman" w:hAnsi="Times New Roman" w:eastAsia="宋体" w:cs="Times New Roman"/>
                      <w:color w:val="auto"/>
                      <w:sz w:val="21"/>
                      <w:szCs w:val="21"/>
                      <w:highlight w:val="none"/>
                      <w:u w:val="none" w:color="auto"/>
                      <w:lang w:val="en-US" w:eastAsia="zh-CN"/>
                    </w:rPr>
                    <w:t>2m</w:t>
                  </w:r>
                  <w:r>
                    <w:rPr>
                      <w:rFonts w:hint="eastAsia" w:ascii="Times New Roman" w:hAnsi="Times New Roman" w:eastAsia="宋体" w:cs="Times New Roman"/>
                      <w:color w:val="auto"/>
                      <w:sz w:val="21"/>
                      <w:szCs w:val="21"/>
                      <w:highlight w:val="none"/>
                      <w:u w:val="none" w:color="auto"/>
                      <w:vertAlign w:val="superscript"/>
                      <w:lang w:val="en-US" w:eastAsia="zh-CN"/>
                    </w:rPr>
                    <w:t>2</w:t>
                  </w:r>
                  <w:r>
                    <w:rPr>
                      <w:rFonts w:hint="eastAsia" w:ascii="Times New Roman" w:hAnsi="Times New Roman" w:eastAsia="宋体" w:cs="Times New Roman"/>
                      <w:color w:val="auto"/>
                      <w:sz w:val="21"/>
                      <w:szCs w:val="21"/>
                      <w:highlight w:val="none"/>
                      <w:u w:val="none" w:color="auto"/>
                      <w:vertAlign w:val="baseline"/>
                      <w:lang w:val="en-US" w:eastAsia="zh-CN"/>
                    </w:rPr>
                    <w:t>/台套</w:t>
                  </w:r>
                  <w:r>
                    <w:rPr>
                      <w:rFonts w:hint="eastAsia" w:cs="Times New Roman"/>
                      <w:color w:val="auto"/>
                      <w:sz w:val="21"/>
                      <w:szCs w:val="21"/>
                      <w:highlight w:val="none"/>
                      <w:u w:val="none" w:color="auto"/>
                      <w:vertAlign w:val="baseline"/>
                      <w:lang w:val="en-US" w:eastAsia="zh-CN"/>
                    </w:rPr>
                    <w:t>（6000m</w:t>
                  </w:r>
                  <w:r>
                    <w:rPr>
                      <w:rFonts w:hint="eastAsia" w:cs="Times New Roman"/>
                      <w:color w:val="auto"/>
                      <w:sz w:val="21"/>
                      <w:szCs w:val="21"/>
                      <w:highlight w:val="none"/>
                      <w:u w:val="none" w:color="auto"/>
                      <w:vertAlign w:val="superscript"/>
                      <w:lang w:val="en-US" w:eastAsia="zh-CN"/>
                    </w:rPr>
                    <w:t>2</w:t>
                  </w:r>
                  <w:r>
                    <w:rPr>
                      <w:rFonts w:hint="eastAsia" w:cs="Times New Roman"/>
                      <w:color w:val="auto"/>
                      <w:sz w:val="21"/>
                      <w:szCs w:val="21"/>
                      <w:highlight w:val="none"/>
                      <w:u w:val="none" w:color="auto"/>
                      <w:vertAlign w:val="baseline"/>
                      <w:lang w:val="en-US" w:eastAsia="zh-CN"/>
                    </w:rPr>
                    <w:t>/a）</w:t>
                  </w:r>
                </w:p>
              </w:tc>
            </w:tr>
            <w:tr w14:paraId="165CB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5" w:type="pct"/>
                  <w:noWrap w:val="0"/>
                  <w:vAlign w:val="center"/>
                </w:tcPr>
                <w:p w14:paraId="0A75B59B">
                  <w:pPr>
                    <w:keepNext w:val="0"/>
                    <w:keepLines w:val="0"/>
                    <w:pageBreakBefore w:val="0"/>
                    <w:widowControl w:val="0"/>
                    <w:kinsoku/>
                    <w:wordWrap/>
                    <w:overflowPunct/>
                    <w:topLinePunct w:val="0"/>
                    <w:autoSpaceDE/>
                    <w:autoSpaceDN/>
                    <w:bidi w:val="0"/>
                    <w:adjustRightInd/>
                    <w:snapToGrid/>
                    <w:spacing w:line="304" w:lineRule="exact"/>
                    <w:ind w:firstLine="0" w:firstLineChars="0"/>
                    <w:jc w:val="center"/>
                    <w:textAlignment w:val="auto"/>
                    <w:rPr>
                      <w:rFonts w:hint="eastAsia"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2</w:t>
                  </w:r>
                </w:p>
              </w:tc>
              <w:tc>
                <w:tcPr>
                  <w:tcW w:w="1233" w:type="pct"/>
                  <w:noWrap w:val="0"/>
                  <w:vAlign w:val="center"/>
                </w:tcPr>
                <w:p w14:paraId="354208AD">
                  <w:pPr>
                    <w:keepNext w:val="0"/>
                    <w:keepLines w:val="0"/>
                    <w:pageBreakBefore w:val="0"/>
                    <w:widowControl w:val="0"/>
                    <w:kinsoku/>
                    <w:wordWrap/>
                    <w:overflowPunct/>
                    <w:topLinePunct w:val="0"/>
                    <w:autoSpaceDE/>
                    <w:autoSpaceDN/>
                    <w:bidi w:val="0"/>
                    <w:adjustRightInd/>
                    <w:snapToGrid/>
                    <w:spacing w:line="304" w:lineRule="exact"/>
                    <w:ind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高铁连接板</w:t>
                  </w:r>
                </w:p>
              </w:tc>
              <w:tc>
                <w:tcPr>
                  <w:tcW w:w="1000" w:type="pct"/>
                  <w:noWrap w:val="0"/>
                  <w:vAlign w:val="center"/>
                </w:tcPr>
                <w:p w14:paraId="3AA6D945">
                  <w:pPr>
                    <w:keepNext w:val="0"/>
                    <w:keepLines w:val="0"/>
                    <w:pageBreakBefore w:val="0"/>
                    <w:widowControl w:val="0"/>
                    <w:kinsoku/>
                    <w:wordWrap/>
                    <w:overflowPunct/>
                    <w:topLinePunct w:val="0"/>
                    <w:autoSpaceDE/>
                    <w:autoSpaceDN/>
                    <w:bidi w:val="0"/>
                    <w:adjustRightInd/>
                    <w:snapToGrid/>
                    <w:spacing w:line="304" w:lineRule="exact"/>
                    <w:ind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8000</w:t>
                  </w:r>
                </w:p>
              </w:tc>
              <w:tc>
                <w:tcPr>
                  <w:tcW w:w="556" w:type="pct"/>
                  <w:noWrap w:val="0"/>
                  <w:vAlign w:val="center"/>
                </w:tcPr>
                <w:p w14:paraId="17809DD9">
                  <w:pPr>
                    <w:keepNext w:val="0"/>
                    <w:keepLines w:val="0"/>
                    <w:pageBreakBefore w:val="0"/>
                    <w:widowControl w:val="0"/>
                    <w:kinsoku/>
                    <w:wordWrap/>
                    <w:overflowPunct/>
                    <w:topLinePunct w:val="0"/>
                    <w:autoSpaceDE/>
                    <w:autoSpaceDN/>
                    <w:bidi w:val="0"/>
                    <w:adjustRightInd/>
                    <w:snapToGrid/>
                    <w:spacing w:line="304" w:lineRule="exact"/>
                    <w:ind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件/a</w:t>
                  </w:r>
                </w:p>
              </w:tc>
              <w:tc>
                <w:tcPr>
                  <w:tcW w:w="1564" w:type="pct"/>
                  <w:noWrap w:val="0"/>
                  <w:vAlign w:val="center"/>
                </w:tcPr>
                <w:p w14:paraId="46169692">
                  <w:pPr>
                    <w:keepNext w:val="0"/>
                    <w:keepLines w:val="0"/>
                    <w:pageBreakBefore w:val="0"/>
                    <w:widowControl w:val="0"/>
                    <w:kinsoku/>
                    <w:wordWrap/>
                    <w:overflowPunct/>
                    <w:topLinePunct w:val="0"/>
                    <w:autoSpaceDE/>
                    <w:autoSpaceDN/>
                    <w:bidi w:val="0"/>
                    <w:adjustRightInd/>
                    <w:snapToGrid/>
                    <w:spacing w:line="304" w:lineRule="exact"/>
                    <w:ind w:firstLine="0" w:firstLineChars="0"/>
                    <w:jc w:val="center"/>
                    <w:textAlignment w:val="auto"/>
                    <w:rPr>
                      <w:rFonts w:hint="eastAsia"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2m</w:t>
                  </w:r>
                  <w:r>
                    <w:rPr>
                      <w:rFonts w:hint="eastAsia" w:ascii="Times New Roman" w:hAnsi="Times New Roman" w:eastAsia="宋体" w:cs="Times New Roman"/>
                      <w:color w:val="auto"/>
                      <w:sz w:val="21"/>
                      <w:szCs w:val="21"/>
                      <w:highlight w:val="none"/>
                      <w:u w:val="none" w:color="auto"/>
                      <w:vertAlign w:val="superscript"/>
                      <w:lang w:val="en-US" w:eastAsia="zh-CN"/>
                    </w:rPr>
                    <w:t>2</w:t>
                  </w:r>
                  <w:r>
                    <w:rPr>
                      <w:rFonts w:hint="eastAsia" w:ascii="Times New Roman" w:hAnsi="Times New Roman" w:eastAsia="宋体" w:cs="Times New Roman"/>
                      <w:color w:val="auto"/>
                      <w:sz w:val="21"/>
                      <w:szCs w:val="21"/>
                      <w:highlight w:val="none"/>
                      <w:u w:val="none" w:color="auto"/>
                      <w:vertAlign w:val="baseline"/>
                      <w:lang w:val="en-US" w:eastAsia="zh-CN"/>
                    </w:rPr>
                    <w:t>/件</w:t>
                  </w:r>
                  <w:r>
                    <w:rPr>
                      <w:rFonts w:hint="eastAsia" w:cs="Times New Roman"/>
                      <w:color w:val="auto"/>
                      <w:sz w:val="21"/>
                      <w:szCs w:val="21"/>
                      <w:highlight w:val="none"/>
                      <w:u w:val="none" w:color="auto"/>
                      <w:vertAlign w:val="baseline"/>
                      <w:lang w:val="en-US" w:eastAsia="zh-CN"/>
                    </w:rPr>
                    <w:t>（16000m</w:t>
                  </w:r>
                  <w:r>
                    <w:rPr>
                      <w:rFonts w:hint="eastAsia" w:cs="Times New Roman"/>
                      <w:color w:val="auto"/>
                      <w:sz w:val="21"/>
                      <w:szCs w:val="21"/>
                      <w:highlight w:val="none"/>
                      <w:u w:val="none" w:color="auto"/>
                      <w:vertAlign w:val="superscript"/>
                      <w:lang w:val="en-US" w:eastAsia="zh-CN"/>
                    </w:rPr>
                    <w:t>2</w:t>
                  </w:r>
                  <w:r>
                    <w:rPr>
                      <w:rFonts w:hint="eastAsia" w:cs="Times New Roman"/>
                      <w:color w:val="auto"/>
                      <w:sz w:val="21"/>
                      <w:szCs w:val="21"/>
                      <w:highlight w:val="none"/>
                      <w:u w:val="none" w:color="auto"/>
                      <w:vertAlign w:val="baseline"/>
                      <w:lang w:val="en-US" w:eastAsia="zh-CN"/>
                    </w:rPr>
                    <w:t>/a）</w:t>
                  </w:r>
                </w:p>
              </w:tc>
            </w:tr>
          </w:tbl>
          <w:p w14:paraId="584BDC4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2.5主要原辅材及能源消耗</w:t>
            </w:r>
          </w:p>
          <w:p w14:paraId="6472C2D6">
            <w:pPr>
              <w:keepNext w:val="0"/>
              <w:keepLines w:val="0"/>
              <w:pageBreakBefore w:val="0"/>
              <w:widowControl w:val="0"/>
              <w:kinsoku/>
              <w:wordWrap/>
              <w:overflowPunct/>
              <w:topLinePunct w:val="0"/>
              <w:autoSpaceDE/>
              <w:autoSpaceDN/>
              <w:bidi w:val="0"/>
              <w:adjustRightInd/>
              <w:snapToGrid/>
              <w:spacing w:line="480" w:lineRule="exact"/>
              <w:ind w:firstLine="470" w:firstLineChars="196"/>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按照本项目的生产规模，本项目所涉及的主要原辅材料及能源消耗情况见下表。</w:t>
            </w:r>
          </w:p>
          <w:p w14:paraId="3F9885F2">
            <w:pPr>
              <w:keepNext w:val="0"/>
              <w:keepLines w:val="0"/>
              <w:pageBreakBefore w:val="0"/>
              <w:widowControl w:val="0"/>
              <w:kinsoku/>
              <w:wordWrap/>
              <w:overflowPunct/>
              <w:topLinePunct w:val="0"/>
              <w:autoSpaceDE/>
              <w:autoSpaceDN/>
              <w:bidi w:val="0"/>
              <w:adjustRightInd w:val="0"/>
              <w:snapToGrid w:val="0"/>
              <w:spacing w:line="480" w:lineRule="exact"/>
              <w:ind w:firstLine="0" w:firstLineChars="0"/>
              <w:jc w:val="center"/>
              <w:textAlignment w:val="auto"/>
              <w:rPr>
                <w:rFonts w:hint="eastAsia" w:ascii="Times New Roman" w:hAnsi="Times New Roman" w:eastAsia="宋体" w:cs="Times New Roman"/>
                <w:b/>
                <w:bCs w:val="0"/>
                <w:color w:val="auto"/>
                <w:sz w:val="21"/>
                <w:szCs w:val="21"/>
                <w:highlight w:val="none"/>
                <w:u w:val="none" w:color="auto"/>
                <w:vertAlign w:val="baseline"/>
                <w:lang w:val="en-US" w:eastAsia="zh-CN"/>
              </w:rPr>
            </w:pPr>
            <w:r>
              <w:rPr>
                <w:rFonts w:hint="eastAsia" w:ascii="Times New Roman" w:hAnsi="Times New Roman" w:eastAsia="宋体" w:cs="Times New Roman"/>
                <w:b/>
                <w:bCs w:val="0"/>
                <w:color w:val="auto"/>
                <w:sz w:val="21"/>
                <w:szCs w:val="21"/>
                <w:highlight w:val="none"/>
                <w:u w:val="none" w:color="auto"/>
                <w:vertAlign w:val="baseline"/>
                <w:lang w:val="en-US" w:eastAsia="zh-CN"/>
              </w:rPr>
              <w:t>表2-</w:t>
            </w:r>
            <w:r>
              <w:rPr>
                <w:rFonts w:hint="eastAsia" w:cs="Times New Roman"/>
                <w:b/>
                <w:bCs w:val="0"/>
                <w:color w:val="auto"/>
                <w:sz w:val="21"/>
                <w:szCs w:val="21"/>
                <w:highlight w:val="none"/>
                <w:u w:val="none" w:color="auto"/>
                <w:vertAlign w:val="baseline"/>
                <w:lang w:val="en-US" w:eastAsia="zh-CN"/>
              </w:rPr>
              <w:t>3</w:t>
            </w:r>
            <w:r>
              <w:rPr>
                <w:rFonts w:hint="eastAsia" w:ascii="Times New Roman" w:hAnsi="Times New Roman" w:eastAsia="宋体" w:cs="Times New Roman"/>
                <w:b/>
                <w:bCs w:val="0"/>
                <w:color w:val="auto"/>
                <w:sz w:val="21"/>
                <w:szCs w:val="21"/>
                <w:highlight w:val="none"/>
                <w:u w:val="none" w:color="auto"/>
                <w:vertAlign w:val="baseline"/>
                <w:lang w:val="en-US" w:eastAsia="zh-CN"/>
              </w:rPr>
              <w:t xml:space="preserve">   主要原辅料及能源消耗一览表</w:t>
            </w:r>
          </w:p>
          <w:tbl>
            <w:tblPr>
              <w:tblStyle w:val="31"/>
              <w:tblW w:w="49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167"/>
              <w:gridCol w:w="1245"/>
              <w:gridCol w:w="1338"/>
              <w:gridCol w:w="1522"/>
              <w:gridCol w:w="1971"/>
            </w:tblGrid>
            <w:tr w14:paraId="2211F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25" w:type="pct"/>
                  <w:noWrap w:val="0"/>
                  <w:vAlign w:val="center"/>
                </w:tcPr>
                <w:p w14:paraId="7A9ADAB9">
                  <w:pPr>
                    <w:jc w:val="center"/>
                    <w:rPr>
                      <w:rFonts w:hint="default" w:ascii="Times New Roman" w:hAnsi="Times New Roman" w:eastAsia="宋体" w:cs="Times New Roman"/>
                      <w:bCs/>
                      <w:color w:val="auto"/>
                      <w:szCs w:val="21"/>
                      <w:highlight w:val="none"/>
                      <w:u w:val="none" w:color="auto"/>
                      <w:lang w:val="zh-CN" w:eastAsia="zh-CN"/>
                    </w:rPr>
                  </w:pPr>
                  <w:r>
                    <w:rPr>
                      <w:rFonts w:hint="default" w:ascii="Times New Roman" w:hAnsi="Times New Roman" w:eastAsia="宋体" w:cs="Times New Roman"/>
                      <w:bCs/>
                      <w:color w:val="auto"/>
                      <w:szCs w:val="21"/>
                      <w:highlight w:val="none"/>
                      <w:u w:val="none" w:color="auto"/>
                      <w:lang w:val="zh-CN" w:eastAsia="zh-CN"/>
                    </w:rPr>
                    <w:t>序号</w:t>
                  </w:r>
                </w:p>
              </w:tc>
              <w:tc>
                <w:tcPr>
                  <w:tcW w:w="737" w:type="pct"/>
                  <w:noWrap w:val="0"/>
                  <w:vAlign w:val="center"/>
                </w:tcPr>
                <w:p w14:paraId="5231BA02">
                  <w:pPr>
                    <w:jc w:val="center"/>
                    <w:rPr>
                      <w:rFonts w:hint="eastAsia"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名称</w:t>
                  </w:r>
                </w:p>
              </w:tc>
              <w:tc>
                <w:tcPr>
                  <w:tcW w:w="786" w:type="pct"/>
                  <w:noWrap w:val="0"/>
                  <w:vAlign w:val="center"/>
                </w:tcPr>
                <w:p w14:paraId="2BC1B50D">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年消耗量</w:t>
                  </w:r>
                </w:p>
              </w:tc>
              <w:tc>
                <w:tcPr>
                  <w:tcW w:w="845" w:type="pct"/>
                  <w:noWrap w:val="0"/>
                  <w:vAlign w:val="center"/>
                </w:tcPr>
                <w:p w14:paraId="7391EC54">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最大存储量</w:t>
                  </w:r>
                </w:p>
              </w:tc>
              <w:tc>
                <w:tcPr>
                  <w:tcW w:w="961" w:type="pct"/>
                  <w:noWrap w:val="0"/>
                  <w:vAlign w:val="center"/>
                </w:tcPr>
                <w:p w14:paraId="77D3C2F9">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存储位置</w:t>
                  </w:r>
                </w:p>
              </w:tc>
              <w:tc>
                <w:tcPr>
                  <w:tcW w:w="1244" w:type="pct"/>
                  <w:shd w:val="clear" w:color="auto" w:fill="auto"/>
                  <w:noWrap w:val="0"/>
                  <w:vAlign w:val="center"/>
                </w:tcPr>
                <w:p w14:paraId="63779E55">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备注</w:t>
                  </w:r>
                </w:p>
              </w:tc>
            </w:tr>
            <w:tr w14:paraId="07946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425" w:type="pct"/>
                  <w:shd w:val="clear" w:color="auto" w:fill="auto"/>
                  <w:noWrap w:val="0"/>
                  <w:vAlign w:val="center"/>
                </w:tcPr>
                <w:p w14:paraId="490D14AF">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1</w:t>
                  </w:r>
                </w:p>
              </w:tc>
              <w:tc>
                <w:tcPr>
                  <w:tcW w:w="737" w:type="pct"/>
                  <w:noWrap w:val="0"/>
                  <w:vAlign w:val="center"/>
                </w:tcPr>
                <w:p w14:paraId="5AE067E7">
                  <w:pPr>
                    <w:jc w:val="center"/>
                    <w:rPr>
                      <w:rFonts w:hint="default" w:ascii="Times New Roman" w:hAnsi="Times New Roman" w:eastAsia="宋体" w:cs="Times New Roman"/>
                      <w:bCs/>
                      <w:color w:val="auto"/>
                      <w:szCs w:val="21"/>
                      <w:highlight w:val="none"/>
                      <w:u w:val="none" w:color="auto"/>
                      <w:lang w:val="en-US" w:eastAsia="zh-CN"/>
                    </w:rPr>
                  </w:pPr>
                  <w:r>
                    <w:rPr>
                      <w:rFonts w:hint="eastAsia" w:eastAsia="宋体" w:cs="Times New Roman"/>
                      <w:bCs/>
                      <w:color w:val="auto"/>
                      <w:szCs w:val="21"/>
                      <w:highlight w:val="none"/>
                      <w:u w:val="none" w:color="auto"/>
                      <w:lang w:val="en-US" w:eastAsia="zh-CN"/>
                    </w:rPr>
                    <w:t>高铁连接板</w:t>
                  </w:r>
                </w:p>
              </w:tc>
              <w:tc>
                <w:tcPr>
                  <w:tcW w:w="786" w:type="pct"/>
                  <w:noWrap w:val="0"/>
                  <w:vAlign w:val="center"/>
                </w:tcPr>
                <w:p w14:paraId="3A90860F">
                  <w:pPr>
                    <w:jc w:val="center"/>
                    <w:rPr>
                      <w:rFonts w:hint="default" w:ascii="Times New Roman" w:hAnsi="Times New Roman" w:eastAsia="宋体" w:cs="Times New Roman"/>
                      <w:bCs/>
                      <w:color w:val="auto"/>
                      <w:szCs w:val="21"/>
                      <w:highlight w:val="none"/>
                      <w:u w:val="none" w:color="auto"/>
                      <w:lang w:val="en-US" w:eastAsia="zh-CN"/>
                    </w:rPr>
                  </w:pPr>
                  <w:r>
                    <w:rPr>
                      <w:rFonts w:hint="eastAsia" w:eastAsia="宋体" w:cs="Times New Roman"/>
                      <w:bCs/>
                      <w:color w:val="auto"/>
                      <w:szCs w:val="21"/>
                      <w:highlight w:val="none"/>
                      <w:u w:val="none" w:color="auto"/>
                      <w:lang w:val="en-US" w:eastAsia="zh-CN"/>
                    </w:rPr>
                    <w:t>8000件</w:t>
                  </w:r>
                </w:p>
              </w:tc>
              <w:tc>
                <w:tcPr>
                  <w:tcW w:w="845" w:type="pct"/>
                  <w:noWrap w:val="0"/>
                  <w:vAlign w:val="center"/>
                </w:tcPr>
                <w:p w14:paraId="723BCDC2">
                  <w:pPr>
                    <w:jc w:val="center"/>
                    <w:rPr>
                      <w:rFonts w:hint="default"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250件</w:t>
                  </w:r>
                </w:p>
              </w:tc>
              <w:tc>
                <w:tcPr>
                  <w:tcW w:w="961" w:type="pct"/>
                  <w:noWrap w:val="0"/>
                  <w:vAlign w:val="center"/>
                </w:tcPr>
                <w:p w14:paraId="011785EA">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半成品存放区</w:t>
                  </w:r>
                </w:p>
              </w:tc>
              <w:tc>
                <w:tcPr>
                  <w:tcW w:w="1244" w:type="pct"/>
                  <w:shd w:val="clear" w:color="auto" w:fill="auto"/>
                  <w:noWrap w:val="0"/>
                  <w:vAlign w:val="center"/>
                </w:tcPr>
                <w:p w14:paraId="5E37A2DE">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default" w:ascii="Times New Roman" w:hAnsi="Times New Roman" w:eastAsia="宋体" w:cs="Times New Roman"/>
                      <w:bCs/>
                      <w:color w:val="auto"/>
                      <w:szCs w:val="21"/>
                      <w:highlight w:val="none"/>
                      <w:u w:val="none" w:color="auto"/>
                      <w:lang w:val="en-US" w:eastAsia="zh-CN"/>
                    </w:rPr>
                    <w:t>15kg/件</w:t>
                  </w:r>
                </w:p>
              </w:tc>
            </w:tr>
            <w:tr w14:paraId="0C050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425" w:type="pct"/>
                  <w:shd w:val="clear" w:color="auto" w:fill="auto"/>
                  <w:noWrap w:val="0"/>
                  <w:vAlign w:val="center"/>
                </w:tcPr>
                <w:p w14:paraId="24C26B09">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2</w:t>
                  </w:r>
                </w:p>
              </w:tc>
              <w:tc>
                <w:tcPr>
                  <w:tcW w:w="737" w:type="pct"/>
                  <w:shd w:val="clear" w:color="auto" w:fill="auto"/>
                  <w:noWrap w:val="0"/>
                  <w:vAlign w:val="center"/>
                </w:tcPr>
                <w:p w14:paraId="48923A3E">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default" w:ascii="Times New Roman" w:hAnsi="Times New Roman" w:eastAsia="宋体" w:cs="Times New Roman"/>
                      <w:bCs/>
                      <w:color w:val="auto"/>
                      <w:szCs w:val="21"/>
                      <w:highlight w:val="none"/>
                      <w:u w:val="none" w:color="auto"/>
                      <w:lang w:val="en-US" w:eastAsia="zh-CN"/>
                    </w:rPr>
                    <w:t>丙烯酸酯类树脂涂料</w:t>
                  </w:r>
                </w:p>
              </w:tc>
              <w:tc>
                <w:tcPr>
                  <w:tcW w:w="786" w:type="pct"/>
                  <w:shd w:val="clear" w:color="auto" w:fill="auto"/>
                  <w:noWrap w:val="0"/>
                  <w:vAlign w:val="center"/>
                </w:tcPr>
                <w:p w14:paraId="0F76B979">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2.820</w:t>
                  </w:r>
                  <w:r>
                    <w:rPr>
                      <w:rFonts w:hint="eastAsia" w:cs="Times New Roman"/>
                      <w:bCs/>
                      <w:color w:val="auto"/>
                      <w:szCs w:val="21"/>
                      <w:highlight w:val="none"/>
                      <w:u w:val="none" w:color="auto"/>
                      <w:lang w:val="en-US" w:eastAsia="zh-CN"/>
                    </w:rPr>
                    <w:t>t</w:t>
                  </w:r>
                </w:p>
              </w:tc>
              <w:tc>
                <w:tcPr>
                  <w:tcW w:w="845" w:type="pct"/>
                  <w:shd w:val="clear" w:color="auto" w:fill="auto"/>
                  <w:noWrap w:val="0"/>
                  <w:vAlign w:val="center"/>
                </w:tcPr>
                <w:p w14:paraId="32E46319">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0.1t</w:t>
                  </w:r>
                </w:p>
              </w:tc>
              <w:tc>
                <w:tcPr>
                  <w:tcW w:w="961" w:type="pct"/>
                  <w:shd w:val="clear" w:color="auto" w:fill="auto"/>
                  <w:noWrap w:val="0"/>
                  <w:vAlign w:val="center"/>
                </w:tcPr>
                <w:p w14:paraId="5D3C2749">
                  <w:pPr>
                    <w:jc w:val="center"/>
                    <w:rPr>
                      <w:rFonts w:hint="default"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油漆房</w:t>
                  </w:r>
                </w:p>
              </w:tc>
              <w:tc>
                <w:tcPr>
                  <w:tcW w:w="1244" w:type="pct"/>
                  <w:shd w:val="clear" w:color="auto" w:fill="auto"/>
                  <w:noWrap w:val="0"/>
                  <w:vAlign w:val="center"/>
                </w:tcPr>
                <w:p w14:paraId="14B20158">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高铁连接板涂装面漆</w:t>
                  </w:r>
                </w:p>
              </w:tc>
            </w:tr>
            <w:tr w14:paraId="2AAE8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425" w:type="pct"/>
                  <w:shd w:val="clear" w:color="auto" w:fill="auto"/>
                  <w:noWrap w:val="0"/>
                  <w:vAlign w:val="center"/>
                </w:tcPr>
                <w:p w14:paraId="320732C3">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3</w:t>
                  </w:r>
                </w:p>
              </w:tc>
              <w:tc>
                <w:tcPr>
                  <w:tcW w:w="737" w:type="pct"/>
                  <w:noWrap w:val="0"/>
                  <w:vAlign w:val="center"/>
                </w:tcPr>
                <w:p w14:paraId="1D6E3595">
                  <w:pPr>
                    <w:jc w:val="center"/>
                    <w:rPr>
                      <w:rFonts w:hint="default" w:ascii="Times New Roman" w:hAnsi="Times New Roman" w:eastAsia="宋体" w:cs="Times New Roman"/>
                      <w:bCs/>
                      <w:color w:val="auto"/>
                      <w:szCs w:val="21"/>
                      <w:highlight w:val="none"/>
                      <w:u w:val="none" w:color="auto"/>
                      <w:lang w:val="en-US" w:eastAsia="zh-CN"/>
                    </w:rPr>
                  </w:pPr>
                  <w:r>
                    <w:rPr>
                      <w:rFonts w:hint="default" w:ascii="Times New Roman" w:hAnsi="Times New Roman" w:eastAsia="宋体" w:cs="Times New Roman"/>
                      <w:bCs/>
                      <w:color w:val="auto"/>
                      <w:szCs w:val="21"/>
                      <w:highlight w:val="none"/>
                      <w:u w:val="none" w:color="auto"/>
                      <w:lang w:val="en-US" w:eastAsia="zh-CN"/>
                    </w:rPr>
                    <w:t>醇酸树脂涂料</w:t>
                  </w:r>
                </w:p>
              </w:tc>
              <w:tc>
                <w:tcPr>
                  <w:tcW w:w="786" w:type="pct"/>
                  <w:noWrap w:val="0"/>
                  <w:vAlign w:val="center"/>
                </w:tcPr>
                <w:p w14:paraId="1CC50E33">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1.851</w:t>
                  </w:r>
                  <w:r>
                    <w:rPr>
                      <w:rFonts w:hint="eastAsia" w:cs="Times New Roman"/>
                      <w:bCs/>
                      <w:color w:val="auto"/>
                      <w:szCs w:val="21"/>
                      <w:highlight w:val="none"/>
                      <w:u w:val="none" w:color="auto"/>
                      <w:lang w:val="en-US" w:eastAsia="zh-CN"/>
                    </w:rPr>
                    <w:t>t</w:t>
                  </w:r>
                </w:p>
              </w:tc>
              <w:tc>
                <w:tcPr>
                  <w:tcW w:w="845" w:type="pct"/>
                  <w:noWrap w:val="0"/>
                  <w:vAlign w:val="center"/>
                </w:tcPr>
                <w:p w14:paraId="05B2D101">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0.1t</w:t>
                  </w:r>
                </w:p>
              </w:tc>
              <w:tc>
                <w:tcPr>
                  <w:tcW w:w="961" w:type="pct"/>
                  <w:noWrap w:val="0"/>
                  <w:vAlign w:val="center"/>
                </w:tcPr>
                <w:p w14:paraId="1BA212D4">
                  <w:pPr>
                    <w:jc w:val="center"/>
                    <w:rPr>
                      <w:rFonts w:hint="default"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油漆房</w:t>
                  </w:r>
                </w:p>
              </w:tc>
              <w:tc>
                <w:tcPr>
                  <w:tcW w:w="1244" w:type="pct"/>
                  <w:shd w:val="clear" w:color="auto" w:fill="auto"/>
                  <w:noWrap w:val="0"/>
                  <w:vAlign w:val="center"/>
                </w:tcPr>
                <w:p w14:paraId="2DDDD00B">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高铁连接板涂装底漆</w:t>
                  </w:r>
                </w:p>
              </w:tc>
            </w:tr>
            <w:tr w14:paraId="2CAA7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25" w:type="pct"/>
                  <w:shd w:val="clear" w:color="auto" w:fill="auto"/>
                  <w:noWrap w:val="0"/>
                  <w:vAlign w:val="center"/>
                </w:tcPr>
                <w:p w14:paraId="48048684">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4</w:t>
                  </w:r>
                </w:p>
              </w:tc>
              <w:tc>
                <w:tcPr>
                  <w:tcW w:w="737" w:type="pct"/>
                  <w:shd w:val="clear" w:color="auto" w:fill="auto"/>
                  <w:noWrap w:val="0"/>
                  <w:vAlign w:val="center"/>
                </w:tcPr>
                <w:p w14:paraId="0E08BDB3">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稀释剂</w:t>
                  </w:r>
                </w:p>
              </w:tc>
              <w:tc>
                <w:tcPr>
                  <w:tcW w:w="786" w:type="pct"/>
                  <w:shd w:val="clear" w:color="auto" w:fill="auto"/>
                  <w:noWrap w:val="0"/>
                  <w:vAlign w:val="center"/>
                </w:tcPr>
                <w:p w14:paraId="63FAB425">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0.9342t</w:t>
                  </w:r>
                </w:p>
              </w:tc>
              <w:tc>
                <w:tcPr>
                  <w:tcW w:w="845" w:type="pct"/>
                  <w:shd w:val="clear" w:color="auto" w:fill="auto"/>
                  <w:noWrap w:val="0"/>
                  <w:vAlign w:val="center"/>
                </w:tcPr>
                <w:p w14:paraId="37405078">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0.1t</w:t>
                  </w:r>
                </w:p>
              </w:tc>
              <w:tc>
                <w:tcPr>
                  <w:tcW w:w="961" w:type="pct"/>
                  <w:shd w:val="clear" w:color="auto" w:fill="auto"/>
                  <w:noWrap w:val="0"/>
                  <w:vAlign w:val="center"/>
                </w:tcPr>
                <w:p w14:paraId="6638808A">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油漆房</w:t>
                  </w:r>
                </w:p>
              </w:tc>
              <w:tc>
                <w:tcPr>
                  <w:tcW w:w="1244" w:type="pct"/>
                  <w:shd w:val="clear" w:color="auto" w:fill="auto"/>
                  <w:noWrap w:val="0"/>
                  <w:vAlign w:val="center"/>
                </w:tcPr>
                <w:p w14:paraId="54546FFE">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高铁连接板涂装</w:t>
                  </w:r>
                </w:p>
              </w:tc>
            </w:tr>
            <w:tr w14:paraId="50140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25" w:type="pct"/>
                  <w:shd w:val="clear" w:color="auto" w:fill="auto"/>
                  <w:noWrap w:val="0"/>
                  <w:vAlign w:val="center"/>
                </w:tcPr>
                <w:p w14:paraId="7AFF471A">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5</w:t>
                  </w:r>
                </w:p>
              </w:tc>
              <w:tc>
                <w:tcPr>
                  <w:tcW w:w="737" w:type="pct"/>
                  <w:shd w:val="clear" w:color="auto" w:fill="auto"/>
                  <w:noWrap w:val="0"/>
                  <w:vAlign w:val="center"/>
                </w:tcPr>
                <w:p w14:paraId="1E955815">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固化剂</w:t>
                  </w:r>
                </w:p>
              </w:tc>
              <w:tc>
                <w:tcPr>
                  <w:tcW w:w="786" w:type="pct"/>
                  <w:shd w:val="clear" w:color="auto" w:fill="auto"/>
                  <w:noWrap w:val="0"/>
                  <w:vAlign w:val="center"/>
                </w:tcPr>
                <w:p w14:paraId="758F1104">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0.2</w:t>
                  </w:r>
                  <w:r>
                    <w:rPr>
                      <w:rFonts w:hint="eastAsia" w:cs="Times New Roman"/>
                      <w:bCs/>
                      <w:color w:val="auto"/>
                      <w:szCs w:val="21"/>
                      <w:highlight w:val="none"/>
                      <w:u w:val="none" w:color="auto"/>
                      <w:lang w:val="en-US" w:eastAsia="zh-CN"/>
                    </w:rPr>
                    <w:t>333t</w:t>
                  </w:r>
                </w:p>
              </w:tc>
              <w:tc>
                <w:tcPr>
                  <w:tcW w:w="845" w:type="pct"/>
                  <w:shd w:val="clear" w:color="auto" w:fill="auto"/>
                  <w:noWrap w:val="0"/>
                  <w:vAlign w:val="center"/>
                </w:tcPr>
                <w:p w14:paraId="437E83FA">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0.05t</w:t>
                  </w:r>
                </w:p>
              </w:tc>
              <w:tc>
                <w:tcPr>
                  <w:tcW w:w="961" w:type="pct"/>
                  <w:shd w:val="clear" w:color="auto" w:fill="auto"/>
                  <w:noWrap w:val="0"/>
                  <w:vAlign w:val="center"/>
                </w:tcPr>
                <w:p w14:paraId="20C5C8F9">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油漆房</w:t>
                  </w:r>
                </w:p>
              </w:tc>
              <w:tc>
                <w:tcPr>
                  <w:tcW w:w="1244" w:type="pct"/>
                  <w:shd w:val="clear" w:color="auto" w:fill="auto"/>
                  <w:noWrap w:val="0"/>
                  <w:vAlign w:val="center"/>
                </w:tcPr>
                <w:p w14:paraId="738257E2">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高铁连接板涂装</w:t>
                  </w:r>
                </w:p>
              </w:tc>
            </w:tr>
            <w:tr w14:paraId="61203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425" w:type="pct"/>
                  <w:shd w:val="clear" w:color="auto" w:fill="auto"/>
                  <w:noWrap w:val="0"/>
                  <w:vAlign w:val="center"/>
                </w:tcPr>
                <w:p w14:paraId="57C6BDBC">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6</w:t>
                  </w:r>
                </w:p>
              </w:tc>
              <w:tc>
                <w:tcPr>
                  <w:tcW w:w="737" w:type="pct"/>
                  <w:noWrap w:val="0"/>
                  <w:vAlign w:val="center"/>
                </w:tcPr>
                <w:p w14:paraId="61D326C5">
                  <w:pPr>
                    <w:jc w:val="center"/>
                    <w:rPr>
                      <w:rFonts w:hint="default" w:ascii="Times New Roman" w:hAnsi="Times New Roman" w:eastAsia="宋体" w:cs="Times New Roman"/>
                      <w:bCs/>
                      <w:color w:val="auto"/>
                      <w:szCs w:val="21"/>
                      <w:highlight w:val="none"/>
                      <w:u w:val="none" w:color="auto"/>
                      <w:lang w:val="en-US" w:eastAsia="zh-CN"/>
                    </w:rPr>
                  </w:pPr>
                  <w:r>
                    <w:rPr>
                      <w:rFonts w:hint="default" w:ascii="Times New Roman" w:hAnsi="Times New Roman" w:eastAsia="宋体" w:cs="Times New Roman"/>
                      <w:bCs/>
                      <w:color w:val="auto"/>
                      <w:szCs w:val="21"/>
                      <w:highlight w:val="none"/>
                      <w:u w:val="none" w:color="auto"/>
                      <w:lang w:val="en-US" w:eastAsia="zh-CN"/>
                    </w:rPr>
                    <w:t>环氧富锌底漆</w:t>
                  </w:r>
                </w:p>
              </w:tc>
              <w:tc>
                <w:tcPr>
                  <w:tcW w:w="786" w:type="pct"/>
                  <w:noWrap w:val="0"/>
                  <w:vAlign w:val="center"/>
                </w:tcPr>
                <w:p w14:paraId="0EF4B2A4">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0.574</w:t>
                  </w:r>
                  <w:r>
                    <w:rPr>
                      <w:rFonts w:hint="eastAsia" w:cs="Times New Roman"/>
                      <w:bCs/>
                      <w:color w:val="auto"/>
                      <w:szCs w:val="21"/>
                      <w:highlight w:val="none"/>
                      <w:u w:val="none" w:color="auto"/>
                      <w:lang w:val="en-US" w:eastAsia="zh-CN"/>
                    </w:rPr>
                    <w:t>t</w:t>
                  </w:r>
                </w:p>
              </w:tc>
              <w:tc>
                <w:tcPr>
                  <w:tcW w:w="845" w:type="pct"/>
                  <w:noWrap w:val="0"/>
                  <w:vAlign w:val="center"/>
                </w:tcPr>
                <w:p w14:paraId="02A16957">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0.05t</w:t>
                  </w:r>
                </w:p>
              </w:tc>
              <w:tc>
                <w:tcPr>
                  <w:tcW w:w="961" w:type="pct"/>
                  <w:noWrap w:val="0"/>
                  <w:vAlign w:val="center"/>
                </w:tcPr>
                <w:p w14:paraId="59032134">
                  <w:pPr>
                    <w:jc w:val="center"/>
                    <w:rPr>
                      <w:rFonts w:hint="default"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油漆房</w:t>
                  </w:r>
                </w:p>
              </w:tc>
              <w:tc>
                <w:tcPr>
                  <w:tcW w:w="1244" w:type="pct"/>
                  <w:shd w:val="clear" w:color="auto" w:fill="auto"/>
                  <w:noWrap w:val="0"/>
                  <w:vAlign w:val="center"/>
                </w:tcPr>
                <w:p w14:paraId="5E981051">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风扇、风罩涂装底漆</w:t>
                  </w:r>
                </w:p>
              </w:tc>
            </w:tr>
            <w:tr w14:paraId="79A5E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425" w:type="pct"/>
                  <w:shd w:val="clear" w:color="auto" w:fill="auto"/>
                  <w:noWrap w:val="0"/>
                  <w:vAlign w:val="center"/>
                </w:tcPr>
                <w:p w14:paraId="1250870C">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7</w:t>
                  </w:r>
                </w:p>
              </w:tc>
              <w:tc>
                <w:tcPr>
                  <w:tcW w:w="737" w:type="pct"/>
                  <w:noWrap w:val="0"/>
                  <w:vAlign w:val="center"/>
                </w:tcPr>
                <w:p w14:paraId="105262B2">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稀释剂</w:t>
                  </w:r>
                </w:p>
              </w:tc>
              <w:tc>
                <w:tcPr>
                  <w:tcW w:w="786" w:type="pct"/>
                  <w:noWrap w:val="0"/>
                  <w:vAlign w:val="center"/>
                </w:tcPr>
                <w:p w14:paraId="5D3C3834">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0.1148t</w:t>
                  </w:r>
                </w:p>
              </w:tc>
              <w:tc>
                <w:tcPr>
                  <w:tcW w:w="845" w:type="pct"/>
                  <w:noWrap w:val="0"/>
                  <w:vAlign w:val="center"/>
                </w:tcPr>
                <w:p w14:paraId="1252D2D5">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0.1t</w:t>
                  </w:r>
                </w:p>
              </w:tc>
              <w:tc>
                <w:tcPr>
                  <w:tcW w:w="961" w:type="pct"/>
                  <w:noWrap w:val="0"/>
                  <w:vAlign w:val="center"/>
                </w:tcPr>
                <w:p w14:paraId="441DEDF4">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油漆房</w:t>
                  </w:r>
                </w:p>
              </w:tc>
              <w:tc>
                <w:tcPr>
                  <w:tcW w:w="1244" w:type="pct"/>
                  <w:shd w:val="clear" w:color="auto" w:fill="auto"/>
                  <w:noWrap w:val="0"/>
                  <w:vAlign w:val="center"/>
                </w:tcPr>
                <w:p w14:paraId="68607456">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风扇、风罩涂装</w:t>
                  </w:r>
                </w:p>
              </w:tc>
            </w:tr>
            <w:tr w14:paraId="419E1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425" w:type="pct"/>
                  <w:shd w:val="clear" w:color="auto" w:fill="auto"/>
                  <w:noWrap w:val="0"/>
                  <w:vAlign w:val="center"/>
                </w:tcPr>
                <w:p w14:paraId="26CC3844">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8</w:t>
                  </w:r>
                </w:p>
              </w:tc>
              <w:tc>
                <w:tcPr>
                  <w:tcW w:w="737" w:type="pct"/>
                  <w:noWrap w:val="0"/>
                  <w:vAlign w:val="center"/>
                </w:tcPr>
                <w:p w14:paraId="1AE0CC62">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固化剂</w:t>
                  </w:r>
                </w:p>
              </w:tc>
              <w:tc>
                <w:tcPr>
                  <w:tcW w:w="786" w:type="pct"/>
                  <w:noWrap w:val="0"/>
                  <w:vAlign w:val="center"/>
                </w:tcPr>
                <w:p w14:paraId="1B67AE2B">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0.0287t</w:t>
                  </w:r>
                </w:p>
              </w:tc>
              <w:tc>
                <w:tcPr>
                  <w:tcW w:w="845" w:type="pct"/>
                  <w:noWrap w:val="0"/>
                  <w:vAlign w:val="center"/>
                </w:tcPr>
                <w:p w14:paraId="2042F8C1">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0.05t</w:t>
                  </w:r>
                </w:p>
              </w:tc>
              <w:tc>
                <w:tcPr>
                  <w:tcW w:w="961" w:type="pct"/>
                  <w:noWrap w:val="0"/>
                  <w:vAlign w:val="center"/>
                </w:tcPr>
                <w:p w14:paraId="448F125A">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油漆房</w:t>
                  </w:r>
                </w:p>
              </w:tc>
              <w:tc>
                <w:tcPr>
                  <w:tcW w:w="1244" w:type="pct"/>
                  <w:shd w:val="clear" w:color="auto" w:fill="auto"/>
                  <w:noWrap w:val="0"/>
                  <w:vAlign w:val="center"/>
                </w:tcPr>
                <w:p w14:paraId="64AF206B">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风扇、风罩涂装</w:t>
                  </w:r>
                </w:p>
              </w:tc>
            </w:tr>
            <w:tr w14:paraId="6B513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425" w:type="pct"/>
                  <w:shd w:val="clear" w:color="auto" w:fill="auto"/>
                  <w:noWrap w:val="0"/>
                  <w:vAlign w:val="center"/>
                </w:tcPr>
                <w:p w14:paraId="694A9CDE">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9</w:t>
                  </w:r>
                </w:p>
              </w:tc>
              <w:tc>
                <w:tcPr>
                  <w:tcW w:w="737" w:type="pct"/>
                  <w:noWrap w:val="0"/>
                  <w:vAlign w:val="center"/>
                </w:tcPr>
                <w:p w14:paraId="1640BD0C">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清洗剂</w:t>
                  </w:r>
                </w:p>
              </w:tc>
              <w:tc>
                <w:tcPr>
                  <w:tcW w:w="786" w:type="pct"/>
                  <w:noWrap w:val="0"/>
                  <w:vAlign w:val="center"/>
                </w:tcPr>
                <w:p w14:paraId="53F26259">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0.5t</w:t>
                  </w:r>
                </w:p>
              </w:tc>
              <w:tc>
                <w:tcPr>
                  <w:tcW w:w="845" w:type="pct"/>
                  <w:noWrap w:val="0"/>
                  <w:vAlign w:val="center"/>
                </w:tcPr>
                <w:p w14:paraId="184C5211">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0.05t</w:t>
                  </w:r>
                </w:p>
              </w:tc>
              <w:tc>
                <w:tcPr>
                  <w:tcW w:w="961" w:type="pct"/>
                  <w:noWrap w:val="0"/>
                  <w:vAlign w:val="center"/>
                </w:tcPr>
                <w:p w14:paraId="0438BDFC">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油漆房</w:t>
                  </w:r>
                </w:p>
              </w:tc>
              <w:tc>
                <w:tcPr>
                  <w:tcW w:w="1244" w:type="pct"/>
                  <w:shd w:val="clear" w:color="auto" w:fill="auto"/>
                  <w:noWrap w:val="0"/>
                  <w:vAlign w:val="center"/>
                </w:tcPr>
                <w:p w14:paraId="35A96421">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乙醇</w:t>
                  </w:r>
                  <w:r>
                    <w:rPr>
                      <w:rFonts w:hint="eastAsia" w:cs="Times New Roman"/>
                      <w:bCs/>
                      <w:color w:val="auto"/>
                      <w:szCs w:val="21"/>
                      <w:highlight w:val="none"/>
                      <w:u w:val="none" w:color="auto"/>
                      <w:lang w:val="en-US" w:eastAsia="zh-CN"/>
                    </w:rPr>
                    <w:t>，用于擦洗高铁连接板</w:t>
                  </w:r>
                </w:p>
              </w:tc>
            </w:tr>
            <w:tr w14:paraId="32D64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425" w:type="pct"/>
                  <w:shd w:val="clear" w:color="auto" w:fill="auto"/>
                  <w:noWrap w:val="0"/>
                  <w:vAlign w:val="center"/>
                </w:tcPr>
                <w:p w14:paraId="6DF399FA">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10</w:t>
                  </w:r>
                </w:p>
              </w:tc>
              <w:tc>
                <w:tcPr>
                  <w:tcW w:w="737" w:type="pct"/>
                  <w:noWrap w:val="0"/>
                  <w:vAlign w:val="center"/>
                </w:tcPr>
                <w:p w14:paraId="7FE2D85D">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液化石油气</w:t>
                  </w:r>
                </w:p>
              </w:tc>
              <w:tc>
                <w:tcPr>
                  <w:tcW w:w="786" w:type="pct"/>
                  <w:noWrap w:val="0"/>
                  <w:vAlign w:val="center"/>
                </w:tcPr>
                <w:p w14:paraId="2B37CACB">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1.25t</w:t>
                  </w:r>
                </w:p>
              </w:tc>
              <w:tc>
                <w:tcPr>
                  <w:tcW w:w="845" w:type="pct"/>
                  <w:noWrap w:val="0"/>
                  <w:vAlign w:val="center"/>
                </w:tcPr>
                <w:p w14:paraId="425727DB">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0.1t</w:t>
                  </w:r>
                </w:p>
              </w:tc>
              <w:tc>
                <w:tcPr>
                  <w:tcW w:w="961" w:type="pct"/>
                  <w:noWrap w:val="0"/>
                  <w:vAlign w:val="center"/>
                </w:tcPr>
                <w:p w14:paraId="2CADF6EC">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加气站</w:t>
                  </w:r>
                </w:p>
              </w:tc>
              <w:tc>
                <w:tcPr>
                  <w:tcW w:w="1244" w:type="pct"/>
                  <w:shd w:val="clear" w:color="auto" w:fill="auto"/>
                  <w:noWrap w:val="0"/>
                  <w:vAlign w:val="center"/>
                </w:tcPr>
                <w:p w14:paraId="5BC3D7BD">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用于火焰软化、烘烤、催化燃烧</w:t>
                  </w:r>
                </w:p>
              </w:tc>
            </w:tr>
            <w:tr w14:paraId="16C80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425" w:type="pct"/>
                  <w:shd w:val="clear" w:color="auto" w:fill="auto"/>
                  <w:noWrap w:val="0"/>
                  <w:vAlign w:val="center"/>
                </w:tcPr>
                <w:p w14:paraId="1E393A40">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11</w:t>
                  </w:r>
                </w:p>
              </w:tc>
              <w:tc>
                <w:tcPr>
                  <w:tcW w:w="737" w:type="pct"/>
                  <w:noWrap w:val="0"/>
                  <w:vAlign w:val="center"/>
                </w:tcPr>
                <w:p w14:paraId="3314DF08">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钢材</w:t>
                  </w:r>
                </w:p>
              </w:tc>
              <w:tc>
                <w:tcPr>
                  <w:tcW w:w="786" w:type="pct"/>
                  <w:noWrap w:val="0"/>
                  <w:vAlign w:val="center"/>
                </w:tcPr>
                <w:p w14:paraId="3A62B87C">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50t</w:t>
                  </w:r>
                </w:p>
              </w:tc>
              <w:tc>
                <w:tcPr>
                  <w:tcW w:w="845" w:type="pct"/>
                  <w:noWrap w:val="0"/>
                  <w:vAlign w:val="center"/>
                </w:tcPr>
                <w:p w14:paraId="04D3A1F2">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0.5t</w:t>
                  </w:r>
                </w:p>
              </w:tc>
              <w:tc>
                <w:tcPr>
                  <w:tcW w:w="961" w:type="pct"/>
                  <w:noWrap w:val="0"/>
                  <w:vAlign w:val="center"/>
                </w:tcPr>
                <w:p w14:paraId="4B6F8CA3">
                  <w:pPr>
                    <w:jc w:val="center"/>
                    <w:rPr>
                      <w:rFonts w:hint="default"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原料存放区</w:t>
                  </w:r>
                </w:p>
              </w:tc>
              <w:tc>
                <w:tcPr>
                  <w:tcW w:w="1244" w:type="pct"/>
                  <w:shd w:val="clear" w:color="auto" w:fill="auto"/>
                  <w:noWrap w:val="0"/>
                  <w:vAlign w:val="center"/>
                </w:tcPr>
                <w:p w14:paraId="54D8C076">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w:t>
                  </w:r>
                </w:p>
              </w:tc>
            </w:tr>
            <w:tr w14:paraId="0E554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425" w:type="pct"/>
                  <w:shd w:val="clear" w:color="auto" w:fill="auto"/>
                  <w:noWrap w:val="0"/>
                  <w:vAlign w:val="center"/>
                </w:tcPr>
                <w:p w14:paraId="380F9A21">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12</w:t>
                  </w:r>
                </w:p>
              </w:tc>
              <w:tc>
                <w:tcPr>
                  <w:tcW w:w="737" w:type="pct"/>
                  <w:noWrap w:val="0"/>
                  <w:vAlign w:val="center"/>
                </w:tcPr>
                <w:p w14:paraId="58B36F0D">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螺栓</w:t>
                  </w:r>
                </w:p>
              </w:tc>
              <w:tc>
                <w:tcPr>
                  <w:tcW w:w="786" w:type="pct"/>
                  <w:noWrap w:val="0"/>
                  <w:vAlign w:val="center"/>
                </w:tcPr>
                <w:p w14:paraId="4B0FFF7D">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1t</w:t>
                  </w:r>
                </w:p>
              </w:tc>
              <w:tc>
                <w:tcPr>
                  <w:tcW w:w="845" w:type="pct"/>
                  <w:noWrap w:val="0"/>
                  <w:vAlign w:val="center"/>
                </w:tcPr>
                <w:p w14:paraId="5AEB4745">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0.1t</w:t>
                  </w:r>
                </w:p>
              </w:tc>
              <w:tc>
                <w:tcPr>
                  <w:tcW w:w="961" w:type="pct"/>
                  <w:noWrap w:val="0"/>
                  <w:vAlign w:val="center"/>
                </w:tcPr>
                <w:p w14:paraId="1AAEF4C1">
                  <w:pPr>
                    <w:jc w:val="center"/>
                    <w:rPr>
                      <w:rFonts w:hint="eastAsia"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原料存放区</w:t>
                  </w:r>
                </w:p>
              </w:tc>
              <w:tc>
                <w:tcPr>
                  <w:tcW w:w="1244" w:type="pct"/>
                  <w:shd w:val="clear" w:color="auto" w:fill="auto"/>
                  <w:noWrap w:val="0"/>
                  <w:vAlign w:val="center"/>
                </w:tcPr>
                <w:p w14:paraId="7F183359">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w:t>
                  </w:r>
                </w:p>
              </w:tc>
            </w:tr>
            <w:tr w14:paraId="75DDB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425" w:type="pct"/>
                  <w:shd w:val="clear" w:color="auto" w:fill="auto"/>
                  <w:noWrap w:val="0"/>
                  <w:vAlign w:val="center"/>
                </w:tcPr>
                <w:p w14:paraId="0B9BDB05">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13</w:t>
                  </w:r>
                </w:p>
              </w:tc>
              <w:tc>
                <w:tcPr>
                  <w:tcW w:w="737" w:type="pct"/>
                  <w:noWrap w:val="0"/>
                  <w:vAlign w:val="center"/>
                </w:tcPr>
                <w:p w14:paraId="6513A34F">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焊条</w:t>
                  </w:r>
                </w:p>
              </w:tc>
              <w:tc>
                <w:tcPr>
                  <w:tcW w:w="786" w:type="pct"/>
                  <w:noWrap w:val="0"/>
                  <w:vAlign w:val="center"/>
                </w:tcPr>
                <w:p w14:paraId="1811450B">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1.5t</w:t>
                  </w:r>
                </w:p>
              </w:tc>
              <w:tc>
                <w:tcPr>
                  <w:tcW w:w="845" w:type="pct"/>
                  <w:noWrap w:val="0"/>
                  <w:vAlign w:val="center"/>
                </w:tcPr>
                <w:p w14:paraId="2E288654">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0.1t</w:t>
                  </w:r>
                </w:p>
              </w:tc>
              <w:tc>
                <w:tcPr>
                  <w:tcW w:w="961" w:type="pct"/>
                  <w:noWrap w:val="0"/>
                  <w:vAlign w:val="center"/>
                </w:tcPr>
                <w:p w14:paraId="676B3A6C">
                  <w:pPr>
                    <w:jc w:val="center"/>
                    <w:rPr>
                      <w:rFonts w:hint="eastAsia"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原料存放区</w:t>
                  </w:r>
                </w:p>
              </w:tc>
              <w:tc>
                <w:tcPr>
                  <w:tcW w:w="1244" w:type="pct"/>
                  <w:shd w:val="clear" w:color="auto" w:fill="auto"/>
                  <w:noWrap w:val="0"/>
                  <w:vAlign w:val="center"/>
                </w:tcPr>
                <w:p w14:paraId="719D5F64">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w:t>
                  </w:r>
                </w:p>
              </w:tc>
            </w:tr>
            <w:tr w14:paraId="3E241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425" w:type="pct"/>
                  <w:shd w:val="clear" w:color="auto" w:fill="auto"/>
                  <w:noWrap w:val="0"/>
                  <w:vAlign w:val="center"/>
                </w:tcPr>
                <w:p w14:paraId="158E7A8B">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ascii="Times New Roman" w:hAnsi="Times New Roman" w:eastAsia="宋体" w:cs="Times New Roman"/>
                      <w:bCs/>
                      <w:color w:val="auto"/>
                      <w:szCs w:val="21"/>
                      <w:highlight w:val="none"/>
                      <w:u w:val="none" w:color="auto"/>
                      <w:lang w:val="en-US" w:eastAsia="zh-CN"/>
                    </w:rPr>
                    <w:t>14</w:t>
                  </w:r>
                </w:p>
              </w:tc>
              <w:tc>
                <w:tcPr>
                  <w:tcW w:w="737" w:type="pct"/>
                  <w:noWrap w:val="0"/>
                  <w:vAlign w:val="center"/>
                </w:tcPr>
                <w:p w14:paraId="38E06DBC">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活性炭</w:t>
                  </w:r>
                </w:p>
              </w:tc>
              <w:tc>
                <w:tcPr>
                  <w:tcW w:w="786" w:type="pct"/>
                  <w:noWrap w:val="0"/>
                  <w:vAlign w:val="center"/>
                </w:tcPr>
                <w:p w14:paraId="1357B396">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9.49t</w:t>
                  </w:r>
                </w:p>
              </w:tc>
              <w:tc>
                <w:tcPr>
                  <w:tcW w:w="845" w:type="pct"/>
                  <w:noWrap w:val="0"/>
                  <w:vAlign w:val="center"/>
                </w:tcPr>
                <w:p w14:paraId="6A36A308">
                  <w:pPr>
                    <w:jc w:val="center"/>
                    <w:rPr>
                      <w:rFonts w:hint="default"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1t</w:t>
                  </w:r>
                </w:p>
              </w:tc>
              <w:tc>
                <w:tcPr>
                  <w:tcW w:w="961" w:type="pct"/>
                  <w:noWrap w:val="0"/>
                  <w:vAlign w:val="center"/>
                </w:tcPr>
                <w:p w14:paraId="16229CAE">
                  <w:pPr>
                    <w:jc w:val="center"/>
                    <w:rPr>
                      <w:rFonts w:hint="default"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废气处理设施</w:t>
                  </w:r>
                </w:p>
              </w:tc>
              <w:tc>
                <w:tcPr>
                  <w:tcW w:w="1244" w:type="pct"/>
                  <w:shd w:val="clear" w:color="auto" w:fill="auto"/>
                  <w:noWrap w:val="0"/>
                  <w:vAlign w:val="center"/>
                </w:tcPr>
                <w:p w14:paraId="138EA552">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w:t>
                  </w:r>
                </w:p>
              </w:tc>
            </w:tr>
            <w:tr w14:paraId="4291C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425" w:type="pct"/>
                  <w:shd w:val="clear" w:color="auto" w:fill="auto"/>
                  <w:noWrap w:val="0"/>
                  <w:vAlign w:val="center"/>
                </w:tcPr>
                <w:p w14:paraId="207FE2A0">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eastAsia="宋体" w:cs="Times New Roman"/>
                      <w:bCs/>
                      <w:color w:val="auto"/>
                      <w:szCs w:val="21"/>
                      <w:highlight w:val="none"/>
                      <w:u w:val="none" w:color="auto"/>
                      <w:lang w:val="en-US" w:eastAsia="zh-CN"/>
                    </w:rPr>
                    <w:t>15</w:t>
                  </w:r>
                </w:p>
              </w:tc>
              <w:tc>
                <w:tcPr>
                  <w:tcW w:w="737" w:type="pct"/>
                  <w:noWrap w:val="0"/>
                  <w:vAlign w:val="center"/>
                </w:tcPr>
                <w:p w14:paraId="7BE0CE57">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机油</w:t>
                  </w:r>
                </w:p>
              </w:tc>
              <w:tc>
                <w:tcPr>
                  <w:tcW w:w="786" w:type="pct"/>
                  <w:noWrap w:val="0"/>
                  <w:vAlign w:val="center"/>
                </w:tcPr>
                <w:p w14:paraId="19687671">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0.1t</w:t>
                  </w:r>
                </w:p>
              </w:tc>
              <w:tc>
                <w:tcPr>
                  <w:tcW w:w="845" w:type="pct"/>
                  <w:noWrap w:val="0"/>
                  <w:vAlign w:val="center"/>
                </w:tcPr>
                <w:p w14:paraId="008D27ED">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0.1t</w:t>
                  </w:r>
                </w:p>
              </w:tc>
              <w:tc>
                <w:tcPr>
                  <w:tcW w:w="961" w:type="pct"/>
                  <w:noWrap w:val="0"/>
                  <w:vAlign w:val="center"/>
                </w:tcPr>
                <w:p w14:paraId="1894E35E">
                  <w:pPr>
                    <w:jc w:val="center"/>
                    <w:rPr>
                      <w:rFonts w:hint="eastAsia"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原料存放区</w:t>
                  </w:r>
                </w:p>
              </w:tc>
              <w:tc>
                <w:tcPr>
                  <w:tcW w:w="1244" w:type="pct"/>
                  <w:shd w:val="clear" w:color="auto" w:fill="auto"/>
                  <w:noWrap w:val="0"/>
                  <w:vAlign w:val="center"/>
                </w:tcPr>
                <w:p w14:paraId="4B5B75D3">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w:t>
                  </w:r>
                </w:p>
              </w:tc>
            </w:tr>
            <w:tr w14:paraId="265D0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425" w:type="pct"/>
                  <w:shd w:val="clear" w:color="auto" w:fill="auto"/>
                  <w:noWrap w:val="0"/>
                  <w:vAlign w:val="center"/>
                </w:tcPr>
                <w:p w14:paraId="782D2905">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1</w:t>
                  </w:r>
                  <w:r>
                    <w:rPr>
                      <w:rFonts w:hint="eastAsia" w:ascii="Times New Roman" w:hAnsi="Times New Roman" w:eastAsia="宋体" w:cs="Times New Roman"/>
                      <w:bCs/>
                      <w:color w:val="auto"/>
                      <w:szCs w:val="21"/>
                      <w:highlight w:val="none"/>
                      <w:u w:val="none" w:color="auto"/>
                      <w:lang w:val="en-US" w:eastAsia="zh-CN"/>
                    </w:rPr>
                    <w:t>6</w:t>
                  </w:r>
                </w:p>
              </w:tc>
              <w:tc>
                <w:tcPr>
                  <w:tcW w:w="737" w:type="pct"/>
                  <w:noWrap w:val="0"/>
                  <w:vAlign w:val="center"/>
                </w:tcPr>
                <w:p w14:paraId="34ACD56C">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水</w:t>
                  </w:r>
                </w:p>
              </w:tc>
              <w:tc>
                <w:tcPr>
                  <w:tcW w:w="786" w:type="pct"/>
                  <w:noWrap w:val="0"/>
                  <w:vAlign w:val="center"/>
                </w:tcPr>
                <w:p w14:paraId="7852332F">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270t</w:t>
                  </w:r>
                </w:p>
              </w:tc>
              <w:tc>
                <w:tcPr>
                  <w:tcW w:w="845" w:type="pct"/>
                  <w:noWrap w:val="0"/>
                  <w:vAlign w:val="center"/>
                </w:tcPr>
                <w:p w14:paraId="448C056E">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w:t>
                  </w:r>
                </w:p>
              </w:tc>
              <w:tc>
                <w:tcPr>
                  <w:tcW w:w="961" w:type="pct"/>
                  <w:noWrap w:val="0"/>
                  <w:vAlign w:val="center"/>
                </w:tcPr>
                <w:p w14:paraId="082E40C7">
                  <w:pPr>
                    <w:jc w:val="center"/>
                    <w:rPr>
                      <w:rFonts w:hint="default"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w:t>
                  </w:r>
                </w:p>
              </w:tc>
              <w:tc>
                <w:tcPr>
                  <w:tcW w:w="1244" w:type="pct"/>
                  <w:shd w:val="clear" w:color="auto" w:fill="auto"/>
                  <w:noWrap w:val="0"/>
                  <w:vAlign w:val="center"/>
                </w:tcPr>
                <w:p w14:paraId="15582102">
                  <w:pPr>
                    <w:jc w:val="center"/>
                    <w:rPr>
                      <w:rFonts w:hint="eastAsia"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szCs w:val="21"/>
                      <w:highlight w:val="none"/>
                      <w:u w:val="none" w:color="auto"/>
                      <w:lang w:val="en-US" w:eastAsia="zh-CN"/>
                    </w:rPr>
                    <w:t>/</w:t>
                  </w:r>
                </w:p>
              </w:tc>
            </w:tr>
            <w:tr w14:paraId="04997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25" w:type="pct"/>
                  <w:noWrap w:val="0"/>
                  <w:vAlign w:val="center"/>
                </w:tcPr>
                <w:p w14:paraId="1B843AA6">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1</w:t>
                  </w:r>
                  <w:r>
                    <w:rPr>
                      <w:rFonts w:hint="eastAsia" w:ascii="Times New Roman" w:hAnsi="Times New Roman" w:eastAsia="宋体" w:cs="Times New Roman"/>
                      <w:bCs/>
                      <w:color w:val="auto"/>
                      <w:szCs w:val="21"/>
                      <w:highlight w:val="none"/>
                      <w:u w:val="none" w:color="auto"/>
                      <w:lang w:val="en-US" w:eastAsia="zh-CN"/>
                    </w:rPr>
                    <w:t>7</w:t>
                  </w:r>
                </w:p>
              </w:tc>
              <w:tc>
                <w:tcPr>
                  <w:tcW w:w="737" w:type="pct"/>
                  <w:noWrap w:val="0"/>
                  <w:vAlign w:val="center"/>
                </w:tcPr>
                <w:p w14:paraId="023BBCE8">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电</w:t>
                  </w:r>
                </w:p>
              </w:tc>
              <w:tc>
                <w:tcPr>
                  <w:tcW w:w="786" w:type="pct"/>
                  <w:noWrap w:val="0"/>
                  <w:vAlign w:val="center"/>
                </w:tcPr>
                <w:p w14:paraId="7C37CAC5">
                  <w:pPr>
                    <w:jc w:val="center"/>
                    <w:rPr>
                      <w:rFonts w:hint="default" w:ascii="Times New Roman" w:hAnsi="Times New Roman" w:eastAsia="宋体" w:cs="Times New Roman"/>
                      <w:bCs/>
                      <w:color w:val="auto"/>
                      <w:szCs w:val="21"/>
                      <w:highlight w:val="none"/>
                      <w:u w:val="none" w:color="auto"/>
                      <w:lang w:val="en-US" w:eastAsia="zh-CN"/>
                    </w:rPr>
                  </w:pPr>
                  <w:r>
                    <w:rPr>
                      <w:rFonts w:hint="eastAsia" w:ascii="Times New Roman" w:hAnsi="Times New Roman" w:eastAsia="宋体" w:cs="Times New Roman"/>
                      <w:bCs/>
                      <w:color w:val="auto"/>
                      <w:szCs w:val="21"/>
                      <w:highlight w:val="none"/>
                      <w:u w:val="none" w:color="auto"/>
                      <w:lang w:val="en-US" w:eastAsia="zh-CN"/>
                    </w:rPr>
                    <w:t>4万</w:t>
                  </w:r>
                  <w:r>
                    <w:rPr>
                      <w:rFonts w:hint="eastAsia" w:cs="Times New Roman"/>
                      <w:bCs/>
                      <w:color w:val="auto"/>
                      <w:szCs w:val="21"/>
                      <w:highlight w:val="none"/>
                      <w:u w:val="none" w:color="auto"/>
                      <w:lang w:val="en-US" w:eastAsia="zh-CN"/>
                    </w:rPr>
                    <w:t>kW</w:t>
                  </w:r>
                  <w:r>
                    <w:rPr>
                      <w:rFonts w:hint="eastAsia" w:ascii="Times New Roman" w:hAnsi="Times New Roman" w:eastAsia="宋体" w:cs="Times New Roman"/>
                      <w:bCs/>
                      <w:color w:val="auto"/>
                      <w:szCs w:val="21"/>
                      <w:highlight w:val="none"/>
                      <w:u w:val="none" w:color="auto"/>
                      <w:lang w:val="en-US" w:eastAsia="zh-CN"/>
                    </w:rPr>
                    <w:t>·h/a</w:t>
                  </w:r>
                </w:p>
              </w:tc>
              <w:tc>
                <w:tcPr>
                  <w:tcW w:w="845" w:type="pct"/>
                  <w:noWrap w:val="0"/>
                  <w:vAlign w:val="center"/>
                </w:tcPr>
                <w:p w14:paraId="66E0651F">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w:t>
                  </w:r>
                </w:p>
              </w:tc>
              <w:tc>
                <w:tcPr>
                  <w:tcW w:w="961" w:type="pct"/>
                  <w:noWrap w:val="0"/>
                  <w:vAlign w:val="center"/>
                </w:tcPr>
                <w:p w14:paraId="51679CEF">
                  <w:pPr>
                    <w:jc w:val="center"/>
                    <w:rPr>
                      <w:rFonts w:hint="default" w:ascii="Times New Roman" w:hAnsi="Times New Roman" w:eastAsia="宋体" w:cs="Times New Roman"/>
                      <w:bCs/>
                      <w:color w:val="auto"/>
                      <w:szCs w:val="21"/>
                      <w:highlight w:val="none"/>
                      <w:u w:val="none" w:color="auto"/>
                      <w:lang w:val="en-US" w:eastAsia="zh-CN"/>
                    </w:rPr>
                  </w:pPr>
                  <w:r>
                    <w:rPr>
                      <w:rFonts w:hint="eastAsia" w:cs="Times New Roman"/>
                      <w:bCs/>
                      <w:color w:val="auto"/>
                      <w:szCs w:val="21"/>
                      <w:highlight w:val="none"/>
                      <w:u w:val="none" w:color="auto"/>
                      <w:lang w:val="en-US" w:eastAsia="zh-CN"/>
                    </w:rPr>
                    <w:t>/</w:t>
                  </w:r>
                </w:p>
              </w:tc>
              <w:tc>
                <w:tcPr>
                  <w:tcW w:w="1244" w:type="pct"/>
                  <w:shd w:val="clear" w:color="auto" w:fill="auto"/>
                  <w:noWrap w:val="0"/>
                  <w:vAlign w:val="center"/>
                </w:tcPr>
                <w:p w14:paraId="7789828E">
                  <w:pPr>
                    <w:jc w:val="center"/>
                    <w:rPr>
                      <w:rFonts w:hint="default" w:ascii="Times New Roman" w:hAnsi="Times New Roman" w:eastAsia="宋体" w:cs="Times New Roman"/>
                      <w:bCs/>
                      <w:color w:val="auto"/>
                      <w:kern w:val="2"/>
                      <w:sz w:val="21"/>
                      <w:szCs w:val="21"/>
                      <w:highlight w:val="none"/>
                      <w:u w:val="none" w:color="auto"/>
                      <w:lang w:val="en-US" w:eastAsia="zh-CN" w:bidi="ar-SA"/>
                    </w:rPr>
                  </w:pPr>
                  <w:r>
                    <w:rPr>
                      <w:rFonts w:hint="eastAsia" w:cs="Times New Roman"/>
                      <w:bCs/>
                      <w:color w:val="auto"/>
                      <w:kern w:val="2"/>
                      <w:sz w:val="21"/>
                      <w:szCs w:val="21"/>
                      <w:highlight w:val="none"/>
                      <w:u w:val="none" w:color="auto"/>
                      <w:lang w:val="en-US" w:eastAsia="zh-CN" w:bidi="ar-SA"/>
                    </w:rPr>
                    <w:t>/</w:t>
                  </w:r>
                </w:p>
              </w:tc>
            </w:tr>
          </w:tbl>
          <w:p w14:paraId="09E8FB19">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hAnsi="宋体"/>
                <w:color w:val="auto"/>
                <w:sz w:val="21"/>
                <w:szCs w:val="21"/>
                <w:highlight w:val="none"/>
                <w:u w:val="none" w:color="auto"/>
                <w:lang w:val="en-US" w:eastAsia="zh-CN"/>
              </w:rPr>
            </w:pPr>
            <w:r>
              <w:rPr>
                <w:rFonts w:hint="eastAsia" w:hAnsi="宋体"/>
                <w:color w:val="auto"/>
                <w:sz w:val="21"/>
                <w:szCs w:val="21"/>
                <w:highlight w:val="none"/>
                <w:u w:val="none" w:color="auto"/>
                <w:lang w:val="en-US" w:eastAsia="zh-CN"/>
              </w:rPr>
              <w:t>注：根据建设单位提供资料，现阶段仅油性漆可满足产品的使用要求，使用的为高固份油漆。建设单位承诺，在水性漆能够满足项目产品工艺要求时，建设单位将及时更换水性漆。</w:t>
            </w:r>
          </w:p>
          <w:p w14:paraId="35A350F9">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Ansi="宋体"/>
                <w:color w:val="auto"/>
                <w:sz w:val="24"/>
                <w:highlight w:val="none"/>
                <w:u w:val="single" w:color="auto"/>
              </w:rPr>
            </w:pPr>
            <w:r>
              <w:rPr>
                <w:rFonts w:hint="eastAsia" w:hAnsi="宋体"/>
                <w:color w:val="auto"/>
                <w:sz w:val="24"/>
                <w:highlight w:val="none"/>
                <w:u w:val="single" w:color="auto"/>
                <w:lang w:val="en-US" w:eastAsia="zh-CN"/>
              </w:rPr>
              <w:t>根据建设单位提供资料，</w:t>
            </w:r>
            <w:r>
              <w:rPr>
                <w:rFonts w:hAnsi="宋体"/>
                <w:color w:val="auto"/>
                <w:sz w:val="24"/>
                <w:highlight w:val="none"/>
                <w:u w:val="single" w:color="auto"/>
              </w:rPr>
              <w:t>本项</w:t>
            </w:r>
            <w:r>
              <w:rPr>
                <w:color w:val="auto"/>
                <w:kern w:val="0"/>
                <w:sz w:val="24"/>
                <w:highlight w:val="none"/>
                <w:u w:val="single" w:color="auto"/>
              </w:rPr>
              <w:t>目</w:t>
            </w:r>
            <w:r>
              <w:rPr>
                <w:rFonts w:hint="eastAsia"/>
                <w:color w:val="auto"/>
                <w:kern w:val="0"/>
                <w:sz w:val="24"/>
                <w:highlight w:val="none"/>
                <w:u w:val="single" w:color="auto"/>
              </w:rPr>
              <w:t>因产品要求，</w:t>
            </w:r>
            <w:r>
              <w:rPr>
                <w:rFonts w:hint="eastAsia" w:ascii="Calibri" w:eastAsia="宋体"/>
                <w:color w:val="auto"/>
                <w:kern w:val="0"/>
                <w:sz w:val="24"/>
                <w:highlight w:val="none"/>
                <w:u w:val="single" w:color="auto"/>
                <w:lang w:val="en-US" w:eastAsia="zh-CN"/>
              </w:rPr>
              <w:t>需喷涂油漆</w:t>
            </w:r>
            <w:r>
              <w:rPr>
                <w:rFonts w:hint="eastAsia"/>
                <w:color w:val="auto"/>
                <w:kern w:val="0"/>
                <w:sz w:val="24"/>
                <w:highlight w:val="none"/>
                <w:u w:val="single" w:color="auto"/>
              </w:rPr>
              <w:t>。本项目</w:t>
            </w:r>
            <w:r>
              <w:rPr>
                <w:rFonts w:hint="eastAsia" w:hAnsi="宋体"/>
                <w:color w:val="auto"/>
                <w:sz w:val="24"/>
                <w:highlight w:val="none"/>
                <w:u w:val="single" w:color="auto"/>
              </w:rPr>
              <w:t>油漆由</w:t>
            </w:r>
            <w:r>
              <w:rPr>
                <w:rFonts w:hint="eastAsia" w:hAnsi="宋体"/>
                <w:color w:val="auto"/>
                <w:sz w:val="24"/>
                <w:highlight w:val="none"/>
                <w:u w:val="single" w:color="auto"/>
                <w:lang w:val="en-US" w:eastAsia="zh-CN"/>
              </w:rPr>
              <w:t>涂</w:t>
            </w:r>
            <w:r>
              <w:rPr>
                <w:rFonts w:hAnsi="宋体"/>
                <w:color w:val="auto"/>
                <w:sz w:val="24"/>
                <w:highlight w:val="none"/>
                <w:u w:val="single" w:color="auto"/>
              </w:rPr>
              <w:t>料、稀释剂</w:t>
            </w:r>
            <w:r>
              <w:rPr>
                <w:rFonts w:hint="eastAsia" w:hAnsi="宋体"/>
                <w:color w:val="auto"/>
                <w:sz w:val="24"/>
                <w:highlight w:val="none"/>
                <w:u w:val="single" w:color="auto"/>
                <w:lang w:eastAsia="zh-CN"/>
              </w:rPr>
              <w:t>、</w:t>
            </w:r>
            <w:r>
              <w:rPr>
                <w:rFonts w:hint="eastAsia" w:hAnsi="宋体"/>
                <w:color w:val="auto"/>
                <w:sz w:val="24"/>
                <w:highlight w:val="none"/>
                <w:u w:val="single" w:color="auto"/>
                <w:lang w:val="en-US" w:eastAsia="zh-CN"/>
              </w:rPr>
              <w:t>固化剂</w:t>
            </w:r>
            <w:r>
              <w:rPr>
                <w:rFonts w:hint="eastAsia" w:hAnsi="宋体"/>
                <w:color w:val="auto"/>
                <w:sz w:val="24"/>
                <w:highlight w:val="none"/>
                <w:u w:val="single" w:color="auto"/>
              </w:rPr>
              <w:t>组成</w:t>
            </w:r>
            <w:r>
              <w:rPr>
                <w:rFonts w:hint="eastAsia" w:hAnsi="宋体"/>
                <w:color w:val="auto"/>
                <w:sz w:val="24"/>
                <w:highlight w:val="none"/>
                <w:u w:val="single" w:color="auto"/>
                <w:lang w:eastAsia="zh-CN"/>
              </w:rPr>
              <w:t>，</w:t>
            </w:r>
            <w:r>
              <w:rPr>
                <w:rFonts w:hint="eastAsia" w:ascii="宋体" w:hAnsi="宋体" w:eastAsia="宋体" w:cs="宋体"/>
                <w:color w:val="auto"/>
                <w:sz w:val="24"/>
                <w:szCs w:val="24"/>
                <w:highlight w:val="none"/>
                <w:u w:val="single" w:color="auto"/>
                <w:lang w:val="en-US" w:eastAsia="zh-CN"/>
              </w:rPr>
              <w:t>根据化学品安全技术说明书（见附件），涂料、稀释剂、固化剂成分</w:t>
            </w:r>
            <w:r>
              <w:rPr>
                <w:rFonts w:hAnsi="宋体"/>
                <w:color w:val="auto"/>
                <w:sz w:val="24"/>
                <w:highlight w:val="none"/>
                <w:u w:val="single" w:color="auto"/>
              </w:rPr>
              <w:t>见</w:t>
            </w:r>
            <w:r>
              <w:rPr>
                <w:rFonts w:hint="eastAsia" w:hAnsi="宋体"/>
                <w:color w:val="auto"/>
                <w:sz w:val="24"/>
                <w:highlight w:val="none"/>
                <w:u w:val="single" w:color="auto"/>
                <w:lang w:val="en-US" w:eastAsia="zh-CN"/>
              </w:rPr>
              <w:t>下表</w:t>
            </w:r>
            <w:r>
              <w:rPr>
                <w:rFonts w:hAnsi="宋体"/>
                <w:color w:val="auto"/>
                <w:sz w:val="24"/>
                <w:highlight w:val="none"/>
                <w:u w:val="single" w:color="auto"/>
              </w:rPr>
              <w:t>。</w:t>
            </w:r>
          </w:p>
          <w:p w14:paraId="77D01A3A">
            <w:pPr>
              <w:adjustRightInd w:val="0"/>
              <w:snapToGrid w:val="0"/>
              <w:spacing w:line="300" w:lineRule="exact"/>
              <w:ind w:firstLine="422" w:firstLineChars="200"/>
              <w:jc w:val="center"/>
              <w:rPr>
                <w:rFonts w:hAnsi="宋体"/>
                <w:b/>
                <w:color w:val="auto"/>
                <w:szCs w:val="21"/>
                <w:highlight w:val="none"/>
                <w:u w:val="single" w:color="auto"/>
              </w:rPr>
            </w:pPr>
            <w:r>
              <w:rPr>
                <w:rFonts w:hAnsi="宋体"/>
                <w:b/>
                <w:color w:val="auto"/>
                <w:szCs w:val="21"/>
                <w:highlight w:val="none"/>
                <w:u w:val="single" w:color="auto"/>
              </w:rPr>
              <w:t>表</w:t>
            </w:r>
            <w:r>
              <w:rPr>
                <w:rFonts w:hint="eastAsia" w:hAnsi="宋体"/>
                <w:b/>
                <w:color w:val="auto"/>
                <w:szCs w:val="21"/>
                <w:highlight w:val="none"/>
                <w:u w:val="single" w:color="auto"/>
                <w:lang w:val="en-US" w:eastAsia="zh-CN"/>
              </w:rPr>
              <w:t>2-5  涂料</w:t>
            </w:r>
            <w:r>
              <w:rPr>
                <w:rFonts w:hAnsi="宋体"/>
                <w:b/>
                <w:color w:val="auto"/>
                <w:szCs w:val="21"/>
                <w:highlight w:val="none"/>
                <w:u w:val="single" w:color="auto"/>
              </w:rPr>
              <w:t>、</w:t>
            </w:r>
            <w:r>
              <w:rPr>
                <w:rFonts w:hint="eastAsia" w:hAnsi="宋体"/>
                <w:b/>
                <w:color w:val="auto"/>
                <w:szCs w:val="21"/>
                <w:highlight w:val="none"/>
                <w:u w:val="single" w:color="auto"/>
                <w:lang w:val="en-US" w:eastAsia="zh-CN"/>
              </w:rPr>
              <w:t>固化剂、</w:t>
            </w:r>
            <w:r>
              <w:rPr>
                <w:rFonts w:hAnsi="宋体"/>
                <w:b/>
                <w:color w:val="auto"/>
                <w:szCs w:val="21"/>
                <w:highlight w:val="none"/>
                <w:u w:val="single" w:color="auto"/>
              </w:rPr>
              <w:t>稀释剂成分一览表</w:t>
            </w:r>
          </w:p>
          <w:tbl>
            <w:tblPr>
              <w:tblStyle w:val="31"/>
              <w:tblW w:w="7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340"/>
              <w:gridCol w:w="2683"/>
              <w:gridCol w:w="1329"/>
            </w:tblGrid>
            <w:tr w14:paraId="396EC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1526" w:type="dxa"/>
                  <w:noWrap w:val="0"/>
                  <w:vAlign w:val="center"/>
                </w:tcPr>
                <w:p w14:paraId="2D9DDD5C">
                  <w:pPr>
                    <w:jc w:val="center"/>
                    <w:rPr>
                      <w:rFonts w:hint="default" w:ascii="Times New Roman" w:hAnsi="Times New Roman" w:cs="Times New Roman"/>
                      <w:b/>
                      <w:bCs/>
                      <w:color w:val="auto"/>
                      <w:szCs w:val="21"/>
                      <w:highlight w:val="none"/>
                      <w:u w:val="single" w:color="auto"/>
                    </w:rPr>
                  </w:pPr>
                  <w:r>
                    <w:rPr>
                      <w:rFonts w:hint="default" w:ascii="Times New Roman" w:hAnsi="Times New Roman" w:cs="Times New Roman"/>
                      <w:b/>
                      <w:bCs/>
                      <w:color w:val="auto"/>
                      <w:szCs w:val="21"/>
                      <w:highlight w:val="none"/>
                      <w:u w:val="single" w:color="auto"/>
                    </w:rPr>
                    <w:t>名称</w:t>
                  </w:r>
                </w:p>
              </w:tc>
              <w:tc>
                <w:tcPr>
                  <w:tcW w:w="2340" w:type="dxa"/>
                  <w:noWrap w:val="0"/>
                  <w:vAlign w:val="center"/>
                </w:tcPr>
                <w:p w14:paraId="2972F933">
                  <w:pPr>
                    <w:jc w:val="center"/>
                    <w:rPr>
                      <w:rFonts w:hint="default" w:ascii="Times New Roman" w:hAnsi="Times New Roman" w:cs="Times New Roman"/>
                      <w:b/>
                      <w:bCs/>
                      <w:color w:val="auto"/>
                      <w:szCs w:val="21"/>
                      <w:highlight w:val="none"/>
                      <w:u w:val="single" w:color="auto"/>
                    </w:rPr>
                  </w:pPr>
                  <w:r>
                    <w:rPr>
                      <w:rFonts w:hint="default" w:ascii="Times New Roman" w:hAnsi="Times New Roman" w:cs="Times New Roman"/>
                      <w:b/>
                      <w:bCs/>
                      <w:color w:val="auto"/>
                      <w:szCs w:val="21"/>
                      <w:highlight w:val="none"/>
                      <w:u w:val="single" w:color="auto"/>
                    </w:rPr>
                    <w:t>成分</w:t>
                  </w:r>
                </w:p>
              </w:tc>
              <w:tc>
                <w:tcPr>
                  <w:tcW w:w="2683" w:type="dxa"/>
                  <w:noWrap w:val="0"/>
                  <w:vAlign w:val="center"/>
                </w:tcPr>
                <w:p w14:paraId="2D315C7D">
                  <w:pPr>
                    <w:jc w:val="center"/>
                    <w:rPr>
                      <w:rFonts w:hint="default" w:ascii="Times New Roman" w:hAnsi="Times New Roman" w:eastAsia="宋体" w:cs="Times New Roman"/>
                      <w:b/>
                      <w:bCs/>
                      <w:color w:val="auto"/>
                      <w:kern w:val="2"/>
                      <w:sz w:val="21"/>
                      <w:szCs w:val="21"/>
                      <w:highlight w:val="none"/>
                      <w:u w:val="single" w:color="auto"/>
                      <w:lang w:val="en-US" w:eastAsia="zh-CN" w:bidi="ar-SA"/>
                    </w:rPr>
                  </w:pPr>
                  <w:r>
                    <w:rPr>
                      <w:rFonts w:hint="eastAsia"/>
                      <w:b/>
                      <w:bCs/>
                      <w:color w:val="auto"/>
                      <w:szCs w:val="21"/>
                      <w:highlight w:val="none"/>
                      <w:u w:val="single" w:color="auto"/>
                    </w:rPr>
                    <w:t>组成（按最高从严计）</w:t>
                  </w:r>
                </w:p>
              </w:tc>
              <w:tc>
                <w:tcPr>
                  <w:tcW w:w="1329" w:type="dxa"/>
                  <w:noWrap w:val="0"/>
                  <w:vAlign w:val="center"/>
                </w:tcPr>
                <w:p w14:paraId="336FB7DE">
                  <w:pPr>
                    <w:tabs>
                      <w:tab w:val="left" w:pos="702"/>
                    </w:tabs>
                    <w:jc w:val="center"/>
                    <w:rPr>
                      <w:rFonts w:hint="default" w:eastAsia="宋体"/>
                      <w:b/>
                      <w:bCs/>
                      <w:color w:val="auto"/>
                      <w:szCs w:val="21"/>
                      <w:highlight w:val="none"/>
                      <w:u w:val="single" w:color="auto"/>
                      <w:lang w:val="en-US" w:eastAsia="zh-CN"/>
                    </w:rPr>
                  </w:pPr>
                  <w:r>
                    <w:rPr>
                      <w:rFonts w:hint="eastAsia" w:ascii="Calibri" w:eastAsia="宋体"/>
                      <w:b/>
                      <w:bCs/>
                      <w:color w:val="auto"/>
                      <w:szCs w:val="21"/>
                      <w:highlight w:val="none"/>
                      <w:u w:val="single" w:color="auto"/>
                      <w:lang w:val="en-US" w:eastAsia="zh-CN"/>
                    </w:rPr>
                    <w:t>备注</w:t>
                  </w:r>
                </w:p>
              </w:tc>
            </w:tr>
            <w:tr w14:paraId="7CA29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526" w:type="dxa"/>
                  <w:noWrap w:val="0"/>
                  <w:vAlign w:val="center"/>
                </w:tcPr>
                <w:p w14:paraId="01527AF5">
                  <w:pPr>
                    <w:jc w:val="center"/>
                    <w:rPr>
                      <w:rFonts w:hint="default" w:ascii="Times New Roman" w:hAnsi="Times New Roman" w:cs="Times New Roman"/>
                      <w:color w:val="auto"/>
                      <w:szCs w:val="21"/>
                      <w:highlight w:val="none"/>
                      <w:u w:val="single" w:color="auto"/>
                    </w:rPr>
                  </w:pPr>
                  <w:r>
                    <w:rPr>
                      <w:rFonts w:hint="default" w:ascii="Times New Roman" w:hAnsi="Times New Roman" w:cs="Times New Roman"/>
                      <w:color w:val="auto"/>
                      <w:szCs w:val="21"/>
                      <w:highlight w:val="none"/>
                      <w:u w:val="single" w:color="auto"/>
                      <w:lang w:eastAsia="zh-CN"/>
                    </w:rPr>
                    <w:t>醇酸树脂涂料</w:t>
                  </w:r>
                  <w:r>
                    <w:rPr>
                      <w:rFonts w:hint="eastAsia" w:cs="Times New Roman"/>
                      <w:color w:val="auto"/>
                      <w:szCs w:val="21"/>
                      <w:highlight w:val="none"/>
                      <w:u w:val="single" w:color="auto"/>
                      <w:lang w:eastAsia="zh-CN"/>
                    </w:rPr>
                    <w:t>（</w:t>
                  </w:r>
                  <w:r>
                    <w:rPr>
                      <w:rFonts w:hint="eastAsia" w:cs="Times New Roman"/>
                      <w:color w:val="auto"/>
                      <w:szCs w:val="21"/>
                      <w:highlight w:val="none"/>
                      <w:u w:val="single" w:color="auto"/>
                      <w:lang w:val="en-US" w:eastAsia="zh-CN"/>
                    </w:rPr>
                    <w:t>底漆</w:t>
                  </w:r>
                  <w:r>
                    <w:rPr>
                      <w:rFonts w:hint="eastAsia" w:cs="Times New Roman"/>
                      <w:color w:val="auto"/>
                      <w:szCs w:val="21"/>
                      <w:highlight w:val="none"/>
                      <w:u w:val="single" w:color="auto"/>
                      <w:lang w:eastAsia="zh-CN"/>
                    </w:rPr>
                    <w:t>）</w:t>
                  </w:r>
                </w:p>
              </w:tc>
              <w:tc>
                <w:tcPr>
                  <w:tcW w:w="2340" w:type="dxa"/>
                  <w:noWrap w:val="0"/>
                  <w:vAlign w:val="center"/>
                </w:tcPr>
                <w:p w14:paraId="314ECFE5">
                  <w:pPr>
                    <w:widowControl/>
                    <w:spacing w:line="260" w:lineRule="exact"/>
                    <w:jc w:val="center"/>
                    <w:rPr>
                      <w:rFonts w:hint="eastAsia"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醇酸树脂：50%</w:t>
                  </w:r>
                </w:p>
                <w:p w14:paraId="634E2C68">
                  <w:pPr>
                    <w:widowControl/>
                    <w:spacing w:line="260" w:lineRule="exact"/>
                    <w:jc w:val="center"/>
                    <w:rPr>
                      <w:rFonts w:hint="eastAsia"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颜料：</w:t>
                  </w:r>
                  <w:r>
                    <w:rPr>
                      <w:rFonts w:hint="eastAsia" w:cs="Times New Roman"/>
                      <w:b w:val="0"/>
                      <w:bCs w:val="0"/>
                      <w:color w:val="auto"/>
                      <w:sz w:val="21"/>
                      <w:szCs w:val="21"/>
                      <w:highlight w:val="none"/>
                      <w:u w:val="single" w:color="auto"/>
                      <w:lang w:val="en-US" w:eastAsia="zh-CN"/>
                    </w:rPr>
                    <w:t>2</w:t>
                  </w:r>
                  <w:r>
                    <w:rPr>
                      <w:rFonts w:hint="eastAsia" w:ascii="Times New Roman" w:hAnsi="Times New Roman" w:eastAsia="宋体" w:cs="Times New Roman"/>
                      <w:b w:val="0"/>
                      <w:bCs w:val="0"/>
                      <w:color w:val="auto"/>
                      <w:sz w:val="21"/>
                      <w:szCs w:val="21"/>
                      <w:highlight w:val="none"/>
                      <w:u w:val="single" w:color="auto"/>
                      <w:lang w:val="en-US" w:eastAsia="zh-CN"/>
                    </w:rPr>
                    <w:t>0%</w:t>
                  </w:r>
                </w:p>
                <w:p w14:paraId="6AB7ABB0">
                  <w:pPr>
                    <w:widowControl/>
                    <w:spacing w:line="260" w:lineRule="exact"/>
                    <w:jc w:val="center"/>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填料：20%</w:t>
                  </w:r>
                </w:p>
                <w:p w14:paraId="1C802D49">
                  <w:pPr>
                    <w:widowControl/>
                    <w:spacing w:line="260" w:lineRule="exact"/>
                    <w:jc w:val="center"/>
                    <w:rPr>
                      <w:rFonts w:hint="eastAsia" w:ascii="Times New Roman" w:hAnsi="Times New Roman" w:eastAsia="宋体" w:cs="Times New Roman"/>
                      <w:color w:val="auto"/>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溶剂</w:t>
                  </w:r>
                  <w:r>
                    <w:rPr>
                      <w:rFonts w:hint="eastAsia" w:cs="Times New Roman"/>
                      <w:b w:val="0"/>
                      <w:bCs w:val="0"/>
                      <w:color w:val="auto"/>
                      <w:sz w:val="21"/>
                      <w:szCs w:val="21"/>
                      <w:highlight w:val="none"/>
                      <w:u w:val="single" w:color="auto"/>
                      <w:lang w:val="en-US" w:eastAsia="zh-CN"/>
                    </w:rPr>
                    <w:t>汽</w:t>
                  </w:r>
                  <w:r>
                    <w:rPr>
                      <w:rFonts w:hint="eastAsia" w:ascii="Times New Roman" w:hAnsi="Times New Roman" w:eastAsia="宋体" w:cs="Times New Roman"/>
                      <w:b w:val="0"/>
                      <w:bCs w:val="0"/>
                      <w:color w:val="auto"/>
                      <w:sz w:val="21"/>
                      <w:szCs w:val="21"/>
                      <w:highlight w:val="none"/>
                      <w:u w:val="single" w:color="auto"/>
                      <w:lang w:val="en-US" w:eastAsia="zh-CN"/>
                    </w:rPr>
                    <w:t>油：10%</w:t>
                  </w:r>
                </w:p>
              </w:tc>
              <w:tc>
                <w:tcPr>
                  <w:tcW w:w="2683" w:type="dxa"/>
                  <w:noWrap w:val="0"/>
                  <w:vAlign w:val="center"/>
                </w:tcPr>
                <w:p w14:paraId="4AD9F393">
                  <w:pPr>
                    <w:widowControl/>
                    <w:spacing w:line="260" w:lineRule="exact"/>
                    <w:jc w:val="center"/>
                    <w:rPr>
                      <w:rFonts w:hint="eastAsia"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固体份90%；VOC10%</w:t>
                  </w:r>
                </w:p>
              </w:tc>
              <w:tc>
                <w:tcPr>
                  <w:tcW w:w="1329" w:type="dxa"/>
                  <w:vMerge w:val="restart"/>
                  <w:noWrap w:val="0"/>
                  <w:vAlign w:val="center"/>
                </w:tcPr>
                <w:p w14:paraId="21D423FD">
                  <w:pPr>
                    <w:jc w:val="center"/>
                    <w:rPr>
                      <w:rFonts w:hint="default" w:eastAsia="宋体"/>
                      <w:color w:val="auto"/>
                      <w:szCs w:val="21"/>
                      <w:highlight w:val="none"/>
                      <w:u w:val="single" w:color="auto"/>
                      <w:lang w:val="en-US" w:eastAsia="zh-CN"/>
                    </w:rPr>
                  </w:pPr>
                  <w:r>
                    <w:rPr>
                      <w:rFonts w:hint="eastAsia" w:ascii="Calibri"/>
                      <w:color w:val="auto"/>
                      <w:szCs w:val="21"/>
                      <w:highlight w:val="none"/>
                      <w:u w:val="single" w:color="auto"/>
                      <w:lang w:val="en-US" w:eastAsia="zh-CN"/>
                    </w:rPr>
                    <w:t>高铁连接板</w:t>
                  </w:r>
                </w:p>
              </w:tc>
            </w:tr>
            <w:tr w14:paraId="56961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526" w:type="dxa"/>
                  <w:noWrap w:val="0"/>
                  <w:vAlign w:val="center"/>
                </w:tcPr>
                <w:p w14:paraId="498C17EC">
                  <w:pPr>
                    <w:jc w:val="center"/>
                    <w:rPr>
                      <w:rFonts w:hint="default" w:ascii="Times New Roman" w:hAnsi="Times New Roman" w:cs="Times New Roman"/>
                      <w:color w:val="auto"/>
                      <w:szCs w:val="21"/>
                      <w:highlight w:val="none"/>
                      <w:u w:val="single" w:color="auto"/>
                      <w:lang w:val="en-US" w:eastAsia="zh-CN"/>
                    </w:rPr>
                  </w:pPr>
                  <w:r>
                    <w:rPr>
                      <w:rFonts w:hint="default" w:ascii="Times New Roman" w:hAnsi="Times New Roman" w:cs="Times New Roman"/>
                      <w:color w:val="auto"/>
                      <w:szCs w:val="21"/>
                      <w:highlight w:val="none"/>
                      <w:u w:val="single" w:color="auto"/>
                      <w:lang w:eastAsia="zh-CN"/>
                    </w:rPr>
                    <w:t>丙烯酸酯类树脂涂料</w:t>
                  </w:r>
                  <w:r>
                    <w:rPr>
                      <w:rFonts w:hint="eastAsia" w:cs="Times New Roman"/>
                      <w:color w:val="auto"/>
                      <w:szCs w:val="21"/>
                      <w:highlight w:val="none"/>
                      <w:u w:val="single" w:color="auto"/>
                      <w:lang w:eastAsia="zh-CN"/>
                    </w:rPr>
                    <w:t>（</w:t>
                  </w:r>
                  <w:r>
                    <w:rPr>
                      <w:rFonts w:hint="eastAsia" w:cs="Times New Roman"/>
                      <w:color w:val="auto"/>
                      <w:szCs w:val="21"/>
                      <w:highlight w:val="none"/>
                      <w:u w:val="single" w:color="auto"/>
                      <w:lang w:val="en-US" w:eastAsia="zh-CN"/>
                    </w:rPr>
                    <w:t>面漆</w:t>
                  </w:r>
                  <w:r>
                    <w:rPr>
                      <w:rFonts w:hint="eastAsia" w:cs="Times New Roman"/>
                      <w:color w:val="auto"/>
                      <w:szCs w:val="21"/>
                      <w:highlight w:val="none"/>
                      <w:u w:val="single" w:color="auto"/>
                      <w:lang w:eastAsia="zh-CN"/>
                    </w:rPr>
                    <w:t>）</w:t>
                  </w:r>
                </w:p>
              </w:tc>
              <w:tc>
                <w:tcPr>
                  <w:tcW w:w="2340" w:type="dxa"/>
                  <w:noWrap w:val="0"/>
                  <w:vAlign w:val="center"/>
                </w:tcPr>
                <w:p w14:paraId="3073CFDD">
                  <w:pPr>
                    <w:widowControl/>
                    <w:spacing w:line="260" w:lineRule="exact"/>
                    <w:jc w:val="center"/>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丙烯酸树脂：40%</w:t>
                  </w:r>
                </w:p>
                <w:p w14:paraId="2FA100BA">
                  <w:pPr>
                    <w:widowControl/>
                    <w:spacing w:line="260" w:lineRule="exact"/>
                    <w:jc w:val="center"/>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各色颜填料：15%</w:t>
                  </w:r>
                </w:p>
                <w:p w14:paraId="512E36BD">
                  <w:pPr>
                    <w:widowControl/>
                    <w:spacing w:line="260" w:lineRule="exact"/>
                    <w:jc w:val="center"/>
                    <w:rPr>
                      <w:rFonts w:hint="eastAsia"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 xml:space="preserve"> 二甲苯：30%</w:t>
                  </w:r>
                </w:p>
                <w:p w14:paraId="13D40688">
                  <w:pPr>
                    <w:widowControl/>
                    <w:spacing w:line="260" w:lineRule="exact"/>
                    <w:jc w:val="center"/>
                    <w:rPr>
                      <w:rFonts w:hint="eastAsia"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 xml:space="preserve"> 醋酸丁酯：15%</w:t>
                  </w:r>
                </w:p>
              </w:tc>
              <w:tc>
                <w:tcPr>
                  <w:tcW w:w="2683" w:type="dxa"/>
                  <w:noWrap w:val="0"/>
                  <w:vAlign w:val="center"/>
                </w:tcPr>
                <w:p w14:paraId="1B702E80">
                  <w:pPr>
                    <w:widowControl/>
                    <w:spacing w:line="260" w:lineRule="exact"/>
                    <w:jc w:val="center"/>
                    <w:rPr>
                      <w:rFonts w:hint="eastAsia"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固体份55%；VOC45%（二甲苯30%）</w:t>
                  </w:r>
                </w:p>
              </w:tc>
              <w:tc>
                <w:tcPr>
                  <w:tcW w:w="1329" w:type="dxa"/>
                  <w:vMerge w:val="continue"/>
                  <w:noWrap w:val="0"/>
                  <w:vAlign w:val="center"/>
                </w:tcPr>
                <w:p w14:paraId="7F68FF23">
                  <w:pPr>
                    <w:jc w:val="center"/>
                    <w:rPr>
                      <w:rFonts w:hint="eastAsia"/>
                      <w:color w:val="auto"/>
                      <w:szCs w:val="21"/>
                      <w:highlight w:val="none"/>
                      <w:u w:val="single" w:color="auto"/>
                    </w:rPr>
                  </w:pPr>
                </w:p>
              </w:tc>
            </w:tr>
            <w:tr w14:paraId="43B82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526" w:type="dxa"/>
                  <w:noWrap w:val="0"/>
                  <w:vAlign w:val="center"/>
                </w:tcPr>
                <w:p w14:paraId="1AF7823C">
                  <w:pPr>
                    <w:jc w:val="center"/>
                    <w:rPr>
                      <w:rFonts w:hint="default" w:ascii="Times New Roman" w:hAnsi="Times New Roman" w:cs="Times New Roman"/>
                      <w:color w:val="auto"/>
                      <w:szCs w:val="21"/>
                      <w:highlight w:val="none"/>
                      <w:u w:val="single" w:color="auto"/>
                      <w:lang w:eastAsia="zh-CN"/>
                    </w:rPr>
                  </w:pPr>
                  <w:r>
                    <w:rPr>
                      <w:rFonts w:hint="default" w:ascii="Times New Roman" w:hAnsi="Times New Roman" w:cs="Times New Roman"/>
                      <w:color w:val="auto"/>
                      <w:szCs w:val="21"/>
                      <w:highlight w:val="none"/>
                      <w:u w:val="single" w:color="auto"/>
                      <w:lang w:eastAsia="zh-CN"/>
                    </w:rPr>
                    <w:t>环氧富锌底漆</w:t>
                  </w:r>
                </w:p>
              </w:tc>
              <w:tc>
                <w:tcPr>
                  <w:tcW w:w="2340" w:type="dxa"/>
                  <w:noWrap w:val="0"/>
                  <w:vAlign w:val="center"/>
                </w:tcPr>
                <w:p w14:paraId="1B0C0BF2">
                  <w:pPr>
                    <w:widowControl/>
                    <w:spacing w:line="260" w:lineRule="exact"/>
                    <w:jc w:val="center"/>
                    <w:rPr>
                      <w:rFonts w:hint="default"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羟基丙烯酸树脂</w:t>
                  </w:r>
                  <w:r>
                    <w:rPr>
                      <w:rFonts w:hint="eastAsia" w:cs="Times New Roman"/>
                      <w:b w:val="0"/>
                      <w:bCs w:val="0"/>
                      <w:color w:val="auto"/>
                      <w:sz w:val="21"/>
                      <w:szCs w:val="21"/>
                      <w:highlight w:val="none"/>
                      <w:u w:val="single" w:color="auto"/>
                      <w:lang w:val="en-US" w:eastAsia="zh-CN"/>
                    </w:rPr>
                    <w:t>：65%</w:t>
                  </w:r>
                </w:p>
                <w:p w14:paraId="4D06EAEB">
                  <w:pPr>
                    <w:widowControl/>
                    <w:spacing w:line="260" w:lineRule="exact"/>
                    <w:jc w:val="center"/>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二甲苯</w:t>
                  </w:r>
                  <w:r>
                    <w:rPr>
                      <w:rFonts w:hint="eastAsia" w:cs="Times New Roman"/>
                      <w:b w:val="0"/>
                      <w:bCs w:val="0"/>
                      <w:color w:val="auto"/>
                      <w:sz w:val="21"/>
                      <w:szCs w:val="21"/>
                      <w:highlight w:val="none"/>
                      <w:u w:val="single" w:color="auto"/>
                      <w:lang w:val="en-US" w:eastAsia="zh-CN"/>
                    </w:rPr>
                    <w:t>：5%</w:t>
                  </w:r>
                </w:p>
                <w:p w14:paraId="30B2E2AC">
                  <w:pPr>
                    <w:widowControl/>
                    <w:spacing w:line="260" w:lineRule="exact"/>
                    <w:jc w:val="center"/>
                    <w:rPr>
                      <w:rFonts w:hint="default"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丙二醇甲醚醋酸酯</w:t>
                  </w:r>
                  <w:r>
                    <w:rPr>
                      <w:rFonts w:hint="eastAsia" w:cs="Times New Roman"/>
                      <w:b w:val="0"/>
                      <w:bCs w:val="0"/>
                      <w:color w:val="auto"/>
                      <w:sz w:val="21"/>
                      <w:szCs w:val="21"/>
                      <w:highlight w:val="none"/>
                      <w:u w:val="single" w:color="auto"/>
                      <w:lang w:val="en-US" w:eastAsia="zh-CN"/>
                    </w:rPr>
                    <w:t>：3%</w:t>
                  </w:r>
                </w:p>
                <w:p w14:paraId="3F176F8B">
                  <w:pPr>
                    <w:widowControl/>
                    <w:spacing w:line="260" w:lineRule="exact"/>
                    <w:jc w:val="center"/>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醋酸正丁酯</w:t>
                  </w:r>
                  <w:r>
                    <w:rPr>
                      <w:rFonts w:hint="eastAsia" w:cs="Times New Roman"/>
                      <w:b w:val="0"/>
                      <w:bCs w:val="0"/>
                      <w:color w:val="auto"/>
                      <w:sz w:val="21"/>
                      <w:szCs w:val="21"/>
                      <w:highlight w:val="none"/>
                      <w:u w:val="single" w:color="auto"/>
                      <w:lang w:val="en-US" w:eastAsia="zh-CN"/>
                    </w:rPr>
                    <w:t>：2%</w:t>
                  </w:r>
                </w:p>
                <w:p w14:paraId="4111AF1C">
                  <w:pPr>
                    <w:widowControl/>
                    <w:spacing w:line="260" w:lineRule="exact"/>
                    <w:jc w:val="center"/>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钛白粉</w:t>
                  </w:r>
                  <w:r>
                    <w:rPr>
                      <w:rFonts w:hint="eastAsia" w:cs="Times New Roman"/>
                      <w:b w:val="0"/>
                      <w:bCs w:val="0"/>
                      <w:color w:val="auto"/>
                      <w:sz w:val="21"/>
                      <w:szCs w:val="21"/>
                      <w:highlight w:val="none"/>
                      <w:u w:val="single" w:color="auto"/>
                      <w:lang w:val="en-US" w:eastAsia="zh-CN"/>
                    </w:rPr>
                    <w:t>：25%</w:t>
                  </w:r>
                </w:p>
              </w:tc>
              <w:tc>
                <w:tcPr>
                  <w:tcW w:w="2683" w:type="dxa"/>
                  <w:noWrap w:val="0"/>
                  <w:vAlign w:val="center"/>
                </w:tcPr>
                <w:p w14:paraId="7C5DE358">
                  <w:pPr>
                    <w:widowControl/>
                    <w:spacing w:line="260" w:lineRule="exact"/>
                    <w:jc w:val="center"/>
                    <w:rPr>
                      <w:rFonts w:hint="eastAsia"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固体份90%；VOC10%（二甲苯5%）</w:t>
                  </w:r>
                </w:p>
              </w:tc>
              <w:tc>
                <w:tcPr>
                  <w:tcW w:w="1329" w:type="dxa"/>
                  <w:noWrap w:val="0"/>
                  <w:vAlign w:val="center"/>
                </w:tcPr>
                <w:p w14:paraId="162F6980">
                  <w:pPr>
                    <w:jc w:val="center"/>
                    <w:rPr>
                      <w:rFonts w:hint="default" w:eastAsia="宋体"/>
                      <w:color w:val="auto"/>
                      <w:szCs w:val="21"/>
                      <w:highlight w:val="none"/>
                      <w:u w:val="single" w:color="auto"/>
                      <w:lang w:val="en-US" w:eastAsia="zh-CN"/>
                    </w:rPr>
                  </w:pPr>
                  <w:r>
                    <w:rPr>
                      <w:rFonts w:hint="eastAsia" w:ascii="Calibri" w:eastAsia="宋体"/>
                      <w:color w:val="auto"/>
                      <w:szCs w:val="21"/>
                      <w:highlight w:val="none"/>
                      <w:u w:val="single" w:color="auto"/>
                      <w:lang w:val="en-US" w:eastAsia="zh-CN"/>
                    </w:rPr>
                    <w:t>风扇、风罩</w:t>
                  </w:r>
                </w:p>
              </w:tc>
            </w:tr>
            <w:tr w14:paraId="0D635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526" w:type="dxa"/>
                  <w:noWrap w:val="0"/>
                  <w:vAlign w:val="center"/>
                </w:tcPr>
                <w:p w14:paraId="084A843B">
                  <w:pPr>
                    <w:widowControl/>
                    <w:spacing w:line="260" w:lineRule="exact"/>
                    <w:jc w:val="center"/>
                    <w:rPr>
                      <w:rFonts w:hint="eastAsia"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固化剂</w:t>
                  </w:r>
                </w:p>
              </w:tc>
              <w:tc>
                <w:tcPr>
                  <w:tcW w:w="2340" w:type="dxa"/>
                  <w:noWrap w:val="0"/>
                  <w:vAlign w:val="center"/>
                </w:tcPr>
                <w:p w14:paraId="6C272B1A">
                  <w:pPr>
                    <w:widowControl/>
                    <w:spacing w:line="260" w:lineRule="exact"/>
                    <w:jc w:val="center"/>
                    <w:rPr>
                      <w:rFonts w:hint="eastAsia"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二甲苯：50%</w:t>
                  </w:r>
                </w:p>
                <w:p w14:paraId="043662FE">
                  <w:pPr>
                    <w:widowControl/>
                    <w:spacing w:line="260" w:lineRule="exact"/>
                    <w:jc w:val="center"/>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醋酸丁酯：50%</w:t>
                  </w:r>
                </w:p>
              </w:tc>
              <w:tc>
                <w:tcPr>
                  <w:tcW w:w="2683" w:type="dxa"/>
                  <w:noWrap w:val="0"/>
                  <w:vAlign w:val="center"/>
                </w:tcPr>
                <w:p w14:paraId="2298A8C2">
                  <w:pPr>
                    <w:widowControl/>
                    <w:spacing w:line="260" w:lineRule="exact"/>
                    <w:jc w:val="center"/>
                    <w:rPr>
                      <w:rFonts w:hint="eastAsia"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无固体份；VOCs按100%，其中二甲苯50%</w:t>
                  </w:r>
                </w:p>
              </w:tc>
              <w:tc>
                <w:tcPr>
                  <w:tcW w:w="1329" w:type="dxa"/>
                  <w:noWrap w:val="0"/>
                  <w:vAlign w:val="center"/>
                </w:tcPr>
                <w:p w14:paraId="3CB03778">
                  <w:pPr>
                    <w:widowControl/>
                    <w:spacing w:line="260" w:lineRule="exact"/>
                    <w:jc w:val="center"/>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w:t>
                  </w:r>
                </w:p>
              </w:tc>
            </w:tr>
            <w:tr w14:paraId="62C40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526" w:type="dxa"/>
                  <w:noWrap w:val="0"/>
                  <w:vAlign w:val="center"/>
                </w:tcPr>
                <w:p w14:paraId="0E6AC172">
                  <w:pPr>
                    <w:widowControl/>
                    <w:spacing w:line="260" w:lineRule="exact"/>
                    <w:jc w:val="center"/>
                    <w:rPr>
                      <w:rFonts w:hint="eastAsia" w:ascii="Times New Roman" w:hAnsi="Times New Roman" w:eastAsia="宋体" w:cs="Times New Roman"/>
                      <w:b w:val="0"/>
                      <w:bCs w:val="0"/>
                      <w:color w:val="auto"/>
                      <w:sz w:val="21"/>
                      <w:szCs w:val="21"/>
                      <w:highlight w:val="none"/>
                      <w:u w:val="single" w:color="auto"/>
                      <w:lang w:val="en-US" w:eastAsia="zh-CN"/>
                    </w:rPr>
                  </w:pPr>
                  <w:r>
                    <w:rPr>
                      <w:rFonts w:hint="default" w:ascii="Times New Roman" w:hAnsi="Times New Roman" w:eastAsia="宋体" w:cs="Times New Roman"/>
                      <w:b w:val="0"/>
                      <w:bCs w:val="0"/>
                      <w:color w:val="auto"/>
                      <w:sz w:val="21"/>
                      <w:szCs w:val="21"/>
                      <w:highlight w:val="none"/>
                      <w:u w:val="single" w:color="auto"/>
                      <w:lang w:val="en-US" w:eastAsia="zh-CN"/>
                    </w:rPr>
                    <w:t>稀释剂</w:t>
                  </w:r>
                </w:p>
              </w:tc>
              <w:tc>
                <w:tcPr>
                  <w:tcW w:w="2340" w:type="dxa"/>
                  <w:noWrap w:val="0"/>
                  <w:vAlign w:val="center"/>
                </w:tcPr>
                <w:p w14:paraId="799B4AF1">
                  <w:pPr>
                    <w:widowControl/>
                    <w:spacing w:line="260" w:lineRule="exact"/>
                    <w:jc w:val="center"/>
                    <w:rPr>
                      <w:rFonts w:hint="eastAsia"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 xml:space="preserve"> 二甲苯：50%</w:t>
                  </w:r>
                </w:p>
                <w:p w14:paraId="3C3CC5D0">
                  <w:pPr>
                    <w:widowControl/>
                    <w:spacing w:line="260" w:lineRule="exact"/>
                    <w:jc w:val="center"/>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 xml:space="preserve"> 乙酸丁酯：20%</w:t>
                  </w:r>
                </w:p>
                <w:p w14:paraId="723658C8">
                  <w:pPr>
                    <w:widowControl/>
                    <w:spacing w:line="260" w:lineRule="exact"/>
                    <w:jc w:val="center"/>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甲苯：30%</w:t>
                  </w:r>
                </w:p>
              </w:tc>
              <w:tc>
                <w:tcPr>
                  <w:tcW w:w="2683" w:type="dxa"/>
                  <w:noWrap w:val="0"/>
                  <w:vAlign w:val="center"/>
                </w:tcPr>
                <w:p w14:paraId="26745A7E">
                  <w:pPr>
                    <w:widowControl/>
                    <w:spacing w:line="260" w:lineRule="exact"/>
                    <w:jc w:val="center"/>
                    <w:rPr>
                      <w:rFonts w:hint="eastAsia"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无固体份；VOCs按100%，其中二甲苯50%，甲苯30%，其他VOCs20%</w:t>
                  </w:r>
                </w:p>
              </w:tc>
              <w:tc>
                <w:tcPr>
                  <w:tcW w:w="1329" w:type="dxa"/>
                  <w:noWrap w:val="0"/>
                  <w:vAlign w:val="center"/>
                </w:tcPr>
                <w:p w14:paraId="1C43C816">
                  <w:pPr>
                    <w:widowControl/>
                    <w:spacing w:line="260" w:lineRule="exact"/>
                    <w:jc w:val="center"/>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w:t>
                  </w:r>
                </w:p>
              </w:tc>
            </w:tr>
          </w:tbl>
          <w:p w14:paraId="2EF0A1E9">
            <w:pPr>
              <w:adjustRightInd w:val="0"/>
              <w:snapToGrid w:val="0"/>
              <w:spacing w:beforeLines="50" w:line="360" w:lineRule="auto"/>
              <w:ind w:firstLine="480" w:firstLineChars="200"/>
              <w:rPr>
                <w:rFonts w:hAnsi="宋体"/>
                <w:color w:val="auto"/>
                <w:sz w:val="24"/>
                <w:highlight w:val="none"/>
                <w:u w:val="single" w:color="auto"/>
              </w:rPr>
            </w:pPr>
            <w:r>
              <w:rPr>
                <w:rFonts w:hint="eastAsia" w:hAnsi="宋体"/>
                <w:color w:val="auto"/>
                <w:sz w:val="24"/>
                <w:highlight w:val="none"/>
                <w:u w:val="single" w:color="auto"/>
              </w:rPr>
              <w:t>比例系数由建设单位提供，</w:t>
            </w:r>
            <w:r>
              <w:rPr>
                <w:rFonts w:hint="eastAsia" w:hAnsi="宋体"/>
                <w:color w:val="auto"/>
                <w:sz w:val="24"/>
                <w:highlight w:val="none"/>
                <w:u w:val="single" w:color="auto"/>
                <w:lang w:val="en-US" w:eastAsia="zh-CN"/>
              </w:rPr>
              <w:t>涂料</w:t>
            </w:r>
            <w:r>
              <w:rPr>
                <w:rFonts w:hint="eastAsia" w:hAnsi="宋体"/>
                <w:color w:val="auto"/>
                <w:sz w:val="24"/>
                <w:highlight w:val="none"/>
                <w:u w:val="single" w:color="auto"/>
              </w:rPr>
              <w:t>、</w:t>
            </w:r>
            <w:r>
              <w:rPr>
                <w:rFonts w:hint="eastAsia" w:hAnsi="宋体"/>
                <w:color w:val="auto"/>
                <w:sz w:val="24"/>
                <w:highlight w:val="none"/>
                <w:u w:val="single" w:color="auto"/>
                <w:lang w:val="en-US" w:eastAsia="zh-CN"/>
              </w:rPr>
              <w:t>固化剂、</w:t>
            </w:r>
            <w:r>
              <w:rPr>
                <w:rFonts w:hint="eastAsia" w:hAnsi="宋体"/>
                <w:color w:val="auto"/>
                <w:sz w:val="24"/>
                <w:highlight w:val="none"/>
                <w:u w:val="single" w:color="auto"/>
              </w:rPr>
              <w:t>稀释剂配比见</w:t>
            </w:r>
            <w:r>
              <w:rPr>
                <w:rFonts w:hint="eastAsia" w:hAnsi="宋体"/>
                <w:color w:val="auto"/>
                <w:sz w:val="24"/>
                <w:highlight w:val="none"/>
                <w:u w:val="single" w:color="auto"/>
                <w:lang w:val="en-US" w:eastAsia="zh-CN"/>
              </w:rPr>
              <w:t>下表</w:t>
            </w:r>
            <w:r>
              <w:rPr>
                <w:rFonts w:hint="eastAsia" w:hAnsi="宋体"/>
                <w:color w:val="auto"/>
                <w:sz w:val="24"/>
                <w:highlight w:val="none"/>
                <w:u w:val="single" w:color="auto"/>
              </w:rPr>
              <w:t>。</w:t>
            </w:r>
          </w:p>
          <w:p w14:paraId="787450A7">
            <w:pPr>
              <w:adjustRightInd w:val="0"/>
              <w:snapToGrid w:val="0"/>
              <w:spacing w:line="300" w:lineRule="exact"/>
              <w:ind w:firstLine="422" w:firstLineChars="200"/>
              <w:jc w:val="center"/>
              <w:rPr>
                <w:rFonts w:hAnsi="宋体"/>
                <w:b/>
                <w:color w:val="auto"/>
                <w:szCs w:val="21"/>
                <w:highlight w:val="none"/>
                <w:u w:val="single" w:color="auto"/>
              </w:rPr>
            </w:pPr>
            <w:r>
              <w:rPr>
                <w:rFonts w:hAnsi="宋体"/>
                <w:b/>
                <w:color w:val="auto"/>
                <w:szCs w:val="21"/>
                <w:highlight w:val="none"/>
                <w:u w:val="single" w:color="auto"/>
              </w:rPr>
              <w:t>表</w:t>
            </w:r>
            <w:r>
              <w:rPr>
                <w:rFonts w:hint="eastAsia" w:hAnsi="宋体"/>
                <w:b/>
                <w:color w:val="auto"/>
                <w:szCs w:val="21"/>
                <w:highlight w:val="none"/>
                <w:u w:val="single" w:color="auto"/>
                <w:lang w:val="en-US" w:eastAsia="zh-CN"/>
              </w:rPr>
              <w:t>2-4 涂料</w:t>
            </w:r>
            <w:r>
              <w:rPr>
                <w:rFonts w:hint="eastAsia" w:hAnsi="宋体"/>
                <w:b/>
                <w:color w:val="auto"/>
                <w:szCs w:val="21"/>
                <w:highlight w:val="none"/>
                <w:u w:val="single" w:color="auto"/>
              </w:rPr>
              <w:t>、稀释剂成分</w:t>
            </w:r>
            <w:r>
              <w:rPr>
                <w:rFonts w:hAnsi="宋体"/>
                <w:b/>
                <w:color w:val="auto"/>
                <w:szCs w:val="21"/>
                <w:highlight w:val="none"/>
                <w:u w:val="single" w:color="auto"/>
              </w:rPr>
              <w:t>一览表</w:t>
            </w:r>
          </w:p>
          <w:tbl>
            <w:tblPr>
              <w:tblStyle w:val="31"/>
              <w:tblW w:w="7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1"/>
              <w:gridCol w:w="4938"/>
            </w:tblGrid>
            <w:tr w14:paraId="350E1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2841" w:type="dxa"/>
                  <w:noWrap w:val="0"/>
                  <w:vAlign w:val="center"/>
                </w:tcPr>
                <w:p w14:paraId="6A2B78BF">
                  <w:pPr>
                    <w:jc w:val="center"/>
                    <w:rPr>
                      <w:b/>
                      <w:bCs/>
                      <w:color w:val="auto"/>
                      <w:szCs w:val="21"/>
                      <w:highlight w:val="none"/>
                      <w:u w:val="single" w:color="auto"/>
                    </w:rPr>
                  </w:pPr>
                  <w:r>
                    <w:rPr>
                      <w:rFonts w:hint="eastAsia"/>
                      <w:b/>
                      <w:bCs/>
                      <w:color w:val="auto"/>
                      <w:szCs w:val="21"/>
                      <w:highlight w:val="none"/>
                      <w:u w:val="single" w:color="auto"/>
                    </w:rPr>
                    <w:t>项目</w:t>
                  </w:r>
                </w:p>
              </w:tc>
              <w:tc>
                <w:tcPr>
                  <w:tcW w:w="4938" w:type="dxa"/>
                  <w:noWrap w:val="0"/>
                  <w:vAlign w:val="center"/>
                </w:tcPr>
                <w:p w14:paraId="5EDEA849">
                  <w:pPr>
                    <w:spacing w:line="260" w:lineRule="exact"/>
                    <w:jc w:val="center"/>
                    <w:rPr>
                      <w:b/>
                      <w:bCs/>
                      <w:color w:val="auto"/>
                      <w:szCs w:val="21"/>
                      <w:highlight w:val="none"/>
                      <w:u w:val="single" w:color="auto"/>
                    </w:rPr>
                  </w:pPr>
                  <w:r>
                    <w:rPr>
                      <w:rFonts w:hint="eastAsia"/>
                      <w:b/>
                      <w:bCs/>
                      <w:color w:val="auto"/>
                      <w:szCs w:val="21"/>
                      <w:highlight w:val="none"/>
                      <w:u w:val="single" w:color="auto"/>
                    </w:rPr>
                    <w:t>油漆（含稀释剂）</w:t>
                  </w:r>
                </w:p>
              </w:tc>
            </w:tr>
            <w:tr w14:paraId="10581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841" w:type="dxa"/>
                  <w:noWrap w:val="0"/>
                  <w:vAlign w:val="center"/>
                </w:tcPr>
                <w:p w14:paraId="1E6948DD">
                  <w:pPr>
                    <w:jc w:val="center"/>
                    <w:rPr>
                      <w:color w:val="auto"/>
                      <w:szCs w:val="21"/>
                      <w:highlight w:val="none"/>
                      <w:u w:val="single" w:color="auto"/>
                    </w:rPr>
                  </w:pPr>
                  <w:r>
                    <w:rPr>
                      <w:rFonts w:hint="eastAsia"/>
                      <w:color w:val="auto"/>
                      <w:szCs w:val="21"/>
                      <w:highlight w:val="none"/>
                      <w:u w:val="single" w:color="auto"/>
                    </w:rPr>
                    <w:t>比例系数：（油漆：</w:t>
                  </w:r>
                  <w:r>
                    <w:rPr>
                      <w:rFonts w:hint="eastAsia" w:ascii="Calibri" w:eastAsia="宋体"/>
                      <w:color w:val="auto"/>
                      <w:szCs w:val="21"/>
                      <w:highlight w:val="none"/>
                      <w:u w:val="single" w:color="auto"/>
                      <w:lang w:val="en-US" w:eastAsia="zh-CN"/>
                    </w:rPr>
                    <w:t>固化</w:t>
                  </w:r>
                  <w:r>
                    <w:rPr>
                      <w:rFonts w:hint="eastAsia"/>
                      <w:color w:val="auto"/>
                      <w:szCs w:val="21"/>
                      <w:highlight w:val="none"/>
                      <w:u w:val="single" w:color="auto"/>
                    </w:rPr>
                    <w:t>剂：稀释剂）</w:t>
                  </w:r>
                </w:p>
              </w:tc>
              <w:tc>
                <w:tcPr>
                  <w:tcW w:w="4938" w:type="dxa"/>
                  <w:noWrap w:val="0"/>
                  <w:vAlign w:val="center"/>
                </w:tcPr>
                <w:p w14:paraId="36E0AC34">
                  <w:pPr>
                    <w:widowControl/>
                    <w:spacing w:line="260" w:lineRule="exact"/>
                    <w:jc w:val="center"/>
                    <w:rPr>
                      <w:rFonts w:hint="default"/>
                      <w:bCs/>
                      <w:color w:val="auto"/>
                      <w:szCs w:val="21"/>
                      <w:highlight w:val="yellow"/>
                      <w:u w:val="single" w:color="auto"/>
                      <w:lang w:val="en-US"/>
                    </w:rPr>
                  </w:pPr>
                  <w:r>
                    <w:rPr>
                      <w:rFonts w:hint="eastAsia" w:ascii="Times New Roman" w:hAnsi="Times New Roman" w:eastAsia="宋体" w:cs="Times New Roman"/>
                      <w:b w:val="0"/>
                      <w:bCs w:val="0"/>
                      <w:color w:val="auto"/>
                      <w:sz w:val="21"/>
                      <w:szCs w:val="21"/>
                      <w:highlight w:val="none"/>
                      <w:u w:val="single" w:color="auto"/>
                      <w:lang w:val="en-US" w:eastAsia="zh-CN"/>
                    </w:rPr>
                    <w:t>20：1：4</w:t>
                  </w:r>
                </w:p>
              </w:tc>
            </w:tr>
          </w:tbl>
          <w:p w14:paraId="05A6D5E5">
            <w:pPr>
              <w:keepNext w:val="0"/>
              <w:keepLines w:val="0"/>
              <w:pageBreakBefore w:val="0"/>
              <w:widowControl/>
              <w:kinsoku/>
              <w:wordWrap/>
              <w:overflowPunct/>
              <w:topLinePunct w:val="0"/>
              <w:autoSpaceDE/>
              <w:autoSpaceDN/>
              <w:bidi w:val="0"/>
              <w:adjustRightInd w:val="0"/>
              <w:snapToGrid w:val="0"/>
              <w:spacing w:line="460" w:lineRule="exact"/>
              <w:ind w:firstLine="480" w:firstLineChars="200"/>
              <w:textAlignment w:val="auto"/>
              <w:rPr>
                <w:color w:val="auto"/>
                <w:sz w:val="24"/>
                <w:highlight w:val="none"/>
                <w:u w:val="single" w:color="auto"/>
              </w:rPr>
            </w:pPr>
            <w:r>
              <w:rPr>
                <w:color w:val="auto"/>
                <w:sz w:val="24"/>
                <w:highlight w:val="none"/>
                <w:u w:val="single" w:color="auto"/>
              </w:rPr>
              <w:t>根据《涂装工艺与设备》</w:t>
            </w:r>
            <w:r>
              <w:rPr>
                <w:rFonts w:hint="eastAsia"/>
                <w:color w:val="auto"/>
                <w:sz w:val="24"/>
                <w:highlight w:val="none"/>
                <w:u w:val="single" w:color="auto"/>
              </w:rPr>
              <w:t>（</w:t>
            </w:r>
            <w:r>
              <w:rPr>
                <w:color w:val="auto"/>
                <w:sz w:val="24"/>
                <w:highlight w:val="none"/>
                <w:u w:val="single" w:color="auto"/>
              </w:rPr>
              <w:t>化学工业出版社</w:t>
            </w:r>
            <w:r>
              <w:rPr>
                <w:rFonts w:hint="eastAsia"/>
                <w:color w:val="auto"/>
                <w:sz w:val="24"/>
                <w:highlight w:val="none"/>
                <w:u w:val="single" w:color="auto"/>
              </w:rPr>
              <w:t>）</w:t>
            </w:r>
            <w:r>
              <w:rPr>
                <w:color w:val="auto"/>
                <w:sz w:val="24"/>
                <w:highlight w:val="none"/>
                <w:u w:val="single" w:color="auto"/>
              </w:rPr>
              <w:t>，涂着效率约为78%~82%，本次评价</w:t>
            </w:r>
            <w:r>
              <w:rPr>
                <w:rFonts w:hint="eastAsia" w:hAnsi="宋体"/>
                <w:color w:val="auto"/>
                <w:sz w:val="24"/>
                <w:highlight w:val="none"/>
                <w:u w:val="single" w:color="auto"/>
              </w:rPr>
              <w:t>喷涂</w:t>
            </w:r>
            <w:r>
              <w:rPr>
                <w:rFonts w:hAnsi="宋体"/>
                <w:color w:val="auto"/>
                <w:sz w:val="24"/>
                <w:highlight w:val="none"/>
                <w:u w:val="single" w:color="auto"/>
              </w:rPr>
              <w:t>固体份附着率</w:t>
            </w:r>
            <w:r>
              <w:rPr>
                <w:rFonts w:hint="eastAsia" w:hAnsi="宋体"/>
                <w:color w:val="auto"/>
                <w:sz w:val="24"/>
                <w:highlight w:val="none"/>
                <w:u w:val="single" w:color="auto"/>
              </w:rPr>
              <w:t>按</w:t>
            </w:r>
            <w:r>
              <w:rPr>
                <w:rFonts w:hint="eastAsia" w:ascii="Calibri" w:eastAsia="宋体"/>
                <w:color w:val="auto"/>
                <w:sz w:val="24"/>
                <w:highlight w:val="none"/>
                <w:u w:val="single" w:color="auto"/>
                <w:lang w:val="en-US" w:eastAsia="zh-CN"/>
              </w:rPr>
              <w:t>78</w:t>
            </w:r>
            <w:r>
              <w:rPr>
                <w:color w:val="auto"/>
                <w:sz w:val="24"/>
                <w:highlight w:val="none"/>
                <w:u w:val="single" w:color="auto"/>
              </w:rPr>
              <w:t>%</w:t>
            </w:r>
            <w:r>
              <w:rPr>
                <w:rFonts w:hAnsi="宋体"/>
                <w:color w:val="auto"/>
                <w:sz w:val="24"/>
                <w:highlight w:val="none"/>
                <w:u w:val="single" w:color="auto"/>
              </w:rPr>
              <w:t>计算所需漆料的量。计算公式为：油漆年使用量</w:t>
            </w:r>
            <w:r>
              <w:rPr>
                <w:color w:val="auto"/>
                <w:sz w:val="24"/>
                <w:highlight w:val="none"/>
                <w:u w:val="single" w:color="auto"/>
              </w:rPr>
              <w:t>=</w:t>
            </w:r>
            <w:r>
              <w:rPr>
                <w:rFonts w:hAnsi="宋体"/>
                <w:color w:val="auto"/>
                <w:sz w:val="24"/>
                <w:highlight w:val="none"/>
                <w:u w:val="single" w:color="auto"/>
              </w:rPr>
              <w:t>年涂装面积</w:t>
            </w:r>
            <w:r>
              <w:rPr>
                <w:color w:val="auto"/>
                <w:sz w:val="24"/>
                <w:highlight w:val="none"/>
                <w:u w:val="single" w:color="auto"/>
              </w:rPr>
              <w:t>×</w:t>
            </w:r>
            <w:r>
              <w:rPr>
                <w:rFonts w:hAnsi="宋体"/>
                <w:color w:val="auto"/>
                <w:sz w:val="24"/>
                <w:highlight w:val="none"/>
                <w:u w:val="single" w:color="auto"/>
              </w:rPr>
              <w:t>涂装厚度</w:t>
            </w:r>
            <w:r>
              <w:rPr>
                <w:color w:val="auto"/>
                <w:sz w:val="24"/>
                <w:highlight w:val="none"/>
                <w:u w:val="single" w:color="auto"/>
              </w:rPr>
              <w:t>×</w:t>
            </w:r>
            <w:r>
              <w:rPr>
                <w:rFonts w:hAnsi="宋体"/>
                <w:color w:val="auto"/>
                <w:sz w:val="24"/>
                <w:highlight w:val="none"/>
                <w:u w:val="single" w:color="auto"/>
              </w:rPr>
              <w:t>油漆密度</w:t>
            </w:r>
            <w:r>
              <w:rPr>
                <w:color w:val="auto"/>
                <w:sz w:val="24"/>
                <w:highlight w:val="none"/>
                <w:u w:val="single" w:color="auto"/>
              </w:rPr>
              <w:t>÷</w:t>
            </w:r>
            <w:r>
              <w:rPr>
                <w:rFonts w:hAnsi="宋体"/>
                <w:color w:val="auto"/>
                <w:sz w:val="24"/>
                <w:highlight w:val="none"/>
                <w:u w:val="single" w:color="auto"/>
              </w:rPr>
              <w:t>油漆附着率。</w:t>
            </w:r>
          </w:p>
          <w:p w14:paraId="46668ED4">
            <w:pPr>
              <w:keepNext w:val="0"/>
              <w:keepLines w:val="0"/>
              <w:pageBreakBefore w:val="0"/>
              <w:widowControl/>
              <w:kinsoku/>
              <w:wordWrap/>
              <w:overflowPunct/>
              <w:topLinePunct w:val="0"/>
              <w:autoSpaceDE/>
              <w:autoSpaceDN/>
              <w:bidi w:val="0"/>
              <w:adjustRightInd w:val="0"/>
              <w:snapToGrid w:val="0"/>
              <w:spacing w:line="460" w:lineRule="exact"/>
              <w:ind w:firstLine="480" w:firstLineChars="200"/>
              <w:jc w:val="left"/>
              <w:textAlignment w:val="auto"/>
              <w:rPr>
                <w:rFonts w:ascii="Times New Roman" w:hAnsi="宋体" w:eastAsia="宋体" w:cs="Times New Roman"/>
                <w:snapToGrid/>
                <w:color w:val="auto"/>
                <w:kern w:val="2"/>
                <w:sz w:val="24"/>
                <w:szCs w:val="24"/>
                <w:highlight w:val="none"/>
                <w:u w:val="single" w:color="auto"/>
                <w:lang w:val="en-US" w:eastAsia="zh-CN" w:bidi="ar-SA"/>
              </w:rPr>
            </w:pPr>
            <w:r>
              <w:rPr>
                <w:rFonts w:ascii="Times New Roman" w:hAnsi="宋体" w:eastAsia="宋体" w:cs="Times New Roman"/>
                <w:snapToGrid/>
                <w:color w:val="auto"/>
                <w:kern w:val="2"/>
                <w:sz w:val="24"/>
                <w:szCs w:val="24"/>
                <w:highlight w:val="none"/>
                <w:u w:val="single" w:color="auto"/>
                <w:lang w:val="en-US" w:eastAsia="zh-CN" w:bidi="ar-SA"/>
              </w:rPr>
              <w:t>计算后可以得出项目油漆年使用量，整理可知产品喷漆参数详见</w:t>
            </w:r>
            <w:r>
              <w:rPr>
                <w:rFonts w:hint="eastAsia" w:ascii="Times New Roman" w:hAnsi="宋体" w:eastAsia="宋体" w:cs="Times New Roman"/>
                <w:snapToGrid/>
                <w:color w:val="auto"/>
                <w:kern w:val="2"/>
                <w:sz w:val="24"/>
                <w:szCs w:val="24"/>
                <w:highlight w:val="none"/>
                <w:u w:val="single" w:color="auto"/>
                <w:lang w:val="en-US" w:eastAsia="zh-CN" w:bidi="ar-SA"/>
              </w:rPr>
              <w:t>下表</w:t>
            </w:r>
            <w:r>
              <w:rPr>
                <w:rFonts w:hint="eastAsia" w:ascii="Times New Roman" w:hAnsi="Times New Roman" w:eastAsia="宋体" w:cs="Times New Roman"/>
                <w:snapToGrid/>
                <w:color w:val="auto"/>
                <w:kern w:val="2"/>
                <w:sz w:val="24"/>
                <w:szCs w:val="24"/>
                <w:highlight w:val="none"/>
                <w:u w:val="single" w:color="auto"/>
                <w:lang w:val="en-US" w:eastAsia="zh-CN" w:bidi="ar-SA"/>
              </w:rPr>
              <w:t>，油漆密度根据MSDS及配比系数核算</w:t>
            </w:r>
            <w:r>
              <w:rPr>
                <w:rFonts w:ascii="Times New Roman" w:hAnsi="宋体" w:eastAsia="宋体" w:cs="Times New Roman"/>
                <w:snapToGrid/>
                <w:color w:val="auto"/>
                <w:kern w:val="2"/>
                <w:sz w:val="24"/>
                <w:szCs w:val="24"/>
                <w:highlight w:val="none"/>
                <w:u w:val="single" w:color="auto"/>
                <w:lang w:val="en-US" w:eastAsia="zh-CN" w:bidi="ar-SA"/>
              </w:rPr>
              <w:t>。</w:t>
            </w:r>
          </w:p>
          <w:p w14:paraId="3FAE909D">
            <w:pPr>
              <w:adjustRightInd w:val="0"/>
              <w:snapToGrid w:val="0"/>
              <w:spacing w:line="300" w:lineRule="exact"/>
              <w:jc w:val="center"/>
              <w:rPr>
                <w:rFonts w:hAnsi="宋体"/>
                <w:b/>
                <w:color w:val="auto"/>
                <w:szCs w:val="21"/>
                <w:highlight w:val="none"/>
                <w:u w:val="single" w:color="auto"/>
              </w:rPr>
            </w:pPr>
            <w:r>
              <w:rPr>
                <w:rFonts w:hAnsi="宋体"/>
                <w:b/>
                <w:color w:val="auto"/>
                <w:szCs w:val="21"/>
                <w:highlight w:val="none"/>
                <w:u w:val="single" w:color="auto"/>
              </w:rPr>
              <w:t>表</w:t>
            </w:r>
            <w:r>
              <w:rPr>
                <w:rFonts w:hint="eastAsia" w:hAnsi="宋体"/>
                <w:b/>
                <w:color w:val="auto"/>
                <w:szCs w:val="21"/>
                <w:highlight w:val="none"/>
                <w:u w:val="single" w:color="auto"/>
                <w:lang w:val="en-US" w:eastAsia="zh-CN"/>
              </w:rPr>
              <w:t xml:space="preserve">2-5  </w:t>
            </w:r>
            <w:r>
              <w:rPr>
                <w:rFonts w:hint="eastAsia" w:hAnsi="宋体"/>
                <w:b/>
                <w:color w:val="auto"/>
                <w:szCs w:val="21"/>
                <w:highlight w:val="none"/>
                <w:u w:val="single" w:color="auto"/>
              </w:rPr>
              <w:t>油漆喷漆参数</w:t>
            </w:r>
            <w:r>
              <w:rPr>
                <w:rFonts w:hAnsi="宋体"/>
                <w:b/>
                <w:color w:val="auto"/>
                <w:szCs w:val="21"/>
                <w:highlight w:val="none"/>
                <w:u w:val="single" w:color="auto"/>
              </w:rPr>
              <w:t>一览表</w:t>
            </w:r>
          </w:p>
          <w:tbl>
            <w:tblPr>
              <w:tblStyle w:val="31"/>
              <w:tblW w:w="79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
              <w:gridCol w:w="1574"/>
              <w:gridCol w:w="836"/>
              <w:gridCol w:w="971"/>
              <w:gridCol w:w="1074"/>
              <w:gridCol w:w="583"/>
              <w:gridCol w:w="1001"/>
              <w:gridCol w:w="797"/>
              <w:gridCol w:w="740"/>
            </w:tblGrid>
            <w:tr w14:paraId="746BA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399" w:type="dxa"/>
                  <w:noWrap w:val="0"/>
                  <w:vAlign w:val="center"/>
                </w:tcPr>
                <w:p w14:paraId="173BCF5D">
                  <w:pPr>
                    <w:widowControl/>
                    <w:adjustRightInd w:val="0"/>
                    <w:snapToGrid w:val="0"/>
                    <w:spacing w:line="240" w:lineRule="auto"/>
                    <w:ind w:firstLine="0" w:firstLineChars="0"/>
                    <w:jc w:val="center"/>
                    <w:rPr>
                      <w:rFonts w:hint="default" w:ascii="Times New Roman" w:hAnsi="Times New Roman" w:eastAsia="宋体" w:cs="Times New Roman"/>
                      <w:bCs/>
                      <w:snapToGrid w:val="0"/>
                      <w:color w:val="auto"/>
                      <w:kern w:val="0"/>
                      <w:sz w:val="21"/>
                      <w:szCs w:val="21"/>
                      <w:highlight w:val="none"/>
                      <w:u w:val="single" w:color="auto"/>
                      <w:lang w:val="en-US" w:eastAsia="zh-CN" w:bidi="ar-SA"/>
                    </w:rPr>
                  </w:pPr>
                  <w:r>
                    <w:rPr>
                      <w:rFonts w:hint="default" w:ascii="Times New Roman" w:hAnsi="Times New Roman" w:eastAsia="宋体" w:cs="Times New Roman"/>
                      <w:bCs/>
                      <w:snapToGrid w:val="0"/>
                      <w:color w:val="auto"/>
                      <w:kern w:val="0"/>
                      <w:sz w:val="21"/>
                      <w:szCs w:val="21"/>
                      <w:highlight w:val="none"/>
                      <w:u w:val="single" w:color="auto"/>
                      <w:lang w:val="en-US" w:eastAsia="zh-CN" w:bidi="ar-SA"/>
                    </w:rPr>
                    <w:t>序号</w:t>
                  </w:r>
                </w:p>
              </w:tc>
              <w:tc>
                <w:tcPr>
                  <w:tcW w:w="1574" w:type="dxa"/>
                  <w:noWrap w:val="0"/>
                  <w:vAlign w:val="center"/>
                </w:tcPr>
                <w:p w14:paraId="3E3E0A5B">
                  <w:pPr>
                    <w:widowControl/>
                    <w:adjustRightInd w:val="0"/>
                    <w:snapToGrid w:val="0"/>
                    <w:spacing w:line="240" w:lineRule="auto"/>
                    <w:ind w:firstLine="0" w:firstLineChars="0"/>
                    <w:jc w:val="center"/>
                    <w:rPr>
                      <w:rFonts w:hint="default" w:ascii="Times New Roman" w:hAnsi="Times New Roman" w:eastAsia="宋体" w:cs="Times New Roman"/>
                      <w:bCs/>
                      <w:snapToGrid w:val="0"/>
                      <w:color w:val="auto"/>
                      <w:kern w:val="0"/>
                      <w:sz w:val="21"/>
                      <w:szCs w:val="21"/>
                      <w:highlight w:val="none"/>
                      <w:u w:val="single" w:color="auto"/>
                      <w:lang w:val="en-US" w:eastAsia="zh-CN" w:bidi="ar-SA"/>
                    </w:rPr>
                  </w:pPr>
                  <w:r>
                    <w:rPr>
                      <w:rFonts w:hint="default" w:ascii="Times New Roman" w:hAnsi="Times New Roman" w:eastAsia="宋体" w:cs="Times New Roman"/>
                      <w:bCs/>
                      <w:snapToGrid w:val="0"/>
                      <w:color w:val="auto"/>
                      <w:kern w:val="0"/>
                      <w:sz w:val="21"/>
                      <w:szCs w:val="21"/>
                      <w:highlight w:val="none"/>
                      <w:u w:val="single" w:color="auto"/>
                      <w:lang w:val="en-US" w:eastAsia="zh-CN" w:bidi="ar-SA"/>
                    </w:rPr>
                    <w:t>漆料名称</w:t>
                  </w:r>
                </w:p>
              </w:tc>
              <w:tc>
                <w:tcPr>
                  <w:tcW w:w="836" w:type="dxa"/>
                  <w:noWrap w:val="0"/>
                  <w:vAlign w:val="center"/>
                </w:tcPr>
                <w:p w14:paraId="35784FC1">
                  <w:pPr>
                    <w:widowControl/>
                    <w:adjustRightInd w:val="0"/>
                    <w:snapToGrid w:val="0"/>
                    <w:spacing w:line="240" w:lineRule="auto"/>
                    <w:ind w:firstLine="0" w:firstLineChars="0"/>
                    <w:jc w:val="center"/>
                    <w:rPr>
                      <w:rFonts w:hint="eastAsia" w:ascii="Times New Roman" w:hAnsi="Times New Roman" w:eastAsia="宋体" w:cs="Times New Roman"/>
                      <w:bCs/>
                      <w:snapToGrid w:val="0"/>
                      <w:color w:val="auto"/>
                      <w:kern w:val="0"/>
                      <w:sz w:val="21"/>
                      <w:szCs w:val="21"/>
                      <w:highlight w:val="none"/>
                      <w:u w:val="single" w:color="auto"/>
                      <w:lang w:val="en-US" w:eastAsia="zh-CN" w:bidi="ar-SA"/>
                    </w:rPr>
                  </w:pPr>
                  <w:r>
                    <w:rPr>
                      <w:rFonts w:hint="default" w:ascii="Times New Roman" w:hAnsi="Times New Roman" w:eastAsia="宋体" w:cs="Times New Roman"/>
                      <w:bCs/>
                      <w:snapToGrid w:val="0"/>
                      <w:color w:val="auto"/>
                      <w:kern w:val="0"/>
                      <w:sz w:val="21"/>
                      <w:szCs w:val="21"/>
                      <w:highlight w:val="none"/>
                      <w:u w:val="single" w:color="auto"/>
                      <w:lang w:val="en-US" w:eastAsia="zh-CN" w:bidi="ar-SA"/>
                    </w:rPr>
                    <w:t>年涂装面积</w:t>
                  </w:r>
                  <w:r>
                    <w:rPr>
                      <w:rFonts w:hint="eastAsia" w:ascii="Times New Roman" w:hAnsi="Times New Roman" w:eastAsia="宋体" w:cs="Times New Roman"/>
                      <w:bCs/>
                      <w:snapToGrid w:val="0"/>
                      <w:color w:val="auto"/>
                      <w:kern w:val="0"/>
                      <w:sz w:val="21"/>
                      <w:szCs w:val="21"/>
                      <w:highlight w:val="none"/>
                      <w:u w:val="single" w:color="auto"/>
                      <w:lang w:val="en-US" w:eastAsia="zh-CN" w:bidi="ar-SA"/>
                    </w:rPr>
                    <w:t>（</w:t>
                  </w:r>
                  <w:r>
                    <w:rPr>
                      <w:rFonts w:ascii="Times New Roman" w:hAnsi="Times New Roman" w:eastAsia="宋体" w:cs="Times New Roman"/>
                      <w:snapToGrid w:val="0"/>
                      <w:color w:val="auto"/>
                      <w:kern w:val="0"/>
                      <w:sz w:val="21"/>
                      <w:szCs w:val="21"/>
                      <w:highlight w:val="none"/>
                      <w:u w:val="single" w:color="auto"/>
                      <w:lang w:val="en-US" w:eastAsia="zh-CN" w:bidi="ar-SA"/>
                    </w:rPr>
                    <w:t>m</w:t>
                  </w:r>
                  <w:r>
                    <w:rPr>
                      <w:rFonts w:ascii="Times New Roman" w:hAnsi="Times New Roman" w:eastAsia="宋体" w:cs="Times New Roman"/>
                      <w:snapToGrid w:val="0"/>
                      <w:color w:val="auto"/>
                      <w:kern w:val="0"/>
                      <w:sz w:val="21"/>
                      <w:szCs w:val="21"/>
                      <w:highlight w:val="none"/>
                      <w:u w:val="single" w:color="auto"/>
                      <w:vertAlign w:val="superscript"/>
                      <w:lang w:val="en-US" w:eastAsia="zh-CN" w:bidi="ar-SA"/>
                    </w:rPr>
                    <w:t>2</w:t>
                  </w:r>
                  <w:r>
                    <w:rPr>
                      <w:rFonts w:hint="eastAsia" w:ascii="Times New Roman" w:hAnsi="Times New Roman" w:eastAsia="宋体" w:cs="Times New Roman"/>
                      <w:bCs/>
                      <w:snapToGrid w:val="0"/>
                      <w:color w:val="auto"/>
                      <w:kern w:val="0"/>
                      <w:sz w:val="21"/>
                      <w:szCs w:val="21"/>
                      <w:highlight w:val="none"/>
                      <w:u w:val="single" w:color="auto"/>
                      <w:lang w:val="en-US" w:eastAsia="zh-CN" w:bidi="ar-SA"/>
                    </w:rPr>
                    <w:t>）</w:t>
                  </w:r>
                </w:p>
              </w:tc>
              <w:tc>
                <w:tcPr>
                  <w:tcW w:w="971" w:type="dxa"/>
                  <w:noWrap w:val="0"/>
                  <w:vAlign w:val="center"/>
                </w:tcPr>
                <w:p w14:paraId="2BF72F9F">
                  <w:pPr>
                    <w:widowControl/>
                    <w:adjustRightInd w:val="0"/>
                    <w:snapToGrid w:val="0"/>
                    <w:spacing w:line="240" w:lineRule="auto"/>
                    <w:ind w:firstLine="0" w:firstLineChars="0"/>
                    <w:jc w:val="center"/>
                    <w:rPr>
                      <w:rFonts w:hint="eastAsia" w:ascii="Times New Roman" w:hAnsi="Times New Roman" w:eastAsia="宋体" w:cs="Times New Roman"/>
                      <w:bCs/>
                      <w:snapToGrid w:val="0"/>
                      <w:color w:val="auto"/>
                      <w:kern w:val="0"/>
                      <w:sz w:val="21"/>
                      <w:szCs w:val="21"/>
                      <w:highlight w:val="none"/>
                      <w:u w:val="single" w:color="auto"/>
                      <w:lang w:val="en-US" w:eastAsia="zh-CN" w:bidi="ar-SA"/>
                    </w:rPr>
                  </w:pPr>
                  <w:r>
                    <w:rPr>
                      <w:rFonts w:hint="default" w:ascii="Times New Roman" w:hAnsi="Times New Roman" w:eastAsia="宋体" w:cs="Times New Roman"/>
                      <w:bCs/>
                      <w:snapToGrid w:val="0"/>
                      <w:color w:val="auto"/>
                      <w:kern w:val="0"/>
                      <w:sz w:val="21"/>
                      <w:szCs w:val="21"/>
                      <w:highlight w:val="none"/>
                      <w:u w:val="single" w:color="auto"/>
                      <w:lang w:val="en-US" w:eastAsia="zh-CN" w:bidi="ar-SA"/>
                    </w:rPr>
                    <w:t>涂装厚度</w:t>
                  </w:r>
                  <w:r>
                    <w:rPr>
                      <w:rFonts w:hint="eastAsia" w:ascii="Times New Roman" w:hAnsi="Times New Roman" w:eastAsia="宋体" w:cs="Times New Roman"/>
                      <w:bCs/>
                      <w:snapToGrid w:val="0"/>
                      <w:color w:val="auto"/>
                      <w:kern w:val="0"/>
                      <w:sz w:val="21"/>
                      <w:szCs w:val="21"/>
                      <w:highlight w:val="none"/>
                      <w:u w:val="single" w:color="auto"/>
                      <w:lang w:val="en-US" w:eastAsia="zh-CN" w:bidi="ar-SA"/>
                    </w:rPr>
                    <w:t>（</w:t>
                  </w:r>
                  <w:r>
                    <w:rPr>
                      <w:rFonts w:hint="default" w:ascii="Times New Roman" w:hAnsi="Times New Roman" w:eastAsia="宋体" w:cs="Times New Roman"/>
                      <w:snapToGrid w:val="0"/>
                      <w:color w:val="auto"/>
                      <w:kern w:val="0"/>
                      <w:sz w:val="21"/>
                      <w:szCs w:val="21"/>
                      <w:highlight w:val="none"/>
                      <w:u w:val="single" w:color="auto"/>
                      <w:lang w:val="en-US" w:eastAsia="zh-CN" w:bidi="ar-SA"/>
                    </w:rPr>
                    <w:t>μm</w:t>
                  </w:r>
                  <w:r>
                    <w:rPr>
                      <w:rFonts w:hint="eastAsia" w:ascii="Times New Roman" w:hAnsi="Times New Roman" w:eastAsia="宋体" w:cs="Times New Roman"/>
                      <w:bCs/>
                      <w:snapToGrid w:val="0"/>
                      <w:color w:val="auto"/>
                      <w:kern w:val="0"/>
                      <w:sz w:val="21"/>
                      <w:szCs w:val="21"/>
                      <w:highlight w:val="none"/>
                      <w:u w:val="single" w:color="auto"/>
                      <w:lang w:val="en-US" w:eastAsia="zh-CN" w:bidi="ar-SA"/>
                    </w:rPr>
                    <w:t>）</w:t>
                  </w:r>
                </w:p>
              </w:tc>
              <w:tc>
                <w:tcPr>
                  <w:tcW w:w="1074" w:type="dxa"/>
                  <w:noWrap w:val="0"/>
                  <w:vAlign w:val="center"/>
                </w:tcPr>
                <w:p w14:paraId="46B9693E">
                  <w:pPr>
                    <w:widowControl/>
                    <w:adjustRightInd w:val="0"/>
                    <w:snapToGrid w:val="0"/>
                    <w:spacing w:line="240" w:lineRule="auto"/>
                    <w:ind w:firstLine="0" w:firstLineChars="0"/>
                    <w:jc w:val="center"/>
                    <w:rPr>
                      <w:rFonts w:hint="eastAsia" w:ascii="Times New Roman" w:hAnsi="Times New Roman" w:eastAsia="宋体" w:cs="Times New Roman"/>
                      <w:bCs/>
                      <w:snapToGrid w:val="0"/>
                      <w:color w:val="auto"/>
                      <w:kern w:val="0"/>
                      <w:sz w:val="21"/>
                      <w:szCs w:val="21"/>
                      <w:highlight w:val="none"/>
                      <w:u w:val="single" w:color="auto"/>
                      <w:lang w:val="en-US" w:eastAsia="zh-CN" w:bidi="ar-SA"/>
                    </w:rPr>
                  </w:pPr>
                  <w:r>
                    <w:rPr>
                      <w:rFonts w:hint="default" w:ascii="Times New Roman" w:hAnsi="Times New Roman" w:eastAsia="宋体" w:cs="Times New Roman"/>
                      <w:bCs/>
                      <w:snapToGrid w:val="0"/>
                      <w:color w:val="auto"/>
                      <w:kern w:val="0"/>
                      <w:sz w:val="21"/>
                      <w:szCs w:val="21"/>
                      <w:highlight w:val="none"/>
                      <w:u w:val="single" w:color="auto"/>
                      <w:lang w:val="en-US" w:eastAsia="zh-CN" w:bidi="ar-SA"/>
                    </w:rPr>
                    <w:t>油漆密度</w:t>
                  </w:r>
                  <w:r>
                    <w:rPr>
                      <w:rFonts w:hint="eastAsia" w:ascii="Times New Roman" w:hAnsi="Times New Roman" w:eastAsia="宋体" w:cs="Times New Roman"/>
                      <w:bCs/>
                      <w:snapToGrid w:val="0"/>
                      <w:color w:val="auto"/>
                      <w:kern w:val="0"/>
                      <w:sz w:val="21"/>
                      <w:szCs w:val="21"/>
                      <w:highlight w:val="none"/>
                      <w:u w:val="single" w:color="auto"/>
                      <w:lang w:val="en-US" w:eastAsia="zh-CN" w:bidi="ar-SA"/>
                    </w:rPr>
                    <w:t>（</w:t>
                  </w:r>
                  <w:r>
                    <w:rPr>
                      <w:rFonts w:hint="default" w:ascii="Times New Roman" w:hAnsi="Times New Roman" w:eastAsia="宋体" w:cs="Times New Roman"/>
                      <w:snapToGrid w:val="0"/>
                      <w:color w:val="auto"/>
                      <w:kern w:val="0"/>
                      <w:sz w:val="21"/>
                      <w:szCs w:val="21"/>
                      <w:highlight w:val="none"/>
                      <w:u w:val="single" w:color="auto"/>
                      <w:lang w:val="en-US" w:eastAsia="zh-CN" w:bidi="ar-SA"/>
                    </w:rPr>
                    <w:t>g/cm</w:t>
                  </w:r>
                  <w:r>
                    <w:rPr>
                      <w:rFonts w:hint="default" w:ascii="Times New Roman" w:hAnsi="Times New Roman" w:eastAsia="宋体" w:cs="Times New Roman"/>
                      <w:snapToGrid w:val="0"/>
                      <w:color w:val="auto"/>
                      <w:kern w:val="0"/>
                      <w:sz w:val="21"/>
                      <w:szCs w:val="21"/>
                      <w:highlight w:val="none"/>
                      <w:u w:val="single" w:color="auto"/>
                      <w:vertAlign w:val="superscript"/>
                      <w:lang w:val="en-US" w:eastAsia="zh-CN" w:bidi="ar-SA"/>
                    </w:rPr>
                    <w:t>3</w:t>
                  </w:r>
                  <w:r>
                    <w:rPr>
                      <w:rFonts w:hint="eastAsia" w:ascii="Times New Roman" w:hAnsi="Times New Roman" w:eastAsia="宋体" w:cs="Times New Roman"/>
                      <w:bCs/>
                      <w:snapToGrid w:val="0"/>
                      <w:color w:val="auto"/>
                      <w:kern w:val="0"/>
                      <w:sz w:val="21"/>
                      <w:szCs w:val="21"/>
                      <w:highlight w:val="none"/>
                      <w:u w:val="single" w:color="auto"/>
                      <w:lang w:val="en-US" w:eastAsia="zh-CN" w:bidi="ar-SA"/>
                    </w:rPr>
                    <w:t>）</w:t>
                  </w:r>
                </w:p>
              </w:tc>
              <w:tc>
                <w:tcPr>
                  <w:tcW w:w="583" w:type="dxa"/>
                  <w:noWrap w:val="0"/>
                  <w:vAlign w:val="center"/>
                </w:tcPr>
                <w:p w14:paraId="6838E90A">
                  <w:pPr>
                    <w:widowControl/>
                    <w:adjustRightInd w:val="0"/>
                    <w:snapToGrid w:val="0"/>
                    <w:spacing w:line="240" w:lineRule="auto"/>
                    <w:ind w:firstLine="0" w:firstLineChars="0"/>
                    <w:jc w:val="center"/>
                    <w:rPr>
                      <w:rFonts w:hint="default" w:ascii="Times New Roman" w:hAnsi="Times New Roman" w:eastAsia="宋体" w:cs="Times New Roman"/>
                      <w:bCs/>
                      <w:snapToGrid w:val="0"/>
                      <w:color w:val="auto"/>
                      <w:kern w:val="0"/>
                      <w:sz w:val="21"/>
                      <w:szCs w:val="21"/>
                      <w:highlight w:val="none"/>
                      <w:u w:val="single" w:color="auto"/>
                      <w:lang w:val="en-US" w:eastAsia="zh-CN" w:bidi="ar-SA"/>
                    </w:rPr>
                  </w:pPr>
                  <w:r>
                    <w:rPr>
                      <w:rFonts w:hint="default" w:ascii="Times New Roman" w:hAnsi="Times New Roman" w:eastAsia="宋体" w:cs="Times New Roman"/>
                      <w:bCs/>
                      <w:snapToGrid w:val="0"/>
                      <w:color w:val="auto"/>
                      <w:kern w:val="0"/>
                      <w:sz w:val="21"/>
                      <w:szCs w:val="21"/>
                      <w:highlight w:val="none"/>
                      <w:u w:val="single" w:color="auto"/>
                      <w:lang w:val="en-US" w:eastAsia="zh-CN" w:bidi="ar-SA"/>
                    </w:rPr>
                    <w:t>附着率</w:t>
                  </w:r>
                </w:p>
              </w:tc>
              <w:tc>
                <w:tcPr>
                  <w:tcW w:w="1001" w:type="dxa"/>
                  <w:noWrap w:val="0"/>
                  <w:vAlign w:val="center"/>
                </w:tcPr>
                <w:p w14:paraId="061C06D1">
                  <w:pPr>
                    <w:widowControl/>
                    <w:adjustRightInd w:val="0"/>
                    <w:snapToGrid w:val="0"/>
                    <w:spacing w:line="240" w:lineRule="auto"/>
                    <w:ind w:firstLine="0" w:firstLineChars="0"/>
                    <w:jc w:val="center"/>
                    <w:rPr>
                      <w:rFonts w:hint="default" w:ascii="Times New Roman" w:hAnsi="Times New Roman" w:eastAsia="宋体" w:cs="Times New Roman"/>
                      <w:bCs/>
                      <w:snapToGrid w:val="0"/>
                      <w:color w:val="auto"/>
                      <w:kern w:val="0"/>
                      <w:sz w:val="24"/>
                      <w:szCs w:val="24"/>
                      <w:highlight w:val="none"/>
                      <w:u w:val="single" w:color="auto"/>
                      <w:lang w:val="en-US" w:eastAsia="zh-CN" w:bidi="ar-SA"/>
                    </w:rPr>
                  </w:pPr>
                  <w:r>
                    <w:rPr>
                      <w:rFonts w:hint="default" w:ascii="Times New Roman" w:hAnsi="Times New Roman" w:eastAsia="宋体" w:cs="Times New Roman"/>
                      <w:bCs/>
                      <w:snapToGrid w:val="0"/>
                      <w:color w:val="auto"/>
                      <w:kern w:val="0"/>
                      <w:sz w:val="21"/>
                      <w:szCs w:val="21"/>
                      <w:highlight w:val="none"/>
                      <w:u w:val="single" w:color="auto"/>
                      <w:lang w:val="en-US" w:eastAsia="zh-CN" w:bidi="ar-SA"/>
                    </w:rPr>
                    <w:t>年油漆</w:t>
                  </w:r>
                  <w:r>
                    <w:rPr>
                      <w:rFonts w:hint="eastAsia" w:ascii="Times New Roman" w:hAnsi="Times New Roman" w:eastAsia="宋体" w:cs="Times New Roman"/>
                      <w:bCs/>
                      <w:snapToGrid w:val="0"/>
                      <w:color w:val="auto"/>
                      <w:kern w:val="0"/>
                      <w:sz w:val="21"/>
                      <w:szCs w:val="21"/>
                      <w:highlight w:val="none"/>
                      <w:u w:val="single" w:color="auto"/>
                      <w:lang w:val="en-US" w:eastAsia="zh-CN" w:bidi="ar-SA"/>
                    </w:rPr>
                    <w:t>附着量</w:t>
                  </w:r>
                  <w:r>
                    <w:rPr>
                      <w:rFonts w:hint="default" w:ascii="Times New Roman" w:hAnsi="Times New Roman" w:eastAsia="宋体" w:cs="Times New Roman"/>
                      <w:bCs/>
                      <w:snapToGrid w:val="0"/>
                      <w:color w:val="auto"/>
                      <w:kern w:val="0"/>
                      <w:sz w:val="21"/>
                      <w:szCs w:val="21"/>
                      <w:highlight w:val="none"/>
                      <w:u w:val="single" w:color="auto"/>
                      <w:lang w:val="en-US" w:eastAsia="zh-CN" w:bidi="ar-SA"/>
                    </w:rPr>
                    <w:t>（t）</w:t>
                  </w:r>
                </w:p>
              </w:tc>
              <w:tc>
                <w:tcPr>
                  <w:tcW w:w="797" w:type="dxa"/>
                  <w:noWrap w:val="0"/>
                  <w:vAlign w:val="center"/>
                </w:tcPr>
                <w:p w14:paraId="4E42369B">
                  <w:pPr>
                    <w:keepNext w:val="0"/>
                    <w:keepLines w:val="0"/>
                    <w:widowControl/>
                    <w:suppressLineNumbers w:val="0"/>
                    <w:jc w:val="left"/>
                    <w:textAlignment w:val="center"/>
                    <w:rPr>
                      <w:rFonts w:hint="default" w:ascii="Times New Roman" w:hAnsi="Times New Roman" w:eastAsia="宋体" w:cs="Times New Roman"/>
                      <w:bCs/>
                      <w:snapToGrid w:val="0"/>
                      <w:color w:val="auto"/>
                      <w:kern w:val="0"/>
                      <w:sz w:val="21"/>
                      <w:szCs w:val="21"/>
                      <w:highlight w:val="none"/>
                      <w:u w:val="single" w:color="auto"/>
                      <w:lang w:val="en-US" w:eastAsia="zh-CN" w:bidi="ar-SA"/>
                    </w:rPr>
                  </w:pPr>
                  <w:r>
                    <w:rPr>
                      <w:rFonts w:hint="eastAsia" w:ascii="Times New Roman" w:hAnsi="Times New Roman" w:eastAsia="宋体" w:cs="Times New Roman"/>
                      <w:bCs/>
                      <w:snapToGrid w:val="0"/>
                      <w:color w:val="auto"/>
                      <w:kern w:val="0"/>
                      <w:sz w:val="21"/>
                      <w:szCs w:val="21"/>
                      <w:highlight w:val="none"/>
                      <w:u w:val="single" w:color="auto"/>
                      <w:lang w:val="en-US" w:eastAsia="zh-CN" w:bidi="ar-SA"/>
                    </w:rPr>
                    <w:t>固体份含量</w:t>
                  </w:r>
                </w:p>
              </w:tc>
              <w:tc>
                <w:tcPr>
                  <w:tcW w:w="740" w:type="dxa"/>
                  <w:noWrap w:val="0"/>
                  <w:vAlign w:val="center"/>
                </w:tcPr>
                <w:p w14:paraId="2386D12F">
                  <w:pPr>
                    <w:keepNext w:val="0"/>
                    <w:keepLines w:val="0"/>
                    <w:widowControl/>
                    <w:suppressLineNumbers w:val="0"/>
                    <w:jc w:val="left"/>
                    <w:textAlignment w:val="center"/>
                    <w:rPr>
                      <w:rFonts w:hint="default" w:ascii="Times New Roman" w:hAnsi="Times New Roman" w:eastAsia="宋体" w:cs="Times New Roman"/>
                      <w:bCs/>
                      <w:snapToGrid w:val="0"/>
                      <w:color w:val="auto"/>
                      <w:kern w:val="0"/>
                      <w:sz w:val="21"/>
                      <w:szCs w:val="21"/>
                      <w:highlight w:val="none"/>
                      <w:u w:val="single" w:color="auto"/>
                      <w:lang w:val="en-US" w:eastAsia="zh-CN" w:bidi="ar-SA"/>
                    </w:rPr>
                  </w:pPr>
                  <w:r>
                    <w:rPr>
                      <w:rFonts w:hint="default" w:ascii="Times New Roman" w:hAnsi="Times New Roman" w:cs="Times New Roman"/>
                      <w:bCs/>
                      <w:color w:val="auto"/>
                      <w:sz w:val="21"/>
                      <w:szCs w:val="21"/>
                      <w:highlight w:val="none"/>
                      <w:u w:val="single" w:color="auto"/>
                    </w:rPr>
                    <w:t>年油漆</w:t>
                  </w:r>
                  <w:r>
                    <w:rPr>
                      <w:rFonts w:hint="eastAsia" w:ascii="Times New Roman" w:hAnsi="Times New Roman" w:eastAsia="宋体" w:cs="Times New Roman"/>
                      <w:bCs/>
                      <w:snapToGrid w:val="0"/>
                      <w:color w:val="auto"/>
                      <w:kern w:val="0"/>
                      <w:sz w:val="21"/>
                      <w:szCs w:val="21"/>
                      <w:highlight w:val="none"/>
                      <w:u w:val="single" w:color="auto"/>
                      <w:lang w:val="en-US" w:eastAsia="zh-CN" w:bidi="ar-SA"/>
                    </w:rPr>
                    <w:t>用量（t）</w:t>
                  </w:r>
                </w:p>
              </w:tc>
            </w:tr>
            <w:tr w14:paraId="73E44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99" w:type="dxa"/>
                  <w:noWrap w:val="0"/>
                  <w:vAlign w:val="center"/>
                </w:tcPr>
                <w:p w14:paraId="1C9D2000">
                  <w:pPr>
                    <w:jc w:val="center"/>
                    <w:rPr>
                      <w:rFonts w:hint="default" w:ascii="Times New Roman" w:hAnsi="Times New Roman" w:eastAsia="宋体" w:cs="Times New Roman"/>
                      <w:color w:val="auto"/>
                      <w:szCs w:val="21"/>
                      <w:highlight w:val="none"/>
                      <w:u w:val="single" w:color="auto"/>
                      <w:lang w:val="en-US" w:eastAsia="zh-CN"/>
                    </w:rPr>
                  </w:pPr>
                  <w:r>
                    <w:rPr>
                      <w:rFonts w:hint="default" w:ascii="Times New Roman" w:hAnsi="Times New Roman" w:eastAsia="宋体" w:cs="Times New Roman"/>
                      <w:color w:val="auto"/>
                      <w:szCs w:val="21"/>
                      <w:highlight w:val="none"/>
                      <w:u w:val="single" w:color="auto"/>
                      <w:lang w:val="en-US" w:eastAsia="zh-CN"/>
                    </w:rPr>
                    <w:t>1</w:t>
                  </w:r>
                </w:p>
              </w:tc>
              <w:tc>
                <w:tcPr>
                  <w:tcW w:w="1574" w:type="dxa"/>
                  <w:noWrap w:val="0"/>
                  <w:vAlign w:val="center"/>
                </w:tcPr>
                <w:p w14:paraId="2289CD21">
                  <w:pPr>
                    <w:jc w:val="center"/>
                    <w:rPr>
                      <w:rFonts w:hint="default" w:ascii="Times New Roman" w:hAnsi="Times New Roman" w:eastAsia="宋体" w:cs="Times New Roman"/>
                      <w:color w:val="auto"/>
                      <w:szCs w:val="21"/>
                      <w:highlight w:val="none"/>
                      <w:u w:val="single" w:color="auto"/>
                      <w:lang w:val="en-US" w:eastAsia="zh-CN"/>
                    </w:rPr>
                  </w:pPr>
                  <w:r>
                    <w:rPr>
                      <w:rFonts w:hint="default" w:ascii="Times New Roman" w:hAnsi="Times New Roman" w:eastAsia="宋体" w:cs="Times New Roman"/>
                      <w:color w:val="auto"/>
                      <w:szCs w:val="21"/>
                      <w:highlight w:val="none"/>
                      <w:u w:val="single" w:color="auto"/>
                      <w:lang w:val="en-US" w:eastAsia="zh-CN"/>
                    </w:rPr>
                    <w:t>丙烯酸酯类树脂涂料</w:t>
                  </w:r>
                </w:p>
              </w:tc>
              <w:tc>
                <w:tcPr>
                  <w:tcW w:w="836" w:type="dxa"/>
                  <w:noWrap w:val="0"/>
                  <w:vAlign w:val="center"/>
                </w:tcPr>
                <w:p w14:paraId="46E95E63">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16000</w:t>
                  </w:r>
                </w:p>
              </w:tc>
              <w:tc>
                <w:tcPr>
                  <w:tcW w:w="971" w:type="dxa"/>
                  <w:noWrap w:val="0"/>
                  <w:vAlign w:val="center"/>
                </w:tcPr>
                <w:p w14:paraId="1B616EDA">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56</w:t>
                  </w:r>
                </w:p>
              </w:tc>
              <w:tc>
                <w:tcPr>
                  <w:tcW w:w="1074" w:type="dxa"/>
                  <w:noWrap w:val="0"/>
                  <w:vAlign w:val="center"/>
                </w:tcPr>
                <w:p w14:paraId="6FBC273F">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1.35</w:t>
                  </w:r>
                </w:p>
              </w:tc>
              <w:tc>
                <w:tcPr>
                  <w:tcW w:w="583" w:type="dxa"/>
                  <w:noWrap w:val="0"/>
                  <w:vAlign w:val="center"/>
                </w:tcPr>
                <w:p w14:paraId="1B8F253B">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0.78</w:t>
                  </w:r>
                </w:p>
              </w:tc>
              <w:tc>
                <w:tcPr>
                  <w:tcW w:w="1001" w:type="dxa"/>
                  <w:noWrap w:val="0"/>
                  <w:vAlign w:val="center"/>
                </w:tcPr>
                <w:p w14:paraId="323C52F9">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1.55 </w:t>
                  </w:r>
                </w:p>
              </w:tc>
              <w:tc>
                <w:tcPr>
                  <w:tcW w:w="797" w:type="dxa"/>
                  <w:noWrap w:val="0"/>
                  <w:vAlign w:val="center"/>
                </w:tcPr>
                <w:p w14:paraId="2437DC89">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0.55</w:t>
                  </w:r>
                </w:p>
              </w:tc>
              <w:tc>
                <w:tcPr>
                  <w:tcW w:w="740" w:type="dxa"/>
                  <w:noWrap w:val="0"/>
                  <w:vAlign w:val="center"/>
                </w:tcPr>
                <w:p w14:paraId="15F7E08C">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2.820 </w:t>
                  </w:r>
                </w:p>
              </w:tc>
            </w:tr>
            <w:tr w14:paraId="23CD2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99" w:type="dxa"/>
                  <w:noWrap w:val="0"/>
                  <w:vAlign w:val="center"/>
                </w:tcPr>
                <w:p w14:paraId="0409349C">
                  <w:pPr>
                    <w:jc w:val="center"/>
                    <w:rPr>
                      <w:rFonts w:hint="default" w:ascii="Times New Roman" w:hAnsi="Times New Roman" w:eastAsia="宋体" w:cs="Times New Roman"/>
                      <w:color w:val="auto"/>
                      <w:szCs w:val="21"/>
                      <w:highlight w:val="none"/>
                      <w:u w:val="single" w:color="auto"/>
                      <w:lang w:val="en-US" w:eastAsia="zh-CN"/>
                    </w:rPr>
                  </w:pPr>
                  <w:r>
                    <w:rPr>
                      <w:rFonts w:hint="eastAsia" w:ascii="Times New Roman" w:hAnsi="Times New Roman" w:eastAsia="宋体" w:cs="Times New Roman"/>
                      <w:color w:val="auto"/>
                      <w:szCs w:val="21"/>
                      <w:highlight w:val="none"/>
                      <w:u w:val="single" w:color="auto"/>
                      <w:lang w:val="en-US" w:eastAsia="zh-CN"/>
                    </w:rPr>
                    <w:t>2</w:t>
                  </w:r>
                </w:p>
              </w:tc>
              <w:tc>
                <w:tcPr>
                  <w:tcW w:w="1574" w:type="dxa"/>
                  <w:noWrap w:val="0"/>
                  <w:vAlign w:val="center"/>
                </w:tcPr>
                <w:p w14:paraId="3F15BFBB">
                  <w:pPr>
                    <w:jc w:val="center"/>
                    <w:rPr>
                      <w:rFonts w:hint="default" w:ascii="Times New Roman" w:hAnsi="Times New Roman" w:eastAsia="宋体" w:cs="Times New Roman"/>
                      <w:color w:val="auto"/>
                      <w:szCs w:val="21"/>
                      <w:highlight w:val="none"/>
                      <w:u w:val="single" w:color="auto"/>
                      <w:lang w:val="en-US" w:eastAsia="zh-CN"/>
                    </w:rPr>
                  </w:pPr>
                  <w:r>
                    <w:rPr>
                      <w:rFonts w:hint="default" w:ascii="Times New Roman" w:hAnsi="Times New Roman" w:eastAsia="宋体" w:cs="Times New Roman"/>
                      <w:color w:val="auto"/>
                      <w:szCs w:val="21"/>
                      <w:highlight w:val="none"/>
                      <w:u w:val="single" w:color="auto"/>
                      <w:lang w:val="en-US" w:eastAsia="zh-CN"/>
                    </w:rPr>
                    <w:t>醇酸树脂涂料</w:t>
                  </w:r>
                </w:p>
              </w:tc>
              <w:tc>
                <w:tcPr>
                  <w:tcW w:w="836" w:type="dxa"/>
                  <w:noWrap w:val="0"/>
                  <w:vAlign w:val="center"/>
                </w:tcPr>
                <w:p w14:paraId="64E815AB">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16000</w:t>
                  </w:r>
                </w:p>
              </w:tc>
              <w:tc>
                <w:tcPr>
                  <w:tcW w:w="971" w:type="dxa"/>
                  <w:noWrap w:val="0"/>
                  <w:vAlign w:val="center"/>
                </w:tcPr>
                <w:p w14:paraId="197CA21C">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56</w:t>
                  </w:r>
                </w:p>
              </w:tc>
              <w:tc>
                <w:tcPr>
                  <w:tcW w:w="1074" w:type="dxa"/>
                  <w:noWrap w:val="0"/>
                  <w:vAlign w:val="center"/>
                </w:tcPr>
                <w:p w14:paraId="0CDAEDD1">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1.45</w:t>
                  </w:r>
                </w:p>
              </w:tc>
              <w:tc>
                <w:tcPr>
                  <w:tcW w:w="583" w:type="dxa"/>
                  <w:noWrap w:val="0"/>
                  <w:vAlign w:val="center"/>
                </w:tcPr>
                <w:p w14:paraId="7292F2EF">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0.78</w:t>
                  </w:r>
                </w:p>
              </w:tc>
              <w:tc>
                <w:tcPr>
                  <w:tcW w:w="1001" w:type="dxa"/>
                  <w:noWrap w:val="0"/>
                  <w:vAlign w:val="center"/>
                </w:tcPr>
                <w:p w14:paraId="1B049347">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1.67 </w:t>
                  </w:r>
                </w:p>
              </w:tc>
              <w:tc>
                <w:tcPr>
                  <w:tcW w:w="797" w:type="dxa"/>
                  <w:noWrap w:val="0"/>
                  <w:vAlign w:val="center"/>
                </w:tcPr>
                <w:p w14:paraId="7D419E8F">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0.9</w:t>
                  </w:r>
                </w:p>
              </w:tc>
              <w:tc>
                <w:tcPr>
                  <w:tcW w:w="740" w:type="dxa"/>
                  <w:noWrap w:val="0"/>
                  <w:vAlign w:val="center"/>
                </w:tcPr>
                <w:p w14:paraId="3151E752">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1.851 </w:t>
                  </w:r>
                </w:p>
              </w:tc>
            </w:tr>
            <w:tr w14:paraId="4E966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99" w:type="dxa"/>
                  <w:noWrap w:val="0"/>
                  <w:vAlign w:val="center"/>
                </w:tcPr>
                <w:p w14:paraId="1A1326E6">
                  <w:pPr>
                    <w:jc w:val="center"/>
                    <w:rPr>
                      <w:rFonts w:hint="default" w:ascii="Times New Roman" w:hAnsi="Times New Roman" w:eastAsia="宋体" w:cs="Times New Roman"/>
                      <w:color w:val="auto"/>
                      <w:szCs w:val="21"/>
                      <w:highlight w:val="none"/>
                      <w:u w:val="single" w:color="auto"/>
                      <w:lang w:val="en-US" w:eastAsia="zh-CN"/>
                    </w:rPr>
                  </w:pPr>
                  <w:r>
                    <w:rPr>
                      <w:rFonts w:hint="eastAsia" w:ascii="Times New Roman" w:hAnsi="Times New Roman" w:eastAsia="宋体" w:cs="Times New Roman"/>
                      <w:color w:val="auto"/>
                      <w:szCs w:val="21"/>
                      <w:highlight w:val="none"/>
                      <w:u w:val="single" w:color="auto"/>
                      <w:lang w:val="en-US" w:eastAsia="zh-CN"/>
                    </w:rPr>
                    <w:t>3</w:t>
                  </w:r>
                </w:p>
              </w:tc>
              <w:tc>
                <w:tcPr>
                  <w:tcW w:w="1574" w:type="dxa"/>
                  <w:noWrap w:val="0"/>
                  <w:vAlign w:val="center"/>
                </w:tcPr>
                <w:p w14:paraId="40B1AEE1">
                  <w:pPr>
                    <w:jc w:val="center"/>
                    <w:rPr>
                      <w:rFonts w:hint="default" w:ascii="Times New Roman" w:hAnsi="Times New Roman" w:eastAsia="宋体" w:cs="Times New Roman"/>
                      <w:color w:val="auto"/>
                      <w:szCs w:val="21"/>
                      <w:highlight w:val="none"/>
                      <w:u w:val="single" w:color="auto"/>
                      <w:lang w:val="en-US" w:eastAsia="zh-CN"/>
                    </w:rPr>
                  </w:pPr>
                  <w:r>
                    <w:rPr>
                      <w:rFonts w:hint="default" w:ascii="Times New Roman" w:hAnsi="Times New Roman" w:eastAsia="宋体" w:cs="Times New Roman"/>
                      <w:color w:val="auto"/>
                      <w:szCs w:val="21"/>
                      <w:highlight w:val="none"/>
                      <w:u w:val="single" w:color="auto"/>
                      <w:lang w:val="en-US" w:eastAsia="zh-CN"/>
                    </w:rPr>
                    <w:t>环氧富锌底漆</w:t>
                  </w:r>
                </w:p>
              </w:tc>
              <w:tc>
                <w:tcPr>
                  <w:tcW w:w="836" w:type="dxa"/>
                  <w:noWrap w:val="0"/>
                  <w:vAlign w:val="center"/>
                </w:tcPr>
                <w:p w14:paraId="65AB3E28">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6000</w:t>
                  </w:r>
                </w:p>
              </w:tc>
              <w:tc>
                <w:tcPr>
                  <w:tcW w:w="971" w:type="dxa"/>
                  <w:noWrap w:val="0"/>
                  <w:vAlign w:val="center"/>
                </w:tcPr>
                <w:p w14:paraId="6779B312">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56</w:t>
                  </w:r>
                </w:p>
              </w:tc>
              <w:tc>
                <w:tcPr>
                  <w:tcW w:w="1074" w:type="dxa"/>
                  <w:noWrap w:val="0"/>
                  <w:vAlign w:val="center"/>
                </w:tcPr>
                <w:p w14:paraId="048109DE">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1.2</w:t>
                  </w:r>
                </w:p>
              </w:tc>
              <w:tc>
                <w:tcPr>
                  <w:tcW w:w="583" w:type="dxa"/>
                  <w:noWrap w:val="0"/>
                  <w:vAlign w:val="center"/>
                </w:tcPr>
                <w:p w14:paraId="556D6BF0">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0.78</w:t>
                  </w:r>
                </w:p>
              </w:tc>
              <w:tc>
                <w:tcPr>
                  <w:tcW w:w="1001" w:type="dxa"/>
                  <w:noWrap w:val="0"/>
                  <w:vAlign w:val="center"/>
                </w:tcPr>
                <w:p w14:paraId="313866C3">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0.52 </w:t>
                  </w:r>
                </w:p>
              </w:tc>
              <w:tc>
                <w:tcPr>
                  <w:tcW w:w="797" w:type="dxa"/>
                  <w:noWrap w:val="0"/>
                  <w:vAlign w:val="center"/>
                </w:tcPr>
                <w:p w14:paraId="4E41F785">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0.9</w:t>
                  </w:r>
                </w:p>
              </w:tc>
              <w:tc>
                <w:tcPr>
                  <w:tcW w:w="740" w:type="dxa"/>
                  <w:noWrap w:val="0"/>
                  <w:vAlign w:val="center"/>
                </w:tcPr>
                <w:p w14:paraId="76EFB790">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0.574 </w:t>
                  </w:r>
                </w:p>
              </w:tc>
            </w:tr>
          </w:tbl>
          <w:p w14:paraId="51CAD26B">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ascii="Times New Roman" w:hAnsi="宋体" w:eastAsia="宋体" w:cs="Times New Roman"/>
                <w:snapToGrid/>
                <w:color w:val="auto"/>
                <w:kern w:val="2"/>
                <w:sz w:val="24"/>
                <w:szCs w:val="24"/>
                <w:highlight w:val="none"/>
                <w:u w:val="single" w:color="auto"/>
                <w:lang w:val="en-US" w:eastAsia="zh-CN" w:bidi="ar-SA"/>
              </w:rPr>
            </w:pPr>
            <w:r>
              <w:rPr>
                <w:rFonts w:ascii="Times New Roman" w:hAnsi="宋体" w:eastAsia="宋体" w:cs="Times New Roman"/>
                <w:snapToGrid/>
                <w:color w:val="auto"/>
                <w:kern w:val="2"/>
                <w:sz w:val="24"/>
                <w:szCs w:val="24"/>
                <w:highlight w:val="none"/>
                <w:u w:val="single" w:color="auto"/>
                <w:lang w:val="en-US" w:eastAsia="zh-CN" w:bidi="ar-SA"/>
              </w:rPr>
              <w:t>此过程中计算得出的油漆使用量，再根据表</w:t>
            </w:r>
            <w:r>
              <w:rPr>
                <w:rFonts w:hint="eastAsia" w:ascii="Times New Roman" w:hAnsi="宋体" w:eastAsia="宋体" w:cs="Times New Roman"/>
                <w:snapToGrid/>
                <w:color w:val="auto"/>
                <w:kern w:val="2"/>
                <w:sz w:val="24"/>
                <w:szCs w:val="24"/>
                <w:highlight w:val="none"/>
                <w:u w:val="single" w:color="auto"/>
                <w:lang w:val="en-US" w:eastAsia="zh-CN" w:bidi="ar-SA"/>
              </w:rPr>
              <w:t>2-6</w:t>
            </w:r>
            <w:r>
              <w:rPr>
                <w:rFonts w:ascii="Times New Roman" w:hAnsi="宋体" w:eastAsia="宋体" w:cs="Times New Roman"/>
                <w:snapToGrid/>
                <w:color w:val="auto"/>
                <w:kern w:val="2"/>
                <w:sz w:val="24"/>
                <w:szCs w:val="24"/>
                <w:highlight w:val="none"/>
                <w:u w:val="single" w:color="auto"/>
                <w:lang w:val="en-US" w:eastAsia="zh-CN" w:bidi="ar-SA"/>
              </w:rPr>
              <w:t>计算出的各组分比例系数得出项目漆料的具体使用情况，经反推计算工程各类油漆、固化剂及稀释剂用量详见</w:t>
            </w:r>
            <w:r>
              <w:rPr>
                <w:rFonts w:hint="eastAsia" w:ascii="Times New Roman" w:hAnsi="宋体" w:eastAsia="宋体" w:cs="Times New Roman"/>
                <w:snapToGrid/>
                <w:color w:val="auto"/>
                <w:kern w:val="2"/>
                <w:sz w:val="24"/>
                <w:szCs w:val="24"/>
                <w:highlight w:val="none"/>
                <w:u w:val="single" w:color="auto"/>
                <w:lang w:val="en-US" w:eastAsia="zh-CN" w:bidi="ar-SA"/>
              </w:rPr>
              <w:t>下表。</w:t>
            </w:r>
          </w:p>
          <w:p w14:paraId="25A56255">
            <w:pPr>
              <w:adjustRightInd w:val="0"/>
              <w:snapToGrid w:val="0"/>
              <w:spacing w:line="300" w:lineRule="exact"/>
              <w:ind w:firstLine="422" w:firstLineChars="200"/>
              <w:jc w:val="center"/>
              <w:rPr>
                <w:rFonts w:hAnsi="宋体"/>
                <w:b/>
                <w:color w:val="auto"/>
                <w:szCs w:val="21"/>
                <w:highlight w:val="none"/>
                <w:u w:val="single" w:color="auto"/>
              </w:rPr>
            </w:pPr>
            <w:r>
              <w:rPr>
                <w:rFonts w:hAnsi="宋体"/>
                <w:b/>
                <w:color w:val="auto"/>
                <w:szCs w:val="21"/>
                <w:highlight w:val="none"/>
                <w:u w:val="single" w:color="auto"/>
              </w:rPr>
              <w:t>表</w:t>
            </w:r>
            <w:r>
              <w:rPr>
                <w:rFonts w:hint="eastAsia" w:hAnsi="宋体"/>
                <w:b/>
                <w:color w:val="auto"/>
                <w:szCs w:val="21"/>
                <w:highlight w:val="none"/>
                <w:u w:val="single" w:color="auto"/>
                <w:lang w:val="en-US" w:eastAsia="zh-CN"/>
              </w:rPr>
              <w:t xml:space="preserve">2-6  </w:t>
            </w:r>
            <w:r>
              <w:rPr>
                <w:rFonts w:hint="eastAsia" w:hAnsi="宋体"/>
                <w:b/>
                <w:color w:val="auto"/>
                <w:szCs w:val="21"/>
                <w:highlight w:val="none"/>
                <w:u w:val="single" w:color="auto"/>
              </w:rPr>
              <w:t>油漆漆</w:t>
            </w:r>
            <w:r>
              <w:rPr>
                <w:rFonts w:hAnsi="宋体"/>
                <w:b/>
                <w:color w:val="auto"/>
                <w:szCs w:val="21"/>
                <w:highlight w:val="none"/>
                <w:u w:val="single" w:color="auto"/>
              </w:rPr>
              <w:t>料</w:t>
            </w:r>
            <w:r>
              <w:rPr>
                <w:rFonts w:hint="eastAsia" w:hAnsi="宋体"/>
                <w:b/>
                <w:color w:val="auto"/>
                <w:szCs w:val="21"/>
                <w:highlight w:val="none"/>
                <w:u w:val="single" w:color="auto"/>
              </w:rPr>
              <w:t>、固化剂、稀释剂用量</w:t>
            </w:r>
            <w:r>
              <w:rPr>
                <w:rFonts w:hAnsi="宋体"/>
                <w:b/>
                <w:color w:val="auto"/>
                <w:szCs w:val="21"/>
                <w:highlight w:val="none"/>
                <w:u w:val="single" w:color="auto"/>
              </w:rPr>
              <w:t>一览表</w:t>
            </w:r>
          </w:p>
          <w:tbl>
            <w:tblPr>
              <w:tblStyle w:val="31"/>
              <w:tblW w:w="7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
              <w:gridCol w:w="2255"/>
              <w:gridCol w:w="1459"/>
              <w:gridCol w:w="2447"/>
            </w:tblGrid>
            <w:tr w14:paraId="16E8A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957" w:type="dxa"/>
                  <w:noWrap w:val="0"/>
                  <w:vAlign w:val="center"/>
                </w:tcPr>
                <w:p w14:paraId="412DE276">
                  <w:pPr>
                    <w:jc w:val="center"/>
                    <w:rPr>
                      <w:rFonts w:hint="default" w:ascii="Times New Roman" w:hAnsi="Times New Roman" w:eastAsia="宋体" w:cs="Times New Roman"/>
                      <w:b/>
                      <w:bCs w:val="0"/>
                      <w:color w:val="auto"/>
                      <w:szCs w:val="21"/>
                      <w:highlight w:val="none"/>
                      <w:u w:val="single" w:color="auto"/>
                      <w:lang w:val="en-US" w:eastAsia="zh-CN"/>
                    </w:rPr>
                  </w:pPr>
                  <w:r>
                    <w:rPr>
                      <w:rFonts w:hint="eastAsia" w:ascii="Times New Roman" w:hAnsi="Times New Roman" w:eastAsia="宋体" w:cs="Times New Roman"/>
                      <w:b/>
                      <w:bCs w:val="0"/>
                      <w:color w:val="auto"/>
                      <w:szCs w:val="21"/>
                      <w:highlight w:val="none"/>
                      <w:u w:val="single" w:color="auto"/>
                      <w:lang w:val="en-US" w:eastAsia="zh-CN"/>
                    </w:rPr>
                    <w:t>序号</w:t>
                  </w:r>
                </w:p>
              </w:tc>
              <w:tc>
                <w:tcPr>
                  <w:tcW w:w="2255" w:type="dxa"/>
                  <w:noWrap w:val="0"/>
                  <w:vAlign w:val="center"/>
                </w:tcPr>
                <w:p w14:paraId="2C85D9F0">
                  <w:pPr>
                    <w:jc w:val="center"/>
                    <w:rPr>
                      <w:rFonts w:hint="eastAsia" w:ascii="Times New Roman" w:hAnsi="Times New Roman" w:eastAsia="宋体" w:cs="Times New Roman"/>
                      <w:b/>
                      <w:bCs w:val="0"/>
                      <w:color w:val="auto"/>
                      <w:szCs w:val="21"/>
                      <w:highlight w:val="none"/>
                      <w:u w:val="single" w:color="auto"/>
                      <w:lang w:val="en-US" w:eastAsia="zh-CN"/>
                    </w:rPr>
                  </w:pPr>
                  <w:r>
                    <w:rPr>
                      <w:rFonts w:hint="eastAsia" w:ascii="Times New Roman" w:hAnsi="Times New Roman" w:eastAsia="宋体" w:cs="Times New Roman"/>
                      <w:b/>
                      <w:bCs w:val="0"/>
                      <w:color w:val="auto"/>
                      <w:szCs w:val="21"/>
                      <w:highlight w:val="none"/>
                      <w:u w:val="single" w:color="auto"/>
                      <w:lang w:val="en-US" w:eastAsia="zh-CN"/>
                    </w:rPr>
                    <w:t>名称</w:t>
                  </w:r>
                </w:p>
              </w:tc>
              <w:tc>
                <w:tcPr>
                  <w:tcW w:w="1459" w:type="dxa"/>
                  <w:noWrap w:val="0"/>
                  <w:vAlign w:val="center"/>
                </w:tcPr>
                <w:p w14:paraId="560055A1">
                  <w:pPr>
                    <w:jc w:val="center"/>
                    <w:rPr>
                      <w:rFonts w:hint="eastAsia" w:ascii="Times New Roman" w:hAnsi="Times New Roman" w:eastAsia="宋体" w:cs="Times New Roman"/>
                      <w:b/>
                      <w:bCs w:val="0"/>
                      <w:color w:val="auto"/>
                      <w:szCs w:val="21"/>
                      <w:highlight w:val="none"/>
                      <w:u w:val="single" w:color="auto"/>
                      <w:lang w:val="en-US" w:eastAsia="zh-CN"/>
                    </w:rPr>
                  </w:pPr>
                  <w:r>
                    <w:rPr>
                      <w:rFonts w:hint="eastAsia" w:ascii="Times New Roman" w:hAnsi="Times New Roman" w:eastAsia="宋体" w:cs="Times New Roman"/>
                      <w:b/>
                      <w:bCs w:val="0"/>
                      <w:color w:val="auto"/>
                      <w:szCs w:val="21"/>
                      <w:highlight w:val="none"/>
                      <w:u w:val="single" w:color="auto"/>
                      <w:lang w:val="en-US" w:eastAsia="zh-CN"/>
                    </w:rPr>
                    <w:t>用量（t/a）</w:t>
                  </w:r>
                </w:p>
              </w:tc>
              <w:tc>
                <w:tcPr>
                  <w:tcW w:w="2447" w:type="dxa"/>
                  <w:noWrap w:val="0"/>
                  <w:vAlign w:val="center"/>
                </w:tcPr>
                <w:p w14:paraId="12A5F6CF">
                  <w:pPr>
                    <w:jc w:val="center"/>
                    <w:rPr>
                      <w:rFonts w:hint="default" w:ascii="Times New Roman" w:hAnsi="Times New Roman" w:eastAsia="宋体" w:cs="Times New Roman"/>
                      <w:b/>
                      <w:bCs w:val="0"/>
                      <w:color w:val="auto"/>
                      <w:szCs w:val="21"/>
                      <w:highlight w:val="none"/>
                      <w:u w:val="single" w:color="auto"/>
                      <w:lang w:val="en-US" w:eastAsia="zh-CN"/>
                    </w:rPr>
                  </w:pPr>
                  <w:r>
                    <w:rPr>
                      <w:rFonts w:hint="eastAsia" w:cs="Times New Roman"/>
                      <w:b/>
                      <w:bCs w:val="0"/>
                      <w:color w:val="auto"/>
                      <w:szCs w:val="21"/>
                      <w:highlight w:val="none"/>
                      <w:u w:val="single" w:color="auto"/>
                      <w:lang w:val="en-US" w:eastAsia="zh-CN"/>
                    </w:rPr>
                    <w:t>备注</w:t>
                  </w:r>
                </w:p>
              </w:tc>
            </w:tr>
            <w:tr w14:paraId="638DD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957" w:type="dxa"/>
                  <w:noWrap w:val="0"/>
                  <w:vAlign w:val="center"/>
                </w:tcPr>
                <w:p w14:paraId="7DB42983">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1</w:t>
                  </w:r>
                </w:p>
              </w:tc>
              <w:tc>
                <w:tcPr>
                  <w:tcW w:w="2255" w:type="dxa"/>
                  <w:shd w:val="clear" w:color="auto" w:fill="auto"/>
                  <w:noWrap w:val="0"/>
                  <w:vAlign w:val="center"/>
                </w:tcPr>
                <w:p w14:paraId="39A837F8">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default" w:ascii="Times New Roman" w:hAnsi="Times New Roman" w:eastAsia="宋体" w:cs="Times New Roman"/>
                      <w:bCs/>
                      <w:color w:val="auto"/>
                      <w:szCs w:val="21"/>
                      <w:highlight w:val="none"/>
                      <w:u w:val="single" w:color="auto"/>
                      <w:lang w:val="en-US" w:eastAsia="zh-CN"/>
                    </w:rPr>
                    <w:t>丙烯酸酯类树脂涂料</w:t>
                  </w:r>
                </w:p>
              </w:tc>
              <w:tc>
                <w:tcPr>
                  <w:tcW w:w="1459" w:type="dxa"/>
                  <w:shd w:val="clear" w:color="auto" w:fill="auto"/>
                  <w:noWrap w:val="0"/>
                  <w:vAlign w:val="center"/>
                </w:tcPr>
                <w:p w14:paraId="6E3C2D58">
                  <w:pPr>
                    <w:jc w:val="center"/>
                    <w:rPr>
                      <w:rFonts w:hint="default" w:ascii="Times New Roman" w:hAnsi="Times New Roman" w:eastAsia="宋体" w:cs="Times New Roman"/>
                      <w:bCs/>
                      <w:color w:val="auto"/>
                      <w:kern w:val="2"/>
                      <w:sz w:val="21"/>
                      <w:szCs w:val="21"/>
                      <w:highlight w:val="none"/>
                      <w:u w:val="single" w:color="auto"/>
                      <w:lang w:val="en-US" w:eastAsia="zh-CN" w:bidi="ar-SA"/>
                    </w:rPr>
                  </w:pPr>
                  <w:r>
                    <w:rPr>
                      <w:rFonts w:hint="eastAsia" w:ascii="Times New Roman" w:hAnsi="Times New Roman" w:eastAsia="宋体" w:cs="Times New Roman"/>
                      <w:bCs/>
                      <w:color w:val="auto"/>
                      <w:szCs w:val="21"/>
                      <w:highlight w:val="none"/>
                      <w:u w:val="single" w:color="auto"/>
                      <w:lang w:val="en-US" w:eastAsia="zh-CN"/>
                    </w:rPr>
                    <w:t>2.820</w:t>
                  </w:r>
                </w:p>
              </w:tc>
              <w:tc>
                <w:tcPr>
                  <w:tcW w:w="2447" w:type="dxa"/>
                  <w:shd w:val="clear" w:color="auto" w:fill="auto"/>
                  <w:noWrap w:val="0"/>
                  <w:vAlign w:val="center"/>
                </w:tcPr>
                <w:p w14:paraId="6DA5F760">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cs="Times New Roman"/>
                      <w:bCs/>
                      <w:color w:val="auto"/>
                      <w:szCs w:val="21"/>
                      <w:highlight w:val="none"/>
                      <w:u w:val="single" w:color="auto"/>
                      <w:lang w:val="en-US" w:eastAsia="zh-CN"/>
                    </w:rPr>
                    <w:t>高铁连接板涂装面漆</w:t>
                  </w:r>
                </w:p>
              </w:tc>
            </w:tr>
            <w:tr w14:paraId="0178E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957" w:type="dxa"/>
                  <w:noWrap w:val="0"/>
                  <w:vAlign w:val="center"/>
                </w:tcPr>
                <w:p w14:paraId="2BA79471">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2</w:t>
                  </w:r>
                </w:p>
              </w:tc>
              <w:tc>
                <w:tcPr>
                  <w:tcW w:w="2255" w:type="dxa"/>
                  <w:shd w:val="clear" w:color="auto" w:fill="auto"/>
                  <w:noWrap w:val="0"/>
                  <w:vAlign w:val="center"/>
                </w:tcPr>
                <w:p w14:paraId="2A2D84C3">
                  <w:pPr>
                    <w:jc w:val="center"/>
                    <w:rPr>
                      <w:rFonts w:hint="default" w:ascii="Times New Roman" w:hAnsi="Times New Roman" w:eastAsia="宋体" w:cs="Times New Roman"/>
                      <w:bCs/>
                      <w:color w:val="auto"/>
                      <w:kern w:val="2"/>
                      <w:sz w:val="21"/>
                      <w:szCs w:val="21"/>
                      <w:highlight w:val="none"/>
                      <w:u w:val="single" w:color="auto"/>
                      <w:lang w:val="en-US" w:eastAsia="zh-CN" w:bidi="ar-SA"/>
                    </w:rPr>
                  </w:pPr>
                  <w:r>
                    <w:rPr>
                      <w:rFonts w:hint="default" w:ascii="Times New Roman" w:hAnsi="Times New Roman" w:eastAsia="宋体" w:cs="Times New Roman"/>
                      <w:bCs/>
                      <w:color w:val="auto"/>
                      <w:szCs w:val="21"/>
                      <w:highlight w:val="none"/>
                      <w:u w:val="single" w:color="auto"/>
                      <w:lang w:val="en-US" w:eastAsia="zh-CN"/>
                    </w:rPr>
                    <w:t>醇酸树脂涂料</w:t>
                  </w:r>
                </w:p>
              </w:tc>
              <w:tc>
                <w:tcPr>
                  <w:tcW w:w="1459" w:type="dxa"/>
                  <w:shd w:val="clear" w:color="auto" w:fill="auto"/>
                  <w:noWrap w:val="0"/>
                  <w:vAlign w:val="center"/>
                </w:tcPr>
                <w:p w14:paraId="77655772">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ascii="Times New Roman" w:hAnsi="Times New Roman" w:eastAsia="宋体" w:cs="Times New Roman"/>
                      <w:bCs/>
                      <w:color w:val="auto"/>
                      <w:szCs w:val="21"/>
                      <w:highlight w:val="none"/>
                      <w:u w:val="single" w:color="auto"/>
                      <w:lang w:val="en-US" w:eastAsia="zh-CN"/>
                    </w:rPr>
                    <w:t>1.851</w:t>
                  </w:r>
                </w:p>
              </w:tc>
              <w:tc>
                <w:tcPr>
                  <w:tcW w:w="2447" w:type="dxa"/>
                  <w:shd w:val="clear" w:color="auto" w:fill="auto"/>
                  <w:noWrap w:val="0"/>
                  <w:vAlign w:val="center"/>
                </w:tcPr>
                <w:p w14:paraId="2A281D34">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cs="Times New Roman"/>
                      <w:bCs/>
                      <w:color w:val="auto"/>
                      <w:szCs w:val="21"/>
                      <w:highlight w:val="none"/>
                      <w:u w:val="single" w:color="auto"/>
                      <w:lang w:val="en-US" w:eastAsia="zh-CN"/>
                    </w:rPr>
                    <w:t>高铁连接板涂装底漆</w:t>
                  </w:r>
                </w:p>
              </w:tc>
            </w:tr>
            <w:tr w14:paraId="6CD42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957" w:type="dxa"/>
                  <w:noWrap w:val="0"/>
                  <w:vAlign w:val="center"/>
                </w:tcPr>
                <w:p w14:paraId="7BD0B4CF">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3</w:t>
                  </w:r>
                </w:p>
              </w:tc>
              <w:tc>
                <w:tcPr>
                  <w:tcW w:w="2255" w:type="dxa"/>
                  <w:shd w:val="clear" w:color="auto" w:fill="auto"/>
                  <w:noWrap w:val="0"/>
                  <w:vAlign w:val="center"/>
                </w:tcPr>
                <w:p w14:paraId="1E9A7139">
                  <w:pPr>
                    <w:jc w:val="center"/>
                    <w:rPr>
                      <w:rFonts w:hint="default" w:ascii="Times New Roman" w:hAnsi="Times New Roman" w:eastAsia="宋体" w:cs="Times New Roman"/>
                      <w:bCs/>
                      <w:color w:val="auto"/>
                      <w:kern w:val="2"/>
                      <w:sz w:val="21"/>
                      <w:szCs w:val="21"/>
                      <w:highlight w:val="none"/>
                      <w:u w:val="single" w:color="auto"/>
                      <w:lang w:val="en-US" w:eastAsia="zh-CN" w:bidi="ar-SA"/>
                    </w:rPr>
                  </w:pPr>
                  <w:r>
                    <w:rPr>
                      <w:rFonts w:hint="eastAsia" w:ascii="Times New Roman" w:hAnsi="Times New Roman" w:eastAsia="宋体" w:cs="Times New Roman"/>
                      <w:bCs/>
                      <w:color w:val="auto"/>
                      <w:szCs w:val="21"/>
                      <w:highlight w:val="none"/>
                      <w:u w:val="single" w:color="auto"/>
                      <w:lang w:val="en-US" w:eastAsia="zh-CN"/>
                    </w:rPr>
                    <w:t>稀释剂</w:t>
                  </w:r>
                </w:p>
              </w:tc>
              <w:tc>
                <w:tcPr>
                  <w:tcW w:w="1459" w:type="dxa"/>
                  <w:shd w:val="clear" w:color="auto" w:fill="auto"/>
                  <w:noWrap w:val="0"/>
                  <w:vAlign w:val="center"/>
                </w:tcPr>
                <w:p w14:paraId="75B03349">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cs="Times New Roman"/>
                      <w:bCs/>
                      <w:color w:val="auto"/>
                      <w:szCs w:val="21"/>
                      <w:highlight w:val="none"/>
                      <w:u w:val="single" w:color="auto"/>
                      <w:lang w:val="en-US" w:eastAsia="zh-CN"/>
                    </w:rPr>
                    <w:t>0.9342</w:t>
                  </w:r>
                </w:p>
              </w:tc>
              <w:tc>
                <w:tcPr>
                  <w:tcW w:w="2447" w:type="dxa"/>
                  <w:shd w:val="clear" w:color="auto" w:fill="auto"/>
                  <w:noWrap w:val="0"/>
                  <w:vAlign w:val="center"/>
                </w:tcPr>
                <w:p w14:paraId="42EB5973">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cs="Times New Roman"/>
                      <w:bCs/>
                      <w:color w:val="auto"/>
                      <w:szCs w:val="21"/>
                      <w:highlight w:val="none"/>
                      <w:u w:val="single" w:color="auto"/>
                      <w:lang w:val="en-US" w:eastAsia="zh-CN"/>
                    </w:rPr>
                    <w:t>高铁连接板涂装</w:t>
                  </w:r>
                </w:p>
              </w:tc>
            </w:tr>
            <w:tr w14:paraId="4A030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957" w:type="dxa"/>
                  <w:noWrap w:val="0"/>
                  <w:vAlign w:val="center"/>
                </w:tcPr>
                <w:p w14:paraId="0D528674">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4</w:t>
                  </w:r>
                </w:p>
              </w:tc>
              <w:tc>
                <w:tcPr>
                  <w:tcW w:w="2255" w:type="dxa"/>
                  <w:shd w:val="clear" w:color="auto" w:fill="auto"/>
                  <w:noWrap w:val="0"/>
                  <w:vAlign w:val="center"/>
                </w:tcPr>
                <w:p w14:paraId="4FB43703">
                  <w:pPr>
                    <w:jc w:val="center"/>
                    <w:rPr>
                      <w:rFonts w:hint="default" w:ascii="Times New Roman" w:hAnsi="Times New Roman" w:eastAsia="宋体" w:cs="Times New Roman"/>
                      <w:bCs/>
                      <w:color w:val="auto"/>
                      <w:kern w:val="2"/>
                      <w:sz w:val="21"/>
                      <w:szCs w:val="21"/>
                      <w:highlight w:val="none"/>
                      <w:u w:val="single" w:color="auto"/>
                      <w:lang w:val="en-US" w:eastAsia="zh-CN" w:bidi="ar-SA"/>
                    </w:rPr>
                  </w:pPr>
                  <w:r>
                    <w:rPr>
                      <w:rFonts w:hint="eastAsia" w:ascii="Times New Roman" w:hAnsi="Times New Roman" w:eastAsia="宋体" w:cs="Times New Roman"/>
                      <w:bCs/>
                      <w:color w:val="auto"/>
                      <w:szCs w:val="21"/>
                      <w:highlight w:val="none"/>
                      <w:u w:val="single" w:color="auto"/>
                      <w:lang w:val="en-US" w:eastAsia="zh-CN"/>
                    </w:rPr>
                    <w:t>固化剂</w:t>
                  </w:r>
                </w:p>
              </w:tc>
              <w:tc>
                <w:tcPr>
                  <w:tcW w:w="1459" w:type="dxa"/>
                  <w:shd w:val="clear" w:color="auto" w:fill="auto"/>
                  <w:noWrap w:val="0"/>
                  <w:vAlign w:val="center"/>
                </w:tcPr>
                <w:p w14:paraId="0FEC6062">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ascii="Times New Roman" w:hAnsi="Times New Roman" w:eastAsia="宋体" w:cs="Times New Roman"/>
                      <w:bCs/>
                      <w:color w:val="auto"/>
                      <w:szCs w:val="21"/>
                      <w:highlight w:val="none"/>
                      <w:u w:val="single" w:color="auto"/>
                      <w:lang w:val="en-US" w:eastAsia="zh-CN"/>
                    </w:rPr>
                    <w:t>0.2</w:t>
                  </w:r>
                  <w:r>
                    <w:rPr>
                      <w:rFonts w:hint="eastAsia" w:cs="Times New Roman"/>
                      <w:bCs/>
                      <w:color w:val="auto"/>
                      <w:szCs w:val="21"/>
                      <w:highlight w:val="none"/>
                      <w:u w:val="single" w:color="auto"/>
                      <w:lang w:val="en-US" w:eastAsia="zh-CN"/>
                    </w:rPr>
                    <w:t>333</w:t>
                  </w:r>
                </w:p>
              </w:tc>
              <w:tc>
                <w:tcPr>
                  <w:tcW w:w="2447" w:type="dxa"/>
                  <w:shd w:val="clear" w:color="auto" w:fill="auto"/>
                  <w:noWrap w:val="0"/>
                  <w:vAlign w:val="center"/>
                </w:tcPr>
                <w:p w14:paraId="21286C2C">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cs="Times New Roman"/>
                      <w:bCs/>
                      <w:color w:val="auto"/>
                      <w:szCs w:val="21"/>
                      <w:highlight w:val="none"/>
                      <w:u w:val="single" w:color="auto"/>
                      <w:lang w:val="en-US" w:eastAsia="zh-CN"/>
                    </w:rPr>
                    <w:t>高铁连接板涂装</w:t>
                  </w:r>
                </w:p>
              </w:tc>
            </w:tr>
            <w:tr w14:paraId="7C1C3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957" w:type="dxa"/>
                  <w:noWrap w:val="0"/>
                  <w:vAlign w:val="center"/>
                </w:tcPr>
                <w:p w14:paraId="6EB0BBF1">
                  <w:pPr>
                    <w:jc w:val="center"/>
                    <w:rPr>
                      <w:rFonts w:hint="default" w:ascii="Times New Roman" w:hAnsi="Times New Roman" w:eastAsia="宋体" w:cs="Times New Roman"/>
                      <w:bCs/>
                      <w:color w:val="auto"/>
                      <w:szCs w:val="21"/>
                      <w:highlight w:val="none"/>
                      <w:u w:val="single" w:color="auto"/>
                      <w:lang w:val="en-US" w:eastAsia="zh-CN"/>
                    </w:rPr>
                  </w:pPr>
                  <w:r>
                    <w:rPr>
                      <w:rFonts w:hint="eastAsia" w:cs="Times New Roman"/>
                      <w:bCs/>
                      <w:color w:val="auto"/>
                      <w:szCs w:val="21"/>
                      <w:highlight w:val="none"/>
                      <w:u w:val="single" w:color="auto"/>
                      <w:lang w:val="en-US" w:eastAsia="zh-CN"/>
                    </w:rPr>
                    <w:t>5</w:t>
                  </w:r>
                </w:p>
              </w:tc>
              <w:tc>
                <w:tcPr>
                  <w:tcW w:w="2255" w:type="dxa"/>
                  <w:shd w:val="clear" w:color="auto" w:fill="auto"/>
                  <w:noWrap w:val="0"/>
                  <w:vAlign w:val="center"/>
                </w:tcPr>
                <w:p w14:paraId="209261B4">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default" w:ascii="Times New Roman" w:hAnsi="Times New Roman" w:eastAsia="宋体" w:cs="Times New Roman"/>
                      <w:bCs/>
                      <w:color w:val="auto"/>
                      <w:szCs w:val="21"/>
                      <w:highlight w:val="none"/>
                      <w:u w:val="single" w:color="auto"/>
                      <w:lang w:val="en-US" w:eastAsia="zh-CN"/>
                    </w:rPr>
                    <w:t>环氧富锌底漆</w:t>
                  </w:r>
                </w:p>
              </w:tc>
              <w:tc>
                <w:tcPr>
                  <w:tcW w:w="1459" w:type="dxa"/>
                  <w:shd w:val="clear" w:color="auto" w:fill="auto"/>
                  <w:noWrap w:val="0"/>
                  <w:vAlign w:val="center"/>
                </w:tcPr>
                <w:p w14:paraId="767E0323">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ascii="Times New Roman" w:hAnsi="Times New Roman" w:eastAsia="宋体" w:cs="Times New Roman"/>
                      <w:bCs/>
                      <w:color w:val="auto"/>
                      <w:szCs w:val="21"/>
                      <w:highlight w:val="none"/>
                      <w:u w:val="single" w:color="auto"/>
                      <w:lang w:val="en-US" w:eastAsia="zh-CN"/>
                    </w:rPr>
                    <w:t>0.574</w:t>
                  </w:r>
                </w:p>
              </w:tc>
              <w:tc>
                <w:tcPr>
                  <w:tcW w:w="2447" w:type="dxa"/>
                  <w:shd w:val="clear" w:color="auto" w:fill="auto"/>
                  <w:noWrap w:val="0"/>
                  <w:vAlign w:val="center"/>
                </w:tcPr>
                <w:p w14:paraId="689220C0">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cs="Times New Roman"/>
                      <w:bCs/>
                      <w:color w:val="auto"/>
                      <w:szCs w:val="21"/>
                      <w:highlight w:val="none"/>
                      <w:u w:val="single" w:color="auto"/>
                      <w:lang w:val="en-US" w:eastAsia="zh-CN"/>
                    </w:rPr>
                    <w:t>风扇、风罩涂装底漆</w:t>
                  </w:r>
                </w:p>
              </w:tc>
            </w:tr>
            <w:tr w14:paraId="0077F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957" w:type="dxa"/>
                  <w:noWrap w:val="0"/>
                  <w:vAlign w:val="center"/>
                </w:tcPr>
                <w:p w14:paraId="0C5B3C5B">
                  <w:pPr>
                    <w:jc w:val="center"/>
                    <w:rPr>
                      <w:rFonts w:hint="default" w:ascii="Times New Roman" w:hAnsi="Times New Roman" w:eastAsia="宋体" w:cs="Times New Roman"/>
                      <w:bCs/>
                      <w:color w:val="auto"/>
                      <w:szCs w:val="21"/>
                      <w:highlight w:val="none"/>
                      <w:u w:val="single" w:color="auto"/>
                      <w:lang w:val="en-US" w:eastAsia="zh-CN"/>
                    </w:rPr>
                  </w:pPr>
                  <w:r>
                    <w:rPr>
                      <w:rFonts w:hint="eastAsia" w:cs="Times New Roman"/>
                      <w:bCs/>
                      <w:color w:val="auto"/>
                      <w:szCs w:val="21"/>
                      <w:highlight w:val="none"/>
                      <w:u w:val="single" w:color="auto"/>
                      <w:lang w:val="en-US" w:eastAsia="zh-CN"/>
                    </w:rPr>
                    <w:t>6</w:t>
                  </w:r>
                </w:p>
              </w:tc>
              <w:tc>
                <w:tcPr>
                  <w:tcW w:w="2255" w:type="dxa"/>
                  <w:shd w:val="clear" w:color="auto" w:fill="auto"/>
                  <w:noWrap w:val="0"/>
                  <w:vAlign w:val="center"/>
                </w:tcPr>
                <w:p w14:paraId="4309A3DE">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ascii="Times New Roman" w:hAnsi="Times New Roman" w:eastAsia="宋体" w:cs="Times New Roman"/>
                      <w:bCs/>
                      <w:color w:val="auto"/>
                      <w:szCs w:val="21"/>
                      <w:highlight w:val="none"/>
                      <w:u w:val="single" w:color="auto"/>
                      <w:lang w:val="en-US" w:eastAsia="zh-CN"/>
                    </w:rPr>
                    <w:t>稀释剂</w:t>
                  </w:r>
                </w:p>
              </w:tc>
              <w:tc>
                <w:tcPr>
                  <w:tcW w:w="1459" w:type="dxa"/>
                  <w:shd w:val="clear" w:color="auto" w:fill="auto"/>
                  <w:noWrap w:val="0"/>
                  <w:vAlign w:val="center"/>
                </w:tcPr>
                <w:p w14:paraId="4B02FC05">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cs="Times New Roman"/>
                      <w:bCs/>
                      <w:color w:val="auto"/>
                      <w:szCs w:val="21"/>
                      <w:highlight w:val="none"/>
                      <w:u w:val="single" w:color="auto"/>
                      <w:lang w:val="en-US" w:eastAsia="zh-CN"/>
                    </w:rPr>
                    <w:t>0.1148</w:t>
                  </w:r>
                </w:p>
              </w:tc>
              <w:tc>
                <w:tcPr>
                  <w:tcW w:w="2447" w:type="dxa"/>
                  <w:shd w:val="clear" w:color="auto" w:fill="auto"/>
                  <w:noWrap w:val="0"/>
                  <w:vAlign w:val="center"/>
                </w:tcPr>
                <w:p w14:paraId="0F39DD47">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cs="Times New Roman"/>
                      <w:bCs/>
                      <w:color w:val="auto"/>
                      <w:szCs w:val="21"/>
                      <w:highlight w:val="none"/>
                      <w:u w:val="single" w:color="auto"/>
                      <w:lang w:val="en-US" w:eastAsia="zh-CN"/>
                    </w:rPr>
                    <w:t>风扇、风罩涂装</w:t>
                  </w:r>
                </w:p>
              </w:tc>
            </w:tr>
            <w:tr w14:paraId="75DBF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957" w:type="dxa"/>
                  <w:noWrap w:val="0"/>
                  <w:vAlign w:val="center"/>
                </w:tcPr>
                <w:p w14:paraId="20E1F536">
                  <w:pPr>
                    <w:jc w:val="center"/>
                    <w:rPr>
                      <w:rFonts w:hint="default" w:ascii="Times New Roman" w:hAnsi="Times New Roman" w:eastAsia="宋体" w:cs="Times New Roman"/>
                      <w:bCs/>
                      <w:color w:val="auto"/>
                      <w:szCs w:val="21"/>
                      <w:highlight w:val="none"/>
                      <w:u w:val="single" w:color="auto"/>
                      <w:lang w:val="en-US" w:eastAsia="zh-CN"/>
                    </w:rPr>
                  </w:pPr>
                  <w:r>
                    <w:rPr>
                      <w:rFonts w:hint="eastAsia" w:cs="Times New Roman"/>
                      <w:bCs/>
                      <w:color w:val="auto"/>
                      <w:szCs w:val="21"/>
                      <w:highlight w:val="none"/>
                      <w:u w:val="single" w:color="auto"/>
                      <w:lang w:val="en-US" w:eastAsia="zh-CN"/>
                    </w:rPr>
                    <w:t>7</w:t>
                  </w:r>
                </w:p>
              </w:tc>
              <w:tc>
                <w:tcPr>
                  <w:tcW w:w="2255" w:type="dxa"/>
                  <w:shd w:val="clear" w:color="auto" w:fill="auto"/>
                  <w:noWrap w:val="0"/>
                  <w:vAlign w:val="center"/>
                </w:tcPr>
                <w:p w14:paraId="3C08233B">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ascii="Times New Roman" w:hAnsi="Times New Roman" w:eastAsia="宋体" w:cs="Times New Roman"/>
                      <w:bCs/>
                      <w:color w:val="auto"/>
                      <w:szCs w:val="21"/>
                      <w:highlight w:val="none"/>
                      <w:u w:val="single" w:color="auto"/>
                      <w:lang w:val="en-US" w:eastAsia="zh-CN"/>
                    </w:rPr>
                    <w:t>固化剂</w:t>
                  </w:r>
                </w:p>
              </w:tc>
              <w:tc>
                <w:tcPr>
                  <w:tcW w:w="1459" w:type="dxa"/>
                  <w:shd w:val="clear" w:color="auto" w:fill="auto"/>
                  <w:noWrap w:val="0"/>
                  <w:vAlign w:val="center"/>
                </w:tcPr>
                <w:p w14:paraId="7058F16D">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cs="Times New Roman"/>
                      <w:bCs/>
                      <w:color w:val="auto"/>
                      <w:szCs w:val="21"/>
                      <w:highlight w:val="none"/>
                      <w:u w:val="single" w:color="auto"/>
                      <w:lang w:val="en-US" w:eastAsia="zh-CN"/>
                    </w:rPr>
                    <w:t>0.0287</w:t>
                  </w:r>
                </w:p>
              </w:tc>
              <w:tc>
                <w:tcPr>
                  <w:tcW w:w="2447" w:type="dxa"/>
                  <w:shd w:val="clear" w:color="auto" w:fill="auto"/>
                  <w:noWrap w:val="0"/>
                  <w:vAlign w:val="center"/>
                </w:tcPr>
                <w:p w14:paraId="043014AA">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cs="Times New Roman"/>
                      <w:bCs/>
                      <w:color w:val="auto"/>
                      <w:szCs w:val="21"/>
                      <w:highlight w:val="none"/>
                      <w:u w:val="single" w:color="auto"/>
                      <w:lang w:val="en-US" w:eastAsia="zh-CN"/>
                    </w:rPr>
                    <w:t>风扇、风罩涂装</w:t>
                  </w:r>
                </w:p>
              </w:tc>
            </w:tr>
            <w:tr w14:paraId="3DEB1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3212" w:type="dxa"/>
                  <w:gridSpan w:val="2"/>
                  <w:noWrap w:val="0"/>
                  <w:vAlign w:val="center"/>
                </w:tcPr>
                <w:p w14:paraId="4FA961AD">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合计</w:t>
                  </w:r>
                </w:p>
              </w:tc>
              <w:tc>
                <w:tcPr>
                  <w:tcW w:w="3906" w:type="dxa"/>
                  <w:gridSpan w:val="2"/>
                  <w:noWrap w:val="0"/>
                  <w:vAlign w:val="center"/>
                </w:tcPr>
                <w:p w14:paraId="37D22CD0">
                  <w:pPr>
                    <w:jc w:val="center"/>
                    <w:rPr>
                      <w:rFonts w:hint="eastAsia" w:cs="Times New Roman"/>
                      <w:bCs/>
                      <w:color w:val="auto"/>
                      <w:szCs w:val="21"/>
                      <w:highlight w:val="none"/>
                      <w:u w:val="single" w:color="auto"/>
                      <w:lang w:val="en-US" w:eastAsia="zh-CN"/>
                    </w:rPr>
                  </w:pPr>
                  <w:r>
                    <w:rPr>
                      <w:rFonts w:hint="eastAsia" w:cs="Times New Roman"/>
                      <w:bCs/>
                      <w:color w:val="auto"/>
                      <w:szCs w:val="21"/>
                      <w:highlight w:val="none"/>
                      <w:u w:val="single" w:color="auto"/>
                      <w:lang w:val="en-US" w:eastAsia="zh-CN"/>
                    </w:rPr>
                    <w:t>6.556</w:t>
                  </w:r>
                </w:p>
              </w:tc>
            </w:tr>
          </w:tbl>
          <w:p w14:paraId="7EBC3A65">
            <w:pPr>
              <w:adjustRightInd w:val="0"/>
              <w:snapToGrid w:val="0"/>
              <w:spacing w:line="300" w:lineRule="exact"/>
              <w:jc w:val="center"/>
              <w:rPr>
                <w:rFonts w:hint="eastAsia" w:hAnsi="宋体"/>
                <w:b/>
                <w:color w:val="auto"/>
                <w:szCs w:val="21"/>
                <w:highlight w:val="none"/>
                <w:u w:val="single" w:color="auto"/>
              </w:rPr>
            </w:pPr>
            <w:r>
              <w:rPr>
                <w:rFonts w:hint="eastAsia" w:hAnsi="宋体"/>
                <w:b/>
                <w:color w:val="auto"/>
                <w:szCs w:val="21"/>
                <w:highlight w:val="none"/>
                <w:u w:val="single" w:color="auto"/>
              </w:rPr>
              <w:t>表</w:t>
            </w:r>
            <w:r>
              <w:rPr>
                <w:rFonts w:hint="eastAsia" w:hAnsi="宋体"/>
                <w:b/>
                <w:color w:val="auto"/>
                <w:szCs w:val="21"/>
                <w:highlight w:val="none"/>
                <w:u w:val="single" w:color="auto"/>
                <w:lang w:val="en-US" w:eastAsia="zh-CN"/>
              </w:rPr>
              <w:t xml:space="preserve">2-7  </w:t>
            </w:r>
            <w:r>
              <w:rPr>
                <w:rFonts w:hint="eastAsia" w:hAnsi="宋体"/>
                <w:b/>
                <w:color w:val="auto"/>
                <w:szCs w:val="21"/>
                <w:highlight w:val="none"/>
                <w:u w:val="single" w:color="auto"/>
              </w:rPr>
              <w:t>油漆物料平衡分析表</w:t>
            </w:r>
          </w:p>
          <w:tbl>
            <w:tblPr>
              <w:tblStyle w:val="31"/>
              <w:tblW w:w="77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2"/>
              <w:gridCol w:w="972"/>
              <w:gridCol w:w="872"/>
              <w:gridCol w:w="885"/>
              <w:gridCol w:w="900"/>
              <w:gridCol w:w="1193"/>
              <w:gridCol w:w="926"/>
              <w:gridCol w:w="803"/>
              <w:gridCol w:w="803"/>
            </w:tblGrid>
            <w:tr w14:paraId="6BB40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blHeader/>
                <w:jc w:val="center"/>
              </w:trPr>
              <w:tc>
                <w:tcPr>
                  <w:tcW w:w="412" w:type="dxa"/>
                  <w:noWrap w:val="0"/>
                  <w:vAlign w:val="center"/>
                </w:tcPr>
                <w:p w14:paraId="082AC4E1">
                  <w:pPr>
                    <w:widowControl w:val="0"/>
                    <w:snapToGrid w:val="0"/>
                    <w:spacing w:line="240" w:lineRule="auto"/>
                    <w:ind w:firstLine="0" w:firstLineChars="0"/>
                    <w:jc w:val="center"/>
                    <w:rPr>
                      <w:rFonts w:hint="default" w:ascii="Times New Roman" w:hAnsi="Times New Roman" w:eastAsia="宋体" w:cs="Times New Roman"/>
                      <w:b/>
                      <w:bCs w:val="0"/>
                      <w:color w:val="auto"/>
                      <w:kern w:val="2"/>
                      <w:sz w:val="21"/>
                      <w:szCs w:val="21"/>
                      <w:highlight w:val="none"/>
                      <w:u w:val="single" w:color="auto"/>
                      <w:lang w:val="en-US" w:eastAsia="zh-CN" w:bidi="ar-SA"/>
                    </w:rPr>
                  </w:pPr>
                  <w:r>
                    <w:rPr>
                      <w:rFonts w:hint="eastAsia" w:ascii="Times New Roman" w:hAnsi="Times New Roman" w:eastAsia="宋体" w:cs="Times New Roman"/>
                      <w:b/>
                      <w:bCs w:val="0"/>
                      <w:color w:val="auto"/>
                      <w:kern w:val="2"/>
                      <w:sz w:val="21"/>
                      <w:szCs w:val="21"/>
                      <w:highlight w:val="none"/>
                      <w:u w:val="single" w:color="auto"/>
                      <w:lang w:val="en-US" w:eastAsia="zh-CN" w:bidi="ar-SA"/>
                    </w:rPr>
                    <w:t>序号</w:t>
                  </w:r>
                </w:p>
              </w:tc>
              <w:tc>
                <w:tcPr>
                  <w:tcW w:w="972" w:type="dxa"/>
                  <w:noWrap w:val="0"/>
                  <w:vAlign w:val="center"/>
                </w:tcPr>
                <w:p w14:paraId="2902D06E">
                  <w:pPr>
                    <w:widowControl w:val="0"/>
                    <w:snapToGrid w:val="0"/>
                    <w:spacing w:line="240" w:lineRule="auto"/>
                    <w:ind w:firstLine="0" w:firstLineChars="0"/>
                    <w:jc w:val="center"/>
                    <w:rPr>
                      <w:rFonts w:hint="default" w:ascii="Times New Roman" w:hAnsi="Times New Roman" w:eastAsia="宋体" w:cs="Times New Roman"/>
                      <w:b/>
                      <w:bCs w:val="0"/>
                      <w:color w:val="auto"/>
                      <w:kern w:val="2"/>
                      <w:sz w:val="21"/>
                      <w:szCs w:val="21"/>
                      <w:highlight w:val="none"/>
                      <w:u w:val="single" w:color="auto"/>
                      <w:lang w:val="en-US" w:eastAsia="zh-CN" w:bidi="ar-SA"/>
                    </w:rPr>
                  </w:pPr>
                  <w:r>
                    <w:rPr>
                      <w:rFonts w:hint="default" w:ascii="Times New Roman" w:hAnsi="Times New Roman" w:eastAsia="宋体" w:cs="Times New Roman"/>
                      <w:b/>
                      <w:bCs w:val="0"/>
                      <w:color w:val="auto"/>
                      <w:kern w:val="2"/>
                      <w:sz w:val="21"/>
                      <w:szCs w:val="21"/>
                      <w:highlight w:val="none"/>
                      <w:u w:val="single" w:color="auto"/>
                      <w:lang w:val="en-US" w:eastAsia="zh-CN" w:bidi="ar-SA"/>
                    </w:rPr>
                    <w:t>名称</w:t>
                  </w:r>
                </w:p>
              </w:tc>
              <w:tc>
                <w:tcPr>
                  <w:tcW w:w="872" w:type="dxa"/>
                  <w:noWrap w:val="0"/>
                  <w:vAlign w:val="center"/>
                </w:tcPr>
                <w:p w14:paraId="167F87D5">
                  <w:pPr>
                    <w:widowControl w:val="0"/>
                    <w:snapToGrid w:val="0"/>
                    <w:spacing w:line="240" w:lineRule="auto"/>
                    <w:ind w:firstLine="0" w:firstLineChars="0"/>
                    <w:jc w:val="center"/>
                    <w:rPr>
                      <w:rFonts w:hint="default" w:ascii="Times New Roman" w:hAnsi="Times New Roman" w:eastAsia="宋体" w:cs="Times New Roman"/>
                      <w:b/>
                      <w:bCs w:val="0"/>
                      <w:color w:val="auto"/>
                      <w:kern w:val="2"/>
                      <w:sz w:val="21"/>
                      <w:szCs w:val="21"/>
                      <w:highlight w:val="none"/>
                      <w:u w:val="single" w:color="auto"/>
                      <w:lang w:val="en-US" w:eastAsia="zh-CN" w:bidi="ar-SA"/>
                    </w:rPr>
                  </w:pPr>
                  <w:r>
                    <w:rPr>
                      <w:rFonts w:hint="default" w:ascii="Times New Roman" w:hAnsi="Times New Roman" w:eastAsia="宋体" w:cs="Times New Roman"/>
                      <w:b/>
                      <w:bCs w:val="0"/>
                      <w:color w:val="auto"/>
                      <w:kern w:val="2"/>
                      <w:sz w:val="21"/>
                      <w:szCs w:val="21"/>
                      <w:highlight w:val="none"/>
                      <w:u w:val="single" w:color="auto"/>
                      <w:lang w:val="en-US" w:eastAsia="zh-CN" w:bidi="ar-SA"/>
                    </w:rPr>
                    <w:t>用量（t/a）</w:t>
                  </w:r>
                </w:p>
              </w:tc>
              <w:tc>
                <w:tcPr>
                  <w:tcW w:w="885" w:type="dxa"/>
                  <w:noWrap w:val="0"/>
                  <w:vAlign w:val="center"/>
                </w:tcPr>
                <w:p w14:paraId="27F52FF7">
                  <w:pPr>
                    <w:widowControl w:val="0"/>
                    <w:snapToGrid w:val="0"/>
                    <w:spacing w:line="240" w:lineRule="auto"/>
                    <w:ind w:firstLine="0" w:firstLineChars="0"/>
                    <w:jc w:val="center"/>
                    <w:rPr>
                      <w:rFonts w:hint="default" w:ascii="Times New Roman" w:hAnsi="Times New Roman" w:eastAsia="宋体" w:cs="Times New Roman"/>
                      <w:b/>
                      <w:bCs w:val="0"/>
                      <w:color w:val="auto"/>
                      <w:kern w:val="2"/>
                      <w:sz w:val="21"/>
                      <w:szCs w:val="21"/>
                      <w:highlight w:val="none"/>
                      <w:u w:val="single" w:color="auto"/>
                      <w:lang w:val="en-US" w:eastAsia="zh-CN" w:bidi="ar-SA"/>
                    </w:rPr>
                  </w:pPr>
                  <w:r>
                    <w:rPr>
                      <w:rFonts w:hint="default" w:ascii="Times New Roman" w:hAnsi="Times New Roman" w:eastAsia="宋体" w:cs="Times New Roman"/>
                      <w:b/>
                      <w:bCs w:val="0"/>
                      <w:color w:val="auto"/>
                      <w:kern w:val="2"/>
                      <w:sz w:val="21"/>
                      <w:szCs w:val="21"/>
                      <w:highlight w:val="none"/>
                      <w:u w:val="single" w:color="auto"/>
                      <w:lang w:val="en-US" w:eastAsia="zh-CN" w:bidi="ar-SA"/>
                    </w:rPr>
                    <w:t>固体附着量（t/a）</w:t>
                  </w:r>
                </w:p>
              </w:tc>
              <w:tc>
                <w:tcPr>
                  <w:tcW w:w="900" w:type="dxa"/>
                  <w:noWrap w:val="0"/>
                  <w:vAlign w:val="center"/>
                </w:tcPr>
                <w:p w14:paraId="43B199EE">
                  <w:pPr>
                    <w:widowControl w:val="0"/>
                    <w:snapToGrid w:val="0"/>
                    <w:spacing w:line="240" w:lineRule="exact"/>
                    <w:ind w:firstLine="0" w:firstLineChars="0"/>
                    <w:jc w:val="center"/>
                    <w:rPr>
                      <w:rFonts w:hint="default" w:ascii="Times New Roman" w:hAnsi="Times New Roman" w:eastAsia="宋体" w:cs="Times New Roman"/>
                      <w:b/>
                      <w:bCs w:val="0"/>
                      <w:color w:val="auto"/>
                      <w:kern w:val="2"/>
                      <w:sz w:val="21"/>
                      <w:szCs w:val="21"/>
                      <w:highlight w:val="none"/>
                      <w:u w:val="single" w:color="auto"/>
                      <w:lang w:val="en-US" w:eastAsia="zh-CN" w:bidi="ar-SA"/>
                    </w:rPr>
                  </w:pPr>
                  <w:r>
                    <w:rPr>
                      <w:rFonts w:hint="default" w:ascii="Times New Roman" w:hAnsi="Times New Roman" w:eastAsia="宋体" w:cs="Times New Roman"/>
                      <w:b/>
                      <w:bCs w:val="0"/>
                      <w:color w:val="auto"/>
                      <w:kern w:val="2"/>
                      <w:sz w:val="21"/>
                      <w:szCs w:val="21"/>
                      <w:highlight w:val="none"/>
                      <w:u w:val="single" w:color="auto"/>
                      <w:lang w:val="en-US" w:eastAsia="zh-CN" w:bidi="ar-SA"/>
                    </w:rPr>
                    <w:t>漆雾产生量（t/a）</w:t>
                  </w:r>
                </w:p>
              </w:tc>
              <w:tc>
                <w:tcPr>
                  <w:tcW w:w="1193" w:type="dxa"/>
                  <w:noWrap w:val="0"/>
                  <w:vAlign w:val="center"/>
                </w:tcPr>
                <w:p w14:paraId="4E90FA0D">
                  <w:pPr>
                    <w:widowControl w:val="0"/>
                    <w:snapToGrid w:val="0"/>
                    <w:spacing w:line="240" w:lineRule="exact"/>
                    <w:ind w:firstLine="0" w:firstLineChars="0"/>
                    <w:jc w:val="center"/>
                    <w:rPr>
                      <w:rFonts w:hint="default" w:ascii="Times New Roman" w:hAnsi="Times New Roman" w:eastAsia="宋体" w:cs="Times New Roman"/>
                      <w:b/>
                      <w:bCs w:val="0"/>
                      <w:color w:val="auto"/>
                      <w:kern w:val="2"/>
                      <w:sz w:val="21"/>
                      <w:szCs w:val="21"/>
                      <w:highlight w:val="none"/>
                      <w:u w:val="single" w:color="auto"/>
                      <w:lang w:val="en-US" w:eastAsia="zh-CN" w:bidi="ar-SA"/>
                    </w:rPr>
                  </w:pPr>
                  <w:r>
                    <w:rPr>
                      <w:rFonts w:hint="default" w:ascii="Times New Roman" w:hAnsi="Times New Roman" w:eastAsia="宋体" w:cs="Times New Roman"/>
                      <w:b/>
                      <w:bCs w:val="0"/>
                      <w:color w:val="auto"/>
                      <w:kern w:val="2"/>
                      <w:sz w:val="21"/>
                      <w:szCs w:val="21"/>
                      <w:highlight w:val="none"/>
                      <w:u w:val="single" w:color="auto"/>
                      <w:lang w:val="en-US" w:eastAsia="zh-CN" w:bidi="ar-SA"/>
                    </w:rPr>
                    <w:t>VOCs挥发量（t/a）</w:t>
                  </w:r>
                </w:p>
              </w:tc>
              <w:tc>
                <w:tcPr>
                  <w:tcW w:w="926" w:type="dxa"/>
                  <w:noWrap w:val="0"/>
                  <w:vAlign w:val="center"/>
                </w:tcPr>
                <w:p w14:paraId="23727A39">
                  <w:pPr>
                    <w:widowControl w:val="0"/>
                    <w:snapToGrid w:val="0"/>
                    <w:spacing w:line="240" w:lineRule="auto"/>
                    <w:ind w:firstLine="0" w:firstLineChars="0"/>
                    <w:jc w:val="center"/>
                    <w:rPr>
                      <w:rFonts w:hint="default" w:ascii="Times New Roman" w:hAnsi="Times New Roman" w:eastAsia="宋体" w:cs="Times New Roman"/>
                      <w:b/>
                      <w:bCs w:val="0"/>
                      <w:color w:val="auto"/>
                      <w:kern w:val="2"/>
                      <w:sz w:val="21"/>
                      <w:szCs w:val="21"/>
                      <w:highlight w:val="none"/>
                      <w:u w:val="single" w:color="auto"/>
                      <w:lang w:val="en-US" w:eastAsia="zh-CN" w:bidi="ar-SA"/>
                    </w:rPr>
                  </w:pPr>
                  <w:r>
                    <w:rPr>
                      <w:rFonts w:hint="default" w:ascii="Times New Roman" w:hAnsi="Times New Roman" w:eastAsia="宋体" w:cs="Times New Roman"/>
                      <w:b/>
                      <w:bCs w:val="0"/>
                      <w:color w:val="auto"/>
                      <w:kern w:val="2"/>
                      <w:sz w:val="21"/>
                      <w:szCs w:val="21"/>
                      <w:highlight w:val="none"/>
                      <w:u w:val="single" w:color="auto"/>
                      <w:lang w:val="en-US" w:eastAsia="zh-CN" w:bidi="ar-SA"/>
                    </w:rPr>
                    <w:t>其中二甲苯挥发量（t/a）</w:t>
                  </w:r>
                </w:p>
              </w:tc>
              <w:tc>
                <w:tcPr>
                  <w:tcW w:w="803" w:type="dxa"/>
                  <w:noWrap w:val="0"/>
                  <w:vAlign w:val="center"/>
                </w:tcPr>
                <w:p w14:paraId="3BF44117">
                  <w:pPr>
                    <w:widowControl w:val="0"/>
                    <w:snapToGrid w:val="0"/>
                    <w:spacing w:line="240" w:lineRule="auto"/>
                    <w:ind w:firstLine="0" w:firstLineChars="0"/>
                    <w:jc w:val="center"/>
                    <w:rPr>
                      <w:rFonts w:hint="default" w:ascii="Times New Roman" w:hAnsi="Times New Roman" w:eastAsia="宋体" w:cs="Times New Roman"/>
                      <w:b/>
                      <w:bCs w:val="0"/>
                      <w:color w:val="auto"/>
                      <w:kern w:val="2"/>
                      <w:sz w:val="21"/>
                      <w:szCs w:val="21"/>
                      <w:highlight w:val="none"/>
                      <w:u w:val="single" w:color="auto"/>
                      <w:lang w:val="en-US" w:eastAsia="zh-CN" w:bidi="ar-SA"/>
                    </w:rPr>
                  </w:pPr>
                  <w:r>
                    <w:rPr>
                      <w:rFonts w:hint="default" w:ascii="Times New Roman" w:hAnsi="Times New Roman" w:eastAsia="宋体" w:cs="Times New Roman"/>
                      <w:b/>
                      <w:bCs w:val="0"/>
                      <w:color w:val="auto"/>
                      <w:kern w:val="2"/>
                      <w:sz w:val="21"/>
                      <w:szCs w:val="21"/>
                      <w:highlight w:val="none"/>
                      <w:u w:val="single" w:color="auto"/>
                      <w:lang w:val="en-US" w:eastAsia="zh-CN" w:bidi="ar-SA"/>
                    </w:rPr>
                    <w:t>其中甲苯挥发量（t/a）</w:t>
                  </w:r>
                </w:p>
              </w:tc>
              <w:tc>
                <w:tcPr>
                  <w:tcW w:w="803" w:type="dxa"/>
                  <w:noWrap w:val="0"/>
                  <w:vAlign w:val="center"/>
                </w:tcPr>
                <w:p w14:paraId="2628F431">
                  <w:pPr>
                    <w:widowControl w:val="0"/>
                    <w:snapToGrid w:val="0"/>
                    <w:spacing w:line="240" w:lineRule="auto"/>
                    <w:ind w:firstLine="0" w:firstLineChars="0"/>
                    <w:jc w:val="center"/>
                    <w:rPr>
                      <w:rFonts w:hint="default" w:ascii="Times New Roman" w:hAnsi="Times New Roman" w:eastAsia="宋体" w:cs="Times New Roman"/>
                      <w:b/>
                      <w:bCs w:val="0"/>
                      <w:color w:val="auto"/>
                      <w:kern w:val="2"/>
                      <w:sz w:val="21"/>
                      <w:szCs w:val="21"/>
                      <w:highlight w:val="none"/>
                      <w:u w:val="single" w:color="auto"/>
                      <w:lang w:val="en-US" w:eastAsia="zh-CN" w:bidi="ar-SA"/>
                    </w:rPr>
                  </w:pPr>
                  <w:r>
                    <w:rPr>
                      <w:rFonts w:hint="eastAsia" w:cs="Times New Roman"/>
                      <w:b/>
                      <w:bCs w:val="0"/>
                      <w:color w:val="auto"/>
                      <w:kern w:val="2"/>
                      <w:sz w:val="21"/>
                      <w:szCs w:val="21"/>
                      <w:highlight w:val="none"/>
                      <w:u w:val="single" w:color="auto"/>
                      <w:lang w:val="en-US" w:eastAsia="zh-CN" w:bidi="ar-SA"/>
                    </w:rPr>
                    <w:t>备注</w:t>
                  </w:r>
                </w:p>
              </w:tc>
            </w:tr>
            <w:tr w14:paraId="4B604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412" w:type="dxa"/>
                  <w:noWrap w:val="0"/>
                  <w:vAlign w:val="center"/>
                </w:tcPr>
                <w:p w14:paraId="47A52FF7">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1</w:t>
                  </w:r>
                </w:p>
              </w:tc>
              <w:tc>
                <w:tcPr>
                  <w:tcW w:w="972" w:type="dxa"/>
                  <w:noWrap w:val="0"/>
                  <w:vAlign w:val="center"/>
                </w:tcPr>
                <w:p w14:paraId="0BB307ED">
                  <w:pPr>
                    <w:jc w:val="center"/>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丙烯酸酯类树脂涂料</w:t>
                  </w:r>
                </w:p>
              </w:tc>
              <w:tc>
                <w:tcPr>
                  <w:tcW w:w="872" w:type="dxa"/>
                  <w:noWrap w:val="0"/>
                  <w:vAlign w:val="center"/>
                </w:tcPr>
                <w:p w14:paraId="7F9AE855">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2.820 </w:t>
                  </w:r>
                </w:p>
              </w:tc>
              <w:tc>
                <w:tcPr>
                  <w:tcW w:w="885" w:type="dxa"/>
                  <w:noWrap w:val="0"/>
                  <w:vAlign w:val="center"/>
                </w:tcPr>
                <w:p w14:paraId="0262E134">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1.210 </w:t>
                  </w:r>
                </w:p>
              </w:tc>
              <w:tc>
                <w:tcPr>
                  <w:tcW w:w="900" w:type="dxa"/>
                  <w:noWrap w:val="0"/>
                  <w:vAlign w:val="center"/>
                </w:tcPr>
                <w:p w14:paraId="67ABA00E">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0.341 </w:t>
                  </w:r>
                </w:p>
              </w:tc>
              <w:tc>
                <w:tcPr>
                  <w:tcW w:w="1193" w:type="dxa"/>
                  <w:noWrap w:val="0"/>
                  <w:vAlign w:val="center"/>
                </w:tcPr>
                <w:p w14:paraId="6CA5763D">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1.269 </w:t>
                  </w:r>
                </w:p>
              </w:tc>
              <w:tc>
                <w:tcPr>
                  <w:tcW w:w="926" w:type="dxa"/>
                  <w:noWrap w:val="0"/>
                  <w:vAlign w:val="center"/>
                </w:tcPr>
                <w:p w14:paraId="424CFEF2">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0.846 </w:t>
                  </w:r>
                </w:p>
              </w:tc>
              <w:tc>
                <w:tcPr>
                  <w:tcW w:w="803" w:type="dxa"/>
                  <w:noWrap w:val="0"/>
                  <w:vAlign w:val="center"/>
                </w:tcPr>
                <w:p w14:paraId="6A0145EE">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w:t>
                  </w:r>
                </w:p>
              </w:tc>
              <w:tc>
                <w:tcPr>
                  <w:tcW w:w="803" w:type="dxa"/>
                  <w:vMerge w:val="restart"/>
                  <w:noWrap w:val="0"/>
                  <w:vAlign w:val="center"/>
                </w:tcPr>
                <w:p w14:paraId="38E24444">
                  <w:pPr>
                    <w:jc w:val="center"/>
                    <w:rPr>
                      <w:rFonts w:hint="default" w:ascii="Times New Roman" w:hAnsi="Times New Roman" w:eastAsia="宋体" w:cs="Times New Roman"/>
                      <w:bCs/>
                      <w:color w:val="auto"/>
                      <w:szCs w:val="21"/>
                      <w:highlight w:val="none"/>
                      <w:u w:val="single" w:color="auto"/>
                      <w:lang w:val="en-US" w:eastAsia="zh-CN"/>
                    </w:rPr>
                  </w:pPr>
                  <w:r>
                    <w:rPr>
                      <w:rFonts w:hint="eastAsia" w:cs="Times New Roman"/>
                      <w:bCs/>
                      <w:color w:val="auto"/>
                      <w:szCs w:val="21"/>
                      <w:highlight w:val="none"/>
                      <w:u w:val="single" w:color="auto"/>
                      <w:lang w:val="en-US" w:eastAsia="zh-CN"/>
                    </w:rPr>
                    <w:t>高铁连接板</w:t>
                  </w:r>
                </w:p>
              </w:tc>
            </w:tr>
            <w:tr w14:paraId="6C7BF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12" w:type="dxa"/>
                  <w:noWrap w:val="0"/>
                  <w:vAlign w:val="center"/>
                </w:tcPr>
                <w:p w14:paraId="70D995F7">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2</w:t>
                  </w:r>
                </w:p>
              </w:tc>
              <w:tc>
                <w:tcPr>
                  <w:tcW w:w="972" w:type="dxa"/>
                  <w:noWrap w:val="0"/>
                  <w:vAlign w:val="center"/>
                </w:tcPr>
                <w:p w14:paraId="28FF2E2D">
                  <w:pPr>
                    <w:jc w:val="center"/>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醇酸树脂涂料</w:t>
                  </w:r>
                </w:p>
              </w:tc>
              <w:tc>
                <w:tcPr>
                  <w:tcW w:w="872" w:type="dxa"/>
                  <w:noWrap w:val="0"/>
                  <w:vAlign w:val="center"/>
                </w:tcPr>
                <w:p w14:paraId="73956BEF">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1.851 </w:t>
                  </w:r>
                </w:p>
              </w:tc>
              <w:tc>
                <w:tcPr>
                  <w:tcW w:w="885" w:type="dxa"/>
                  <w:noWrap w:val="0"/>
                  <w:vAlign w:val="center"/>
                </w:tcPr>
                <w:p w14:paraId="6FB78419">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1.299 </w:t>
                  </w:r>
                </w:p>
              </w:tc>
              <w:tc>
                <w:tcPr>
                  <w:tcW w:w="900" w:type="dxa"/>
                  <w:noWrap w:val="0"/>
                  <w:vAlign w:val="center"/>
                </w:tcPr>
                <w:p w14:paraId="28282692">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0.366 </w:t>
                  </w:r>
                </w:p>
              </w:tc>
              <w:tc>
                <w:tcPr>
                  <w:tcW w:w="1193" w:type="dxa"/>
                  <w:noWrap w:val="0"/>
                  <w:vAlign w:val="center"/>
                </w:tcPr>
                <w:p w14:paraId="371D7F7C">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0.185 </w:t>
                  </w:r>
                </w:p>
              </w:tc>
              <w:tc>
                <w:tcPr>
                  <w:tcW w:w="926" w:type="dxa"/>
                  <w:noWrap w:val="0"/>
                  <w:vAlign w:val="center"/>
                </w:tcPr>
                <w:p w14:paraId="227144F0">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0.000 </w:t>
                  </w:r>
                </w:p>
              </w:tc>
              <w:tc>
                <w:tcPr>
                  <w:tcW w:w="803" w:type="dxa"/>
                  <w:noWrap w:val="0"/>
                  <w:vAlign w:val="center"/>
                </w:tcPr>
                <w:p w14:paraId="3709DE26">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w:t>
                  </w:r>
                </w:p>
              </w:tc>
              <w:tc>
                <w:tcPr>
                  <w:tcW w:w="803" w:type="dxa"/>
                  <w:vMerge w:val="continue"/>
                  <w:noWrap w:val="0"/>
                  <w:vAlign w:val="center"/>
                </w:tcPr>
                <w:p w14:paraId="360CE96F">
                  <w:pPr>
                    <w:jc w:val="center"/>
                    <w:rPr>
                      <w:rFonts w:hint="eastAsia" w:ascii="Times New Roman" w:hAnsi="Times New Roman" w:eastAsia="宋体" w:cs="Times New Roman"/>
                      <w:bCs/>
                      <w:color w:val="auto"/>
                      <w:szCs w:val="21"/>
                      <w:highlight w:val="none"/>
                      <w:u w:val="single" w:color="auto"/>
                      <w:lang w:val="en-US" w:eastAsia="zh-CN"/>
                    </w:rPr>
                  </w:pPr>
                </w:p>
              </w:tc>
            </w:tr>
            <w:tr w14:paraId="49516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12" w:type="dxa"/>
                  <w:shd w:val="clear" w:color="auto" w:fill="auto"/>
                  <w:noWrap w:val="0"/>
                  <w:vAlign w:val="center"/>
                </w:tcPr>
                <w:p w14:paraId="4F90C046">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ascii="Times New Roman" w:hAnsi="Times New Roman" w:eastAsia="宋体" w:cs="Times New Roman"/>
                      <w:bCs/>
                      <w:color w:val="auto"/>
                      <w:szCs w:val="21"/>
                      <w:highlight w:val="none"/>
                      <w:u w:val="single" w:color="auto"/>
                      <w:lang w:val="en-US" w:eastAsia="zh-CN"/>
                    </w:rPr>
                    <w:t>3</w:t>
                  </w:r>
                </w:p>
              </w:tc>
              <w:tc>
                <w:tcPr>
                  <w:tcW w:w="972" w:type="dxa"/>
                  <w:shd w:val="clear" w:color="auto" w:fill="auto"/>
                  <w:noWrap w:val="0"/>
                  <w:vAlign w:val="center"/>
                </w:tcPr>
                <w:p w14:paraId="2924E185">
                  <w:pPr>
                    <w:jc w:val="center"/>
                    <w:rPr>
                      <w:rFonts w:hint="default" w:ascii="Times New Roman" w:hAnsi="Times New Roman" w:eastAsia="宋体" w:cs="Times New Roman"/>
                      <w:bCs/>
                      <w:color w:val="auto"/>
                      <w:kern w:val="2"/>
                      <w:sz w:val="21"/>
                      <w:szCs w:val="21"/>
                      <w:highlight w:val="none"/>
                      <w:u w:val="single" w:color="auto"/>
                      <w:lang w:val="en-US" w:eastAsia="zh-CN" w:bidi="ar-SA"/>
                    </w:rPr>
                  </w:pPr>
                  <w:r>
                    <w:rPr>
                      <w:rFonts w:hint="eastAsia" w:ascii="Times New Roman" w:hAnsi="Times New Roman" w:eastAsia="宋体" w:cs="Times New Roman"/>
                      <w:bCs/>
                      <w:color w:val="auto"/>
                      <w:szCs w:val="21"/>
                      <w:highlight w:val="none"/>
                      <w:u w:val="single" w:color="auto"/>
                      <w:lang w:val="en-US" w:eastAsia="zh-CN"/>
                    </w:rPr>
                    <w:t>稀释剂</w:t>
                  </w:r>
                </w:p>
              </w:tc>
              <w:tc>
                <w:tcPr>
                  <w:tcW w:w="872" w:type="dxa"/>
                  <w:noWrap w:val="0"/>
                  <w:vAlign w:val="center"/>
                </w:tcPr>
                <w:p w14:paraId="281CED67">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0.9342</w:t>
                  </w:r>
                </w:p>
              </w:tc>
              <w:tc>
                <w:tcPr>
                  <w:tcW w:w="885" w:type="dxa"/>
                  <w:noWrap w:val="0"/>
                  <w:vAlign w:val="center"/>
                </w:tcPr>
                <w:p w14:paraId="39D44407">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 </w:t>
                  </w:r>
                </w:p>
              </w:tc>
              <w:tc>
                <w:tcPr>
                  <w:tcW w:w="900" w:type="dxa"/>
                  <w:noWrap w:val="0"/>
                  <w:vAlign w:val="center"/>
                </w:tcPr>
                <w:p w14:paraId="099B46FB">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w:t>
                  </w:r>
                </w:p>
              </w:tc>
              <w:tc>
                <w:tcPr>
                  <w:tcW w:w="1193" w:type="dxa"/>
                  <w:noWrap w:val="0"/>
                  <w:vAlign w:val="center"/>
                </w:tcPr>
                <w:p w14:paraId="01F7B231">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0.934 </w:t>
                  </w:r>
                </w:p>
              </w:tc>
              <w:tc>
                <w:tcPr>
                  <w:tcW w:w="926" w:type="dxa"/>
                  <w:noWrap w:val="0"/>
                  <w:vAlign w:val="center"/>
                </w:tcPr>
                <w:p w14:paraId="58C472FC">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0.467 </w:t>
                  </w:r>
                </w:p>
              </w:tc>
              <w:tc>
                <w:tcPr>
                  <w:tcW w:w="803" w:type="dxa"/>
                  <w:noWrap w:val="0"/>
                  <w:vAlign w:val="center"/>
                </w:tcPr>
                <w:p w14:paraId="67B9A55C">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0.28 </w:t>
                  </w:r>
                </w:p>
              </w:tc>
              <w:tc>
                <w:tcPr>
                  <w:tcW w:w="803" w:type="dxa"/>
                  <w:vMerge w:val="continue"/>
                  <w:noWrap w:val="0"/>
                  <w:vAlign w:val="center"/>
                </w:tcPr>
                <w:p w14:paraId="65FC2EF2">
                  <w:pPr>
                    <w:jc w:val="center"/>
                    <w:rPr>
                      <w:rFonts w:hint="eastAsia" w:ascii="Times New Roman" w:hAnsi="Times New Roman" w:eastAsia="宋体" w:cs="Times New Roman"/>
                      <w:bCs/>
                      <w:color w:val="auto"/>
                      <w:szCs w:val="21"/>
                      <w:highlight w:val="none"/>
                      <w:u w:val="single" w:color="auto"/>
                      <w:lang w:val="en-US" w:eastAsia="zh-CN"/>
                    </w:rPr>
                  </w:pPr>
                </w:p>
              </w:tc>
            </w:tr>
            <w:tr w14:paraId="77E4A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12" w:type="dxa"/>
                  <w:shd w:val="clear" w:color="auto" w:fill="auto"/>
                  <w:noWrap w:val="0"/>
                  <w:vAlign w:val="center"/>
                </w:tcPr>
                <w:p w14:paraId="3C62F849">
                  <w:pPr>
                    <w:jc w:val="center"/>
                    <w:rPr>
                      <w:rFonts w:hint="eastAsia" w:ascii="Times New Roman" w:hAnsi="Times New Roman" w:eastAsia="宋体" w:cs="Times New Roman"/>
                      <w:bCs/>
                      <w:color w:val="auto"/>
                      <w:kern w:val="2"/>
                      <w:sz w:val="21"/>
                      <w:szCs w:val="21"/>
                      <w:highlight w:val="none"/>
                      <w:u w:val="single" w:color="auto"/>
                      <w:lang w:val="en-US" w:eastAsia="zh-CN" w:bidi="ar-SA"/>
                    </w:rPr>
                  </w:pPr>
                  <w:r>
                    <w:rPr>
                      <w:rFonts w:hint="eastAsia" w:ascii="Times New Roman" w:hAnsi="Times New Roman" w:eastAsia="宋体" w:cs="Times New Roman"/>
                      <w:bCs/>
                      <w:color w:val="auto"/>
                      <w:szCs w:val="21"/>
                      <w:highlight w:val="none"/>
                      <w:u w:val="single" w:color="auto"/>
                      <w:lang w:val="en-US" w:eastAsia="zh-CN"/>
                    </w:rPr>
                    <w:t>4</w:t>
                  </w:r>
                </w:p>
              </w:tc>
              <w:tc>
                <w:tcPr>
                  <w:tcW w:w="972" w:type="dxa"/>
                  <w:shd w:val="clear" w:color="auto" w:fill="auto"/>
                  <w:noWrap w:val="0"/>
                  <w:vAlign w:val="center"/>
                </w:tcPr>
                <w:p w14:paraId="4DD9B8F7">
                  <w:pPr>
                    <w:jc w:val="center"/>
                    <w:rPr>
                      <w:rFonts w:hint="default" w:ascii="Times New Roman" w:hAnsi="Times New Roman" w:eastAsia="宋体" w:cs="Times New Roman"/>
                      <w:bCs/>
                      <w:color w:val="auto"/>
                      <w:kern w:val="2"/>
                      <w:sz w:val="21"/>
                      <w:szCs w:val="21"/>
                      <w:highlight w:val="none"/>
                      <w:u w:val="single" w:color="auto"/>
                      <w:lang w:val="en-US" w:eastAsia="zh-CN" w:bidi="ar-SA"/>
                    </w:rPr>
                  </w:pPr>
                  <w:r>
                    <w:rPr>
                      <w:rFonts w:hint="eastAsia" w:ascii="Times New Roman" w:hAnsi="Times New Roman" w:eastAsia="宋体" w:cs="Times New Roman"/>
                      <w:bCs/>
                      <w:color w:val="auto"/>
                      <w:szCs w:val="21"/>
                      <w:highlight w:val="none"/>
                      <w:u w:val="single" w:color="auto"/>
                      <w:lang w:val="en-US" w:eastAsia="zh-CN"/>
                    </w:rPr>
                    <w:t>固化剂</w:t>
                  </w:r>
                </w:p>
              </w:tc>
              <w:tc>
                <w:tcPr>
                  <w:tcW w:w="872" w:type="dxa"/>
                  <w:noWrap w:val="0"/>
                  <w:vAlign w:val="center"/>
                </w:tcPr>
                <w:p w14:paraId="1E6A638C">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0.2333</w:t>
                  </w:r>
                </w:p>
              </w:tc>
              <w:tc>
                <w:tcPr>
                  <w:tcW w:w="885" w:type="dxa"/>
                  <w:noWrap w:val="0"/>
                  <w:vAlign w:val="center"/>
                </w:tcPr>
                <w:p w14:paraId="689B89C7">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 </w:t>
                  </w:r>
                </w:p>
              </w:tc>
              <w:tc>
                <w:tcPr>
                  <w:tcW w:w="900" w:type="dxa"/>
                  <w:noWrap w:val="0"/>
                  <w:vAlign w:val="center"/>
                </w:tcPr>
                <w:p w14:paraId="5F3127B6">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 </w:t>
                  </w:r>
                </w:p>
              </w:tc>
              <w:tc>
                <w:tcPr>
                  <w:tcW w:w="1193" w:type="dxa"/>
                  <w:noWrap w:val="0"/>
                  <w:vAlign w:val="center"/>
                </w:tcPr>
                <w:p w14:paraId="3607CA96">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0.233 </w:t>
                  </w:r>
                </w:p>
              </w:tc>
              <w:tc>
                <w:tcPr>
                  <w:tcW w:w="926" w:type="dxa"/>
                  <w:noWrap w:val="0"/>
                  <w:vAlign w:val="center"/>
                </w:tcPr>
                <w:p w14:paraId="67D3F604">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0.117 </w:t>
                  </w:r>
                </w:p>
              </w:tc>
              <w:tc>
                <w:tcPr>
                  <w:tcW w:w="803" w:type="dxa"/>
                  <w:noWrap w:val="0"/>
                  <w:vAlign w:val="center"/>
                </w:tcPr>
                <w:p w14:paraId="20971F3B">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 </w:t>
                  </w:r>
                </w:p>
              </w:tc>
              <w:tc>
                <w:tcPr>
                  <w:tcW w:w="803" w:type="dxa"/>
                  <w:vMerge w:val="continue"/>
                  <w:noWrap w:val="0"/>
                  <w:vAlign w:val="center"/>
                </w:tcPr>
                <w:p w14:paraId="44E4B5CD">
                  <w:pPr>
                    <w:jc w:val="center"/>
                    <w:rPr>
                      <w:rFonts w:hint="eastAsia" w:ascii="Times New Roman" w:hAnsi="Times New Roman" w:eastAsia="宋体" w:cs="Times New Roman"/>
                      <w:bCs/>
                      <w:color w:val="auto"/>
                      <w:szCs w:val="21"/>
                      <w:highlight w:val="none"/>
                      <w:u w:val="single" w:color="auto"/>
                      <w:lang w:val="en-US" w:eastAsia="zh-CN"/>
                    </w:rPr>
                  </w:pPr>
                </w:p>
              </w:tc>
            </w:tr>
            <w:tr w14:paraId="4D15A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12" w:type="dxa"/>
                  <w:shd w:val="clear" w:color="auto" w:fill="auto"/>
                  <w:noWrap w:val="0"/>
                  <w:vAlign w:val="center"/>
                </w:tcPr>
                <w:p w14:paraId="6A5FE754">
                  <w:pPr>
                    <w:jc w:val="center"/>
                    <w:rPr>
                      <w:rFonts w:hint="default" w:ascii="Times New Roman" w:hAnsi="Times New Roman" w:eastAsia="宋体" w:cs="Times New Roman"/>
                      <w:bCs/>
                      <w:color w:val="auto"/>
                      <w:kern w:val="2"/>
                      <w:sz w:val="21"/>
                      <w:szCs w:val="21"/>
                      <w:highlight w:val="none"/>
                      <w:u w:val="single" w:color="auto"/>
                      <w:lang w:val="en-US" w:eastAsia="zh-CN" w:bidi="ar-SA"/>
                    </w:rPr>
                  </w:pPr>
                  <w:r>
                    <w:rPr>
                      <w:rFonts w:hint="eastAsia" w:ascii="Times New Roman" w:hAnsi="Times New Roman" w:eastAsia="宋体" w:cs="Times New Roman"/>
                      <w:bCs/>
                      <w:color w:val="auto"/>
                      <w:szCs w:val="21"/>
                      <w:highlight w:val="none"/>
                      <w:u w:val="single" w:color="auto"/>
                      <w:lang w:val="en-US" w:eastAsia="zh-CN"/>
                    </w:rPr>
                    <w:t>5</w:t>
                  </w:r>
                </w:p>
              </w:tc>
              <w:tc>
                <w:tcPr>
                  <w:tcW w:w="972" w:type="dxa"/>
                  <w:noWrap w:val="0"/>
                  <w:vAlign w:val="center"/>
                </w:tcPr>
                <w:p w14:paraId="311AE7BD">
                  <w:pPr>
                    <w:jc w:val="center"/>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环氧富锌底漆</w:t>
                  </w:r>
                </w:p>
              </w:tc>
              <w:tc>
                <w:tcPr>
                  <w:tcW w:w="872" w:type="dxa"/>
                  <w:noWrap w:val="0"/>
                  <w:vAlign w:val="center"/>
                </w:tcPr>
                <w:p w14:paraId="7D03A0D3">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0.574 </w:t>
                  </w:r>
                </w:p>
              </w:tc>
              <w:tc>
                <w:tcPr>
                  <w:tcW w:w="885" w:type="dxa"/>
                  <w:noWrap w:val="0"/>
                  <w:vAlign w:val="center"/>
                </w:tcPr>
                <w:p w14:paraId="6448EBE1">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0.403 </w:t>
                  </w:r>
                </w:p>
              </w:tc>
              <w:tc>
                <w:tcPr>
                  <w:tcW w:w="900" w:type="dxa"/>
                  <w:noWrap w:val="0"/>
                  <w:vAlign w:val="center"/>
                </w:tcPr>
                <w:p w14:paraId="5618C8FE">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0.114 </w:t>
                  </w:r>
                </w:p>
              </w:tc>
              <w:tc>
                <w:tcPr>
                  <w:tcW w:w="1193" w:type="dxa"/>
                  <w:noWrap w:val="0"/>
                  <w:vAlign w:val="center"/>
                </w:tcPr>
                <w:p w14:paraId="2F46405D">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0.057 </w:t>
                  </w:r>
                </w:p>
              </w:tc>
              <w:tc>
                <w:tcPr>
                  <w:tcW w:w="926" w:type="dxa"/>
                  <w:noWrap w:val="0"/>
                  <w:vAlign w:val="center"/>
                </w:tcPr>
                <w:p w14:paraId="60215C83">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0.029 </w:t>
                  </w:r>
                </w:p>
              </w:tc>
              <w:tc>
                <w:tcPr>
                  <w:tcW w:w="803" w:type="dxa"/>
                  <w:noWrap w:val="0"/>
                  <w:vAlign w:val="center"/>
                </w:tcPr>
                <w:p w14:paraId="1DA4AF55">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w:t>
                  </w:r>
                </w:p>
              </w:tc>
              <w:tc>
                <w:tcPr>
                  <w:tcW w:w="803" w:type="dxa"/>
                  <w:vMerge w:val="restart"/>
                  <w:noWrap w:val="0"/>
                  <w:vAlign w:val="center"/>
                </w:tcPr>
                <w:p w14:paraId="3D1D085D">
                  <w:pPr>
                    <w:jc w:val="center"/>
                    <w:rPr>
                      <w:rFonts w:hint="default" w:ascii="Times New Roman" w:hAnsi="Times New Roman" w:eastAsia="宋体" w:cs="Times New Roman"/>
                      <w:bCs/>
                      <w:color w:val="auto"/>
                      <w:szCs w:val="21"/>
                      <w:highlight w:val="none"/>
                      <w:u w:val="single" w:color="auto"/>
                      <w:lang w:val="en-US" w:eastAsia="zh-CN"/>
                    </w:rPr>
                  </w:pPr>
                  <w:r>
                    <w:rPr>
                      <w:rFonts w:hint="eastAsia" w:cs="Times New Roman"/>
                      <w:bCs/>
                      <w:color w:val="auto"/>
                      <w:szCs w:val="21"/>
                      <w:highlight w:val="none"/>
                      <w:u w:val="single" w:color="auto"/>
                      <w:lang w:val="en-US" w:eastAsia="zh-CN"/>
                    </w:rPr>
                    <w:t>风扇、风罩</w:t>
                  </w:r>
                </w:p>
              </w:tc>
            </w:tr>
            <w:tr w14:paraId="3B613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12" w:type="dxa"/>
                  <w:noWrap w:val="0"/>
                  <w:vAlign w:val="center"/>
                </w:tcPr>
                <w:p w14:paraId="059FC93C">
                  <w:pPr>
                    <w:jc w:val="center"/>
                    <w:rPr>
                      <w:rFonts w:hint="default" w:ascii="Times New Roman" w:hAnsi="Times New Roman" w:eastAsia="宋体" w:cs="Times New Roman"/>
                      <w:bCs/>
                      <w:color w:val="auto"/>
                      <w:szCs w:val="21"/>
                      <w:highlight w:val="none"/>
                      <w:u w:val="single" w:color="auto"/>
                      <w:lang w:val="en-US" w:eastAsia="zh-CN"/>
                    </w:rPr>
                  </w:pPr>
                  <w:r>
                    <w:rPr>
                      <w:rFonts w:hint="eastAsia" w:cs="Times New Roman"/>
                      <w:bCs/>
                      <w:color w:val="auto"/>
                      <w:szCs w:val="21"/>
                      <w:highlight w:val="none"/>
                      <w:u w:val="single" w:color="auto"/>
                      <w:lang w:val="en-US" w:eastAsia="zh-CN"/>
                    </w:rPr>
                    <w:t>6</w:t>
                  </w:r>
                </w:p>
              </w:tc>
              <w:tc>
                <w:tcPr>
                  <w:tcW w:w="972" w:type="dxa"/>
                  <w:noWrap w:val="0"/>
                  <w:vAlign w:val="center"/>
                </w:tcPr>
                <w:p w14:paraId="48DA2C7B">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稀释剂</w:t>
                  </w:r>
                </w:p>
              </w:tc>
              <w:tc>
                <w:tcPr>
                  <w:tcW w:w="872" w:type="dxa"/>
                  <w:noWrap w:val="0"/>
                  <w:vAlign w:val="center"/>
                </w:tcPr>
                <w:p w14:paraId="543BB4F8">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0.1148</w:t>
                  </w:r>
                </w:p>
              </w:tc>
              <w:tc>
                <w:tcPr>
                  <w:tcW w:w="885" w:type="dxa"/>
                  <w:noWrap w:val="0"/>
                  <w:vAlign w:val="center"/>
                </w:tcPr>
                <w:p w14:paraId="450D5E99">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 </w:t>
                  </w:r>
                </w:p>
              </w:tc>
              <w:tc>
                <w:tcPr>
                  <w:tcW w:w="900" w:type="dxa"/>
                  <w:noWrap w:val="0"/>
                  <w:vAlign w:val="center"/>
                </w:tcPr>
                <w:p w14:paraId="496F2874">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w:t>
                  </w:r>
                </w:p>
              </w:tc>
              <w:tc>
                <w:tcPr>
                  <w:tcW w:w="1193" w:type="dxa"/>
                  <w:noWrap w:val="0"/>
                  <w:vAlign w:val="center"/>
                </w:tcPr>
                <w:p w14:paraId="7273D430">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0.115 </w:t>
                  </w:r>
                </w:p>
              </w:tc>
              <w:tc>
                <w:tcPr>
                  <w:tcW w:w="926" w:type="dxa"/>
                  <w:noWrap w:val="0"/>
                  <w:vAlign w:val="center"/>
                </w:tcPr>
                <w:p w14:paraId="1BB032BA">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0.057 </w:t>
                  </w:r>
                </w:p>
              </w:tc>
              <w:tc>
                <w:tcPr>
                  <w:tcW w:w="803" w:type="dxa"/>
                  <w:noWrap w:val="0"/>
                  <w:vAlign w:val="center"/>
                </w:tcPr>
                <w:p w14:paraId="0DE3F752">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0.034 </w:t>
                  </w:r>
                </w:p>
              </w:tc>
              <w:tc>
                <w:tcPr>
                  <w:tcW w:w="803" w:type="dxa"/>
                  <w:vMerge w:val="continue"/>
                  <w:noWrap w:val="0"/>
                  <w:vAlign w:val="center"/>
                </w:tcPr>
                <w:p w14:paraId="3469EB05">
                  <w:pPr>
                    <w:jc w:val="center"/>
                    <w:rPr>
                      <w:rFonts w:hint="eastAsia" w:ascii="Times New Roman" w:hAnsi="Times New Roman" w:eastAsia="宋体" w:cs="Times New Roman"/>
                      <w:bCs/>
                      <w:color w:val="auto"/>
                      <w:szCs w:val="21"/>
                      <w:highlight w:val="none"/>
                      <w:u w:val="single" w:color="auto"/>
                      <w:lang w:val="en-US" w:eastAsia="zh-CN"/>
                    </w:rPr>
                  </w:pPr>
                </w:p>
              </w:tc>
            </w:tr>
            <w:tr w14:paraId="4ED4A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12" w:type="dxa"/>
                  <w:noWrap w:val="0"/>
                  <w:vAlign w:val="center"/>
                </w:tcPr>
                <w:p w14:paraId="296B16B3">
                  <w:pPr>
                    <w:jc w:val="center"/>
                    <w:rPr>
                      <w:rFonts w:hint="default" w:ascii="Times New Roman" w:hAnsi="Times New Roman" w:eastAsia="宋体" w:cs="Times New Roman"/>
                      <w:bCs/>
                      <w:color w:val="auto"/>
                      <w:szCs w:val="21"/>
                      <w:highlight w:val="none"/>
                      <w:u w:val="single" w:color="auto"/>
                      <w:lang w:val="en-US" w:eastAsia="zh-CN"/>
                    </w:rPr>
                  </w:pPr>
                  <w:r>
                    <w:rPr>
                      <w:rFonts w:hint="eastAsia" w:cs="Times New Roman"/>
                      <w:bCs/>
                      <w:color w:val="auto"/>
                      <w:szCs w:val="21"/>
                      <w:highlight w:val="none"/>
                      <w:u w:val="single" w:color="auto"/>
                      <w:lang w:val="en-US" w:eastAsia="zh-CN"/>
                    </w:rPr>
                    <w:t>7</w:t>
                  </w:r>
                </w:p>
              </w:tc>
              <w:tc>
                <w:tcPr>
                  <w:tcW w:w="972" w:type="dxa"/>
                  <w:noWrap w:val="0"/>
                  <w:vAlign w:val="center"/>
                </w:tcPr>
                <w:p w14:paraId="014159A1">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固化剂</w:t>
                  </w:r>
                </w:p>
              </w:tc>
              <w:tc>
                <w:tcPr>
                  <w:tcW w:w="872" w:type="dxa"/>
                  <w:noWrap w:val="0"/>
                  <w:vAlign w:val="center"/>
                </w:tcPr>
                <w:p w14:paraId="0AAF6D1B">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0.0287</w:t>
                  </w:r>
                </w:p>
              </w:tc>
              <w:tc>
                <w:tcPr>
                  <w:tcW w:w="885" w:type="dxa"/>
                  <w:noWrap w:val="0"/>
                  <w:vAlign w:val="center"/>
                </w:tcPr>
                <w:p w14:paraId="2E33FD3A">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 </w:t>
                  </w:r>
                </w:p>
              </w:tc>
              <w:tc>
                <w:tcPr>
                  <w:tcW w:w="900" w:type="dxa"/>
                  <w:noWrap w:val="0"/>
                  <w:vAlign w:val="center"/>
                </w:tcPr>
                <w:p w14:paraId="6D3E643D">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 </w:t>
                  </w:r>
                </w:p>
              </w:tc>
              <w:tc>
                <w:tcPr>
                  <w:tcW w:w="1193" w:type="dxa"/>
                  <w:noWrap w:val="0"/>
                  <w:vAlign w:val="center"/>
                </w:tcPr>
                <w:p w14:paraId="2F253C77">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0.029 </w:t>
                  </w:r>
                </w:p>
              </w:tc>
              <w:tc>
                <w:tcPr>
                  <w:tcW w:w="926" w:type="dxa"/>
                  <w:noWrap w:val="0"/>
                  <w:vAlign w:val="center"/>
                </w:tcPr>
                <w:p w14:paraId="59E38811">
                  <w:pPr>
                    <w:jc w:val="center"/>
                    <w:rPr>
                      <w:rFonts w:hint="eastAsia"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 xml:space="preserve">0.014 </w:t>
                  </w:r>
                </w:p>
              </w:tc>
              <w:tc>
                <w:tcPr>
                  <w:tcW w:w="803" w:type="dxa"/>
                  <w:noWrap w:val="0"/>
                  <w:vAlign w:val="center"/>
                </w:tcPr>
                <w:p w14:paraId="00EA8ADC">
                  <w:pPr>
                    <w:jc w:val="center"/>
                    <w:rPr>
                      <w:rFonts w:hint="default" w:ascii="Times New Roman" w:hAnsi="Times New Roman" w:eastAsia="宋体" w:cs="Times New Roman"/>
                      <w:bCs/>
                      <w:color w:val="auto"/>
                      <w:szCs w:val="21"/>
                      <w:highlight w:val="none"/>
                      <w:u w:val="single" w:color="auto"/>
                      <w:lang w:val="en-US" w:eastAsia="zh-CN"/>
                    </w:rPr>
                  </w:pPr>
                  <w:r>
                    <w:rPr>
                      <w:rFonts w:hint="eastAsia" w:ascii="Times New Roman" w:hAnsi="Times New Roman" w:eastAsia="宋体" w:cs="Times New Roman"/>
                      <w:bCs/>
                      <w:color w:val="auto"/>
                      <w:szCs w:val="21"/>
                      <w:highlight w:val="none"/>
                      <w:u w:val="single" w:color="auto"/>
                      <w:lang w:val="en-US" w:eastAsia="zh-CN"/>
                    </w:rPr>
                    <w:t>0</w:t>
                  </w:r>
                </w:p>
              </w:tc>
              <w:tc>
                <w:tcPr>
                  <w:tcW w:w="803" w:type="dxa"/>
                  <w:vMerge w:val="continue"/>
                  <w:noWrap w:val="0"/>
                  <w:vAlign w:val="center"/>
                </w:tcPr>
                <w:p w14:paraId="20C6E60A">
                  <w:pPr>
                    <w:jc w:val="center"/>
                    <w:rPr>
                      <w:rFonts w:hint="eastAsia" w:ascii="Times New Roman" w:hAnsi="Times New Roman" w:eastAsia="宋体" w:cs="Times New Roman"/>
                      <w:bCs/>
                      <w:color w:val="auto"/>
                      <w:szCs w:val="21"/>
                      <w:highlight w:val="none"/>
                      <w:u w:val="single" w:color="auto"/>
                      <w:lang w:val="en-US" w:eastAsia="zh-CN"/>
                    </w:rPr>
                  </w:pPr>
                </w:p>
              </w:tc>
            </w:tr>
            <w:tr w14:paraId="1954E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384" w:type="dxa"/>
                  <w:gridSpan w:val="2"/>
                  <w:noWrap w:val="0"/>
                  <w:vAlign w:val="center"/>
                </w:tcPr>
                <w:p w14:paraId="6DF900DF">
                  <w:pPr>
                    <w:jc w:val="center"/>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合计</w:t>
                  </w:r>
                </w:p>
              </w:tc>
              <w:tc>
                <w:tcPr>
                  <w:tcW w:w="872" w:type="dxa"/>
                  <w:noWrap w:val="0"/>
                  <w:vAlign w:val="center"/>
                </w:tcPr>
                <w:p w14:paraId="1D56C0B9">
                  <w:pPr>
                    <w:keepNext w:val="0"/>
                    <w:keepLines w:val="0"/>
                    <w:widowControl/>
                    <w:suppressLineNumbers w:val="0"/>
                    <w:jc w:val="center"/>
                    <w:textAlignment w:val="center"/>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6.556</w:t>
                  </w:r>
                </w:p>
              </w:tc>
              <w:tc>
                <w:tcPr>
                  <w:tcW w:w="885" w:type="dxa"/>
                  <w:noWrap w:val="0"/>
                  <w:vAlign w:val="center"/>
                </w:tcPr>
                <w:p w14:paraId="125BC0AE">
                  <w:pPr>
                    <w:keepNext w:val="0"/>
                    <w:keepLines w:val="0"/>
                    <w:widowControl/>
                    <w:suppressLineNumbers w:val="0"/>
                    <w:jc w:val="center"/>
                    <w:textAlignment w:val="center"/>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2.912</w:t>
                  </w:r>
                </w:p>
              </w:tc>
              <w:tc>
                <w:tcPr>
                  <w:tcW w:w="900" w:type="dxa"/>
                  <w:noWrap w:val="0"/>
                  <w:vAlign w:val="center"/>
                </w:tcPr>
                <w:p w14:paraId="368E21DF">
                  <w:pPr>
                    <w:keepNext w:val="0"/>
                    <w:keepLines w:val="0"/>
                    <w:widowControl/>
                    <w:suppressLineNumbers w:val="0"/>
                    <w:jc w:val="center"/>
                    <w:textAlignment w:val="center"/>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0.821</w:t>
                  </w:r>
                </w:p>
              </w:tc>
              <w:tc>
                <w:tcPr>
                  <w:tcW w:w="1193" w:type="dxa"/>
                  <w:noWrap w:val="0"/>
                  <w:vAlign w:val="center"/>
                </w:tcPr>
                <w:p w14:paraId="4ADE8976">
                  <w:pPr>
                    <w:keepNext w:val="0"/>
                    <w:keepLines w:val="0"/>
                    <w:widowControl/>
                    <w:suppressLineNumbers w:val="0"/>
                    <w:jc w:val="center"/>
                    <w:textAlignment w:val="center"/>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2.822</w:t>
                  </w:r>
                </w:p>
              </w:tc>
              <w:tc>
                <w:tcPr>
                  <w:tcW w:w="926" w:type="dxa"/>
                  <w:noWrap w:val="0"/>
                  <w:vAlign w:val="center"/>
                </w:tcPr>
                <w:p w14:paraId="2DB3F2C6">
                  <w:pPr>
                    <w:keepNext w:val="0"/>
                    <w:keepLines w:val="0"/>
                    <w:widowControl/>
                    <w:suppressLineNumbers w:val="0"/>
                    <w:jc w:val="center"/>
                    <w:textAlignment w:val="center"/>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1.53</w:t>
                  </w:r>
                </w:p>
              </w:tc>
              <w:tc>
                <w:tcPr>
                  <w:tcW w:w="803" w:type="dxa"/>
                  <w:noWrap w:val="0"/>
                  <w:vAlign w:val="center"/>
                </w:tcPr>
                <w:p w14:paraId="292E2E5B">
                  <w:pPr>
                    <w:keepNext w:val="0"/>
                    <w:keepLines w:val="0"/>
                    <w:widowControl/>
                    <w:suppressLineNumbers w:val="0"/>
                    <w:jc w:val="center"/>
                    <w:textAlignment w:val="center"/>
                    <w:rPr>
                      <w:rFonts w:hint="eastAsia"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0.314</w:t>
                  </w:r>
                </w:p>
              </w:tc>
              <w:tc>
                <w:tcPr>
                  <w:tcW w:w="803" w:type="dxa"/>
                  <w:noWrap w:val="0"/>
                  <w:vAlign w:val="center"/>
                </w:tcPr>
                <w:p w14:paraId="7A530F06">
                  <w:pPr>
                    <w:jc w:val="center"/>
                    <w:rPr>
                      <w:rFonts w:hint="default" w:ascii="Times New Roman" w:hAnsi="Times New Roman" w:eastAsia="宋体" w:cs="Times New Roman"/>
                      <w:bCs/>
                      <w:color w:val="auto"/>
                      <w:szCs w:val="21"/>
                      <w:highlight w:val="none"/>
                      <w:u w:val="single" w:color="auto"/>
                      <w:lang w:val="en-US" w:eastAsia="zh-CN"/>
                    </w:rPr>
                  </w:pPr>
                  <w:r>
                    <w:rPr>
                      <w:rFonts w:hint="eastAsia" w:cs="Times New Roman"/>
                      <w:bCs/>
                      <w:color w:val="auto"/>
                      <w:szCs w:val="21"/>
                      <w:highlight w:val="none"/>
                      <w:u w:val="single" w:color="auto"/>
                      <w:lang w:val="en-US" w:eastAsia="zh-CN"/>
                    </w:rPr>
                    <w:t>/</w:t>
                  </w:r>
                </w:p>
              </w:tc>
            </w:tr>
          </w:tbl>
          <w:p w14:paraId="0F07034B">
            <w:pPr>
              <w:keepNext w:val="0"/>
              <w:keepLines w:val="0"/>
              <w:pageBreakBefore w:val="0"/>
              <w:widowControl/>
              <w:kinsoku/>
              <w:wordWrap/>
              <w:overflowPunct/>
              <w:topLinePunct w:val="0"/>
              <w:autoSpaceDE/>
              <w:autoSpaceDN/>
              <w:bidi w:val="0"/>
              <w:adjustRightInd w:val="0"/>
              <w:snapToGrid w:val="0"/>
              <w:spacing w:line="460" w:lineRule="exact"/>
              <w:ind w:firstLine="480" w:firstLineChars="200"/>
              <w:textAlignment w:val="auto"/>
              <w:rPr>
                <w:rFonts w:hint="eastAsia" w:ascii="Times New Roman" w:eastAsia="宋体" w:cs="Times New Roman"/>
                <w:color w:val="auto"/>
                <w:szCs w:val="21"/>
                <w:highlight w:val="none"/>
                <w:u w:val="single" w:color="auto"/>
                <w:lang w:eastAsia="zh-CN"/>
              </w:rPr>
            </w:pPr>
            <w:r>
              <w:rPr>
                <w:rFonts w:hint="eastAsia"/>
                <w:color w:val="auto"/>
                <w:sz w:val="24"/>
                <w:highlight w:val="none"/>
                <w:u w:val="single" w:color="auto"/>
                <w:lang w:val="en-US" w:eastAsia="zh-CN"/>
              </w:rPr>
              <w:t>项目喷漆工序均在密闭负压喷漆房中进行。高铁连接板喷漆、风扇、风罩喷漆以及晾干工序产生的废气经水帘除尘+干式过滤除去颗粒物（漆雾）后，与烤漆废气</w:t>
            </w:r>
            <w:r>
              <w:rPr>
                <w:rFonts w:hint="default"/>
                <w:color w:val="auto"/>
                <w:sz w:val="24"/>
                <w:highlight w:val="none"/>
                <w:u w:val="single" w:color="auto"/>
                <w:lang w:val="en-US" w:eastAsia="zh-CN"/>
              </w:rPr>
              <w:t>经活性炭吸附</w:t>
            </w:r>
            <w:r>
              <w:rPr>
                <w:rFonts w:hint="eastAsia"/>
                <w:color w:val="auto"/>
                <w:sz w:val="24"/>
                <w:highlight w:val="none"/>
                <w:u w:val="single" w:color="auto"/>
                <w:lang w:val="en-US" w:eastAsia="zh-CN"/>
              </w:rPr>
              <w:t>+催化燃烧设施（TA001）</w:t>
            </w:r>
            <w:r>
              <w:rPr>
                <w:rFonts w:hint="default"/>
                <w:color w:val="auto"/>
                <w:sz w:val="24"/>
                <w:highlight w:val="none"/>
                <w:u w:val="single" w:color="auto"/>
                <w:lang w:val="en-US" w:eastAsia="zh-CN"/>
              </w:rPr>
              <w:t>处理后通过</w:t>
            </w:r>
            <w:r>
              <w:rPr>
                <w:rFonts w:hint="eastAsia"/>
                <w:color w:val="auto"/>
                <w:sz w:val="24"/>
                <w:highlight w:val="none"/>
                <w:u w:val="single" w:color="auto"/>
                <w:lang w:val="en-US" w:eastAsia="zh-CN"/>
              </w:rPr>
              <w:t>15</w:t>
            </w:r>
            <w:r>
              <w:rPr>
                <w:rFonts w:hint="default"/>
                <w:color w:val="auto"/>
                <w:sz w:val="24"/>
                <w:highlight w:val="none"/>
                <w:u w:val="single" w:color="auto"/>
                <w:lang w:val="en-US" w:eastAsia="zh-CN"/>
              </w:rPr>
              <w:t>m排气筒（DA00</w:t>
            </w:r>
            <w:r>
              <w:rPr>
                <w:rFonts w:hint="eastAsia"/>
                <w:color w:val="auto"/>
                <w:sz w:val="24"/>
                <w:highlight w:val="none"/>
                <w:u w:val="single" w:color="auto"/>
                <w:lang w:val="en-US" w:eastAsia="zh-CN"/>
              </w:rPr>
              <w:t>1</w:t>
            </w:r>
            <w:r>
              <w:rPr>
                <w:rFonts w:hint="default"/>
                <w:color w:val="auto"/>
                <w:sz w:val="24"/>
                <w:highlight w:val="none"/>
                <w:u w:val="single" w:color="auto"/>
                <w:lang w:val="en-US" w:eastAsia="zh-CN"/>
              </w:rPr>
              <w:t>）排放</w:t>
            </w:r>
            <w:r>
              <w:rPr>
                <w:rFonts w:hint="eastAsia"/>
                <w:color w:val="auto"/>
                <w:sz w:val="24"/>
                <w:highlight w:val="none"/>
                <w:u w:val="single" w:color="auto"/>
                <w:lang w:val="en-US" w:eastAsia="zh-CN"/>
              </w:rPr>
              <w:t>；用于高铁连接板喷涂的喷漆房与烤漆房位于车间二中的密闭负压车间，高铁连接板喷涂的喷漆房与烤漆房未收集的有机废气经密闭车间负压收集后再经二级活性炭</w:t>
            </w:r>
            <w:r>
              <w:rPr>
                <w:rFonts w:hint="default"/>
                <w:color w:val="auto"/>
                <w:sz w:val="24"/>
                <w:highlight w:val="none"/>
                <w:u w:val="single" w:color="auto"/>
                <w:lang w:val="en-US" w:eastAsia="zh-CN"/>
              </w:rPr>
              <w:t>吸附</w:t>
            </w:r>
            <w:r>
              <w:rPr>
                <w:rFonts w:hint="eastAsia"/>
                <w:color w:val="auto"/>
                <w:sz w:val="24"/>
                <w:highlight w:val="none"/>
                <w:u w:val="single" w:color="auto"/>
                <w:lang w:val="en-US" w:eastAsia="zh-CN"/>
              </w:rPr>
              <w:t>设施（TA002）</w:t>
            </w:r>
            <w:r>
              <w:rPr>
                <w:rFonts w:hint="default"/>
                <w:color w:val="auto"/>
                <w:sz w:val="24"/>
                <w:highlight w:val="none"/>
                <w:u w:val="single" w:color="auto"/>
                <w:lang w:val="en-US" w:eastAsia="zh-CN"/>
              </w:rPr>
              <w:t>处理后通过</w:t>
            </w:r>
            <w:r>
              <w:rPr>
                <w:rFonts w:hint="eastAsia"/>
                <w:color w:val="auto"/>
                <w:sz w:val="24"/>
                <w:highlight w:val="none"/>
                <w:u w:val="single" w:color="auto"/>
                <w:lang w:val="en-US" w:eastAsia="zh-CN"/>
              </w:rPr>
              <w:t>15</w:t>
            </w:r>
            <w:r>
              <w:rPr>
                <w:rFonts w:hint="default"/>
                <w:color w:val="auto"/>
                <w:sz w:val="24"/>
                <w:highlight w:val="none"/>
                <w:u w:val="single" w:color="auto"/>
                <w:lang w:val="en-US" w:eastAsia="zh-CN"/>
              </w:rPr>
              <w:t>m排气筒（DA00</w:t>
            </w:r>
            <w:r>
              <w:rPr>
                <w:rFonts w:hint="eastAsia"/>
                <w:color w:val="auto"/>
                <w:sz w:val="24"/>
                <w:highlight w:val="none"/>
                <w:u w:val="single" w:color="auto"/>
                <w:lang w:val="en-US" w:eastAsia="zh-CN"/>
              </w:rPr>
              <w:t>2</w:t>
            </w:r>
            <w:r>
              <w:rPr>
                <w:rFonts w:hint="default"/>
                <w:color w:val="auto"/>
                <w:sz w:val="24"/>
                <w:highlight w:val="none"/>
                <w:u w:val="single" w:color="auto"/>
                <w:lang w:val="en-US" w:eastAsia="zh-CN"/>
              </w:rPr>
              <w:t>）排放</w:t>
            </w:r>
            <w:r>
              <w:rPr>
                <w:rFonts w:hint="eastAsia"/>
                <w:color w:val="auto"/>
                <w:sz w:val="24"/>
                <w:highlight w:val="none"/>
                <w:u w:val="single" w:color="auto"/>
                <w:lang w:val="en-US" w:eastAsia="zh-CN"/>
              </w:rPr>
              <w:t>。调漆区于车间二中的密闭负压车间中进行，产生的有机废气经密闭车间负压收集后经二级活性炭</w:t>
            </w:r>
            <w:r>
              <w:rPr>
                <w:rFonts w:hint="default"/>
                <w:color w:val="auto"/>
                <w:sz w:val="24"/>
                <w:highlight w:val="none"/>
                <w:u w:val="single" w:color="auto"/>
                <w:lang w:val="en-US" w:eastAsia="zh-CN"/>
              </w:rPr>
              <w:t>吸附</w:t>
            </w:r>
            <w:r>
              <w:rPr>
                <w:rFonts w:hint="eastAsia"/>
                <w:color w:val="auto"/>
                <w:sz w:val="24"/>
                <w:highlight w:val="none"/>
                <w:u w:val="single" w:color="auto"/>
                <w:lang w:val="en-US" w:eastAsia="zh-CN"/>
              </w:rPr>
              <w:t>设施（TA002）</w:t>
            </w:r>
            <w:r>
              <w:rPr>
                <w:rFonts w:hint="default"/>
                <w:color w:val="auto"/>
                <w:sz w:val="24"/>
                <w:highlight w:val="none"/>
                <w:u w:val="single" w:color="auto"/>
                <w:lang w:val="en-US" w:eastAsia="zh-CN"/>
              </w:rPr>
              <w:t>处理后通过</w:t>
            </w:r>
            <w:r>
              <w:rPr>
                <w:rFonts w:hint="eastAsia"/>
                <w:color w:val="auto"/>
                <w:sz w:val="24"/>
                <w:highlight w:val="none"/>
                <w:u w:val="single" w:color="auto"/>
                <w:lang w:val="en-US" w:eastAsia="zh-CN"/>
              </w:rPr>
              <w:t>15</w:t>
            </w:r>
            <w:r>
              <w:rPr>
                <w:rFonts w:hint="default"/>
                <w:color w:val="auto"/>
                <w:sz w:val="24"/>
                <w:highlight w:val="none"/>
                <w:u w:val="single" w:color="auto"/>
                <w:lang w:val="en-US" w:eastAsia="zh-CN"/>
              </w:rPr>
              <w:t>m排气筒（DA00</w:t>
            </w:r>
            <w:r>
              <w:rPr>
                <w:rFonts w:hint="eastAsia"/>
                <w:color w:val="auto"/>
                <w:sz w:val="24"/>
                <w:highlight w:val="none"/>
                <w:u w:val="single" w:color="auto"/>
                <w:lang w:val="en-US" w:eastAsia="zh-CN"/>
              </w:rPr>
              <w:t>2</w:t>
            </w:r>
            <w:r>
              <w:rPr>
                <w:rFonts w:hint="default"/>
                <w:color w:val="auto"/>
                <w:sz w:val="24"/>
                <w:highlight w:val="none"/>
                <w:u w:val="single" w:color="auto"/>
                <w:lang w:val="en-US" w:eastAsia="zh-CN"/>
              </w:rPr>
              <w:t>）排放。</w:t>
            </w:r>
            <w:r>
              <w:rPr>
                <w:rFonts w:hint="eastAsia"/>
                <w:color w:val="auto"/>
                <w:sz w:val="24"/>
                <w:highlight w:val="none"/>
                <w:u w:val="single" w:color="auto"/>
                <w:lang w:val="en-US" w:eastAsia="zh-CN"/>
              </w:rPr>
              <w:t>调漆产生的有机废气以油漆总挥发分的10%计，喷漆、晾干、烘烤产生的有机废气以油漆总挥发分的90%计。</w:t>
            </w:r>
            <w:r>
              <w:rPr>
                <w:rFonts w:hint="default"/>
                <w:color w:val="auto"/>
                <w:sz w:val="24"/>
                <w:highlight w:val="none"/>
                <w:u w:val="single" w:color="auto"/>
              </w:rPr>
              <w:t>参考《主要污染物总量减排核算技术指南（2022年修订）》</w:t>
            </w:r>
            <w:r>
              <w:rPr>
                <w:rFonts w:hint="eastAsia"/>
                <w:color w:val="auto"/>
                <w:sz w:val="24"/>
                <w:highlight w:val="none"/>
                <w:u w:val="single" w:color="auto"/>
                <w:lang w:eastAsia="zh-CN"/>
              </w:rPr>
              <w:t>，</w:t>
            </w:r>
            <w:r>
              <w:rPr>
                <w:rFonts w:hint="eastAsia"/>
                <w:color w:val="auto"/>
                <w:sz w:val="24"/>
                <w:highlight w:val="none"/>
                <w:u w:val="single" w:color="auto"/>
                <w:lang w:val="en-US" w:eastAsia="zh-CN"/>
              </w:rPr>
              <w:t>负压</w:t>
            </w:r>
            <w:r>
              <w:rPr>
                <w:rFonts w:hint="default"/>
                <w:color w:val="auto"/>
                <w:sz w:val="24"/>
                <w:highlight w:val="none"/>
                <w:u w:val="single" w:color="auto"/>
                <w:lang w:val="en-US" w:eastAsia="zh-CN"/>
              </w:rPr>
              <w:t>收集效率</w:t>
            </w:r>
            <w:r>
              <w:rPr>
                <w:rFonts w:hint="eastAsia"/>
                <w:color w:val="auto"/>
                <w:sz w:val="24"/>
                <w:highlight w:val="none"/>
                <w:u w:val="single" w:color="auto"/>
                <w:lang w:val="en-US" w:eastAsia="zh-CN"/>
              </w:rPr>
              <w:t>为</w:t>
            </w:r>
            <w:r>
              <w:rPr>
                <w:rFonts w:hint="default"/>
                <w:color w:val="auto"/>
                <w:sz w:val="24"/>
                <w:highlight w:val="none"/>
                <w:u w:val="single" w:color="auto"/>
                <w:lang w:val="en-US" w:eastAsia="zh-CN"/>
              </w:rPr>
              <w:t>90%，</w:t>
            </w:r>
            <w:r>
              <w:rPr>
                <w:rFonts w:hint="eastAsia"/>
                <w:color w:val="auto"/>
                <w:sz w:val="24"/>
                <w:highlight w:val="none"/>
                <w:u w:val="single" w:color="auto"/>
                <w:lang w:val="en-US" w:eastAsia="zh-CN"/>
              </w:rPr>
              <w:t>催化燃烧（CO）</w:t>
            </w:r>
            <w:r>
              <w:rPr>
                <w:rFonts w:hint="default"/>
                <w:color w:val="auto"/>
                <w:sz w:val="24"/>
                <w:highlight w:val="none"/>
                <w:u w:val="single" w:color="auto"/>
                <w:lang w:val="en-US" w:eastAsia="zh-CN"/>
              </w:rPr>
              <w:t>处理效率取</w:t>
            </w:r>
            <w:r>
              <w:rPr>
                <w:rFonts w:hint="eastAsia"/>
                <w:color w:val="auto"/>
                <w:sz w:val="24"/>
                <w:highlight w:val="none"/>
                <w:u w:val="single" w:color="auto"/>
                <w:lang w:val="en-US" w:eastAsia="zh-CN"/>
              </w:rPr>
              <w:t>80</w:t>
            </w:r>
            <w:r>
              <w:rPr>
                <w:rFonts w:hint="default"/>
                <w:color w:val="auto"/>
                <w:sz w:val="24"/>
                <w:highlight w:val="none"/>
                <w:u w:val="single" w:color="auto"/>
                <w:lang w:val="en-US" w:eastAsia="zh-CN"/>
              </w:rPr>
              <w:t>%</w:t>
            </w:r>
            <w:r>
              <w:rPr>
                <w:rFonts w:hint="eastAsia"/>
                <w:color w:val="auto"/>
                <w:sz w:val="24"/>
                <w:highlight w:val="none"/>
                <w:u w:val="single" w:color="auto"/>
                <w:lang w:val="en-US" w:eastAsia="zh-CN"/>
              </w:rPr>
              <w:t>，一级活性炭吸附效率为50%。</w:t>
            </w:r>
            <w:r>
              <w:rPr>
                <w:rFonts w:hint="default"/>
                <w:color w:val="auto"/>
                <w:sz w:val="24"/>
                <w:highlight w:val="none"/>
                <w:u w:val="single" w:color="auto"/>
                <w:lang w:val="en-US" w:eastAsia="zh-CN"/>
              </w:rPr>
              <w:t>活性炭吸附</w:t>
            </w:r>
            <w:r>
              <w:rPr>
                <w:rFonts w:hint="eastAsia"/>
                <w:color w:val="auto"/>
                <w:sz w:val="24"/>
                <w:highlight w:val="none"/>
                <w:u w:val="single" w:color="auto"/>
                <w:lang w:val="en-US" w:eastAsia="zh-CN"/>
              </w:rPr>
              <w:t>+催化燃烧设施（TA001）处理效率为90</w:t>
            </w:r>
            <w:r>
              <w:rPr>
                <w:rFonts w:hint="default"/>
                <w:color w:val="auto"/>
                <w:sz w:val="24"/>
                <w:highlight w:val="none"/>
                <w:u w:val="single" w:color="auto"/>
              </w:rPr>
              <w:t>%</w:t>
            </w:r>
            <w:r>
              <w:rPr>
                <w:rFonts w:hint="eastAsia"/>
                <w:color w:val="auto"/>
                <w:sz w:val="24"/>
                <w:highlight w:val="none"/>
                <w:u w:val="single" w:color="auto"/>
                <w:lang w:eastAsia="zh-CN"/>
              </w:rPr>
              <w:t>，</w:t>
            </w:r>
            <w:r>
              <w:rPr>
                <w:rFonts w:hint="eastAsia"/>
                <w:color w:val="auto"/>
                <w:sz w:val="24"/>
                <w:highlight w:val="none"/>
                <w:u w:val="single" w:color="auto"/>
                <w:lang w:val="en-US" w:eastAsia="zh-CN"/>
              </w:rPr>
              <w:t>二级活性炭</w:t>
            </w:r>
            <w:r>
              <w:rPr>
                <w:rFonts w:hint="default"/>
                <w:color w:val="auto"/>
                <w:sz w:val="24"/>
                <w:highlight w:val="none"/>
                <w:u w:val="single" w:color="auto"/>
                <w:lang w:val="en-US" w:eastAsia="zh-CN"/>
              </w:rPr>
              <w:t>吸附</w:t>
            </w:r>
            <w:r>
              <w:rPr>
                <w:rFonts w:hint="eastAsia"/>
                <w:color w:val="auto"/>
                <w:sz w:val="24"/>
                <w:highlight w:val="none"/>
                <w:u w:val="single" w:color="auto"/>
                <w:lang w:val="en-US" w:eastAsia="zh-CN"/>
              </w:rPr>
              <w:t>设施（TA002）处理效率则为75</w:t>
            </w:r>
            <w:r>
              <w:rPr>
                <w:rFonts w:hint="default"/>
                <w:color w:val="auto"/>
                <w:sz w:val="24"/>
                <w:highlight w:val="none"/>
                <w:u w:val="single" w:color="auto"/>
              </w:rPr>
              <w:t>%计</w:t>
            </w:r>
            <w:r>
              <w:rPr>
                <w:rFonts w:hint="eastAsia"/>
                <w:color w:val="auto"/>
                <w:sz w:val="24"/>
                <w:highlight w:val="none"/>
                <w:u w:val="single" w:color="auto"/>
                <w:lang w:val="en-US" w:eastAsia="zh-CN"/>
              </w:rPr>
              <w:t>。水帘除尘</w:t>
            </w:r>
            <w:r>
              <w:rPr>
                <w:rFonts w:hint="default"/>
                <w:color w:val="auto"/>
                <w:sz w:val="24"/>
                <w:highlight w:val="none"/>
                <w:u w:val="single" w:color="auto"/>
                <w:lang w:val="en-US" w:eastAsia="zh-CN"/>
              </w:rPr>
              <w:t>对漆雾的去除效率按90%计</w:t>
            </w:r>
            <w:r>
              <w:rPr>
                <w:rFonts w:hint="eastAsia"/>
                <w:color w:val="auto"/>
                <w:sz w:val="24"/>
                <w:highlight w:val="none"/>
                <w:u w:val="single" w:color="auto"/>
                <w:lang w:val="en-US" w:eastAsia="zh-CN"/>
              </w:rPr>
              <w:t>。</w:t>
            </w:r>
            <w:r>
              <w:rPr>
                <w:color w:val="auto"/>
                <w:sz w:val="24"/>
                <w:highlight w:val="none"/>
                <w:u w:val="single" w:color="auto"/>
              </w:rPr>
              <w:t>项目油漆物料平衡图见</w:t>
            </w:r>
            <w:r>
              <w:rPr>
                <w:rFonts w:hint="eastAsia"/>
                <w:color w:val="auto"/>
                <w:sz w:val="24"/>
                <w:highlight w:val="none"/>
                <w:u w:val="single" w:color="auto"/>
                <w:lang w:val="en-US" w:eastAsia="zh-CN"/>
              </w:rPr>
              <w:t>下图</w:t>
            </w:r>
            <w:r>
              <w:rPr>
                <w:color w:val="auto"/>
                <w:sz w:val="24"/>
                <w:highlight w:val="none"/>
                <w:u w:val="single" w:color="auto"/>
              </w:rPr>
              <w:t>。</w:t>
            </w:r>
            <w:r>
              <w:rPr>
                <w:rFonts w:hint="eastAsia" w:ascii="Times New Roman" w:eastAsia="宋体" w:cs="Times New Roman"/>
                <w:color w:val="auto"/>
                <w:szCs w:val="21"/>
                <w:highlight w:val="none"/>
                <w:u w:val="single" w:color="auto"/>
                <w:lang w:eastAsia="zh-CN"/>
              </w:rPr>
              <w:drawing>
                <wp:anchor distT="0" distB="0" distL="114300" distR="114300" simplePos="0" relativeHeight="251661312" behindDoc="0" locked="0" layoutInCell="1" allowOverlap="1">
                  <wp:simplePos x="0" y="0"/>
                  <wp:positionH relativeFrom="column">
                    <wp:posOffset>-60325</wp:posOffset>
                  </wp:positionH>
                  <wp:positionV relativeFrom="page">
                    <wp:posOffset>944245</wp:posOffset>
                  </wp:positionV>
                  <wp:extent cx="5179060" cy="3447415"/>
                  <wp:effectExtent l="0" t="0" r="2540" b="12065"/>
                  <wp:wrapTopAndBottom/>
                  <wp:docPr id="64" name="图片 64" descr="未命名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未命名文件("/>
                          <pic:cNvPicPr>
                            <a:picLocks noChangeAspect="1"/>
                          </pic:cNvPicPr>
                        </pic:nvPicPr>
                        <pic:blipFill>
                          <a:blip r:embed="rId7"/>
                          <a:stretch>
                            <a:fillRect/>
                          </a:stretch>
                        </pic:blipFill>
                        <pic:spPr>
                          <a:xfrm>
                            <a:off x="0" y="0"/>
                            <a:ext cx="5179060" cy="3447415"/>
                          </a:xfrm>
                          <a:prstGeom prst="rect">
                            <a:avLst/>
                          </a:prstGeom>
                        </pic:spPr>
                      </pic:pic>
                    </a:graphicData>
                  </a:graphic>
                </wp:anchor>
              </w:drawing>
            </w:r>
          </w:p>
          <w:p w14:paraId="50134554">
            <w:pPr>
              <w:pStyle w:val="39"/>
              <w:keepNext w:val="0"/>
              <w:keepLines w:val="0"/>
              <w:pageBreakBefore w:val="0"/>
              <w:widowControl w:val="0"/>
              <w:kinsoku/>
              <w:wordWrap/>
              <w:overflowPunct/>
              <w:topLinePunct w:val="0"/>
              <w:autoSpaceDE w:val="0"/>
              <w:autoSpaceDN w:val="0"/>
              <w:bidi w:val="0"/>
              <w:adjustRightInd w:val="0"/>
              <w:snapToGrid/>
              <w:spacing w:line="420" w:lineRule="exact"/>
              <w:ind w:firstLine="422" w:firstLineChars="200"/>
              <w:jc w:val="center"/>
              <w:textAlignment w:val="auto"/>
              <w:rPr>
                <w:rFonts w:ascii="Times New Roman" w:eastAsia="宋体" w:cs="Times New Roman"/>
                <w:b/>
                <w:color w:val="auto"/>
                <w:sz w:val="21"/>
                <w:szCs w:val="21"/>
                <w:highlight w:val="none"/>
                <w:u w:val="single" w:color="auto"/>
              </w:rPr>
            </w:pPr>
            <w:r>
              <w:rPr>
                <w:rFonts w:ascii="Times New Roman" w:hAnsi="宋体" w:eastAsia="宋体" w:cs="Times New Roman"/>
                <w:b/>
                <w:color w:val="auto"/>
                <w:sz w:val="21"/>
                <w:szCs w:val="21"/>
                <w:highlight w:val="none"/>
                <w:u w:val="single" w:color="auto"/>
              </w:rPr>
              <w:t>图</w:t>
            </w:r>
            <w:r>
              <w:rPr>
                <w:rFonts w:hint="eastAsia" w:ascii="Times New Roman" w:eastAsia="宋体" w:cs="Times New Roman"/>
                <w:b/>
                <w:color w:val="auto"/>
                <w:sz w:val="21"/>
                <w:szCs w:val="21"/>
                <w:highlight w:val="none"/>
                <w:u w:val="single" w:color="auto"/>
                <w:lang w:val="en-US" w:eastAsia="zh-CN"/>
              </w:rPr>
              <w:t xml:space="preserve">2-1   </w:t>
            </w:r>
            <w:r>
              <w:rPr>
                <w:rFonts w:ascii="Times New Roman" w:hAnsi="宋体" w:eastAsia="宋体" w:cs="Times New Roman"/>
                <w:b/>
                <w:color w:val="auto"/>
                <w:sz w:val="21"/>
                <w:szCs w:val="21"/>
                <w:highlight w:val="none"/>
                <w:u w:val="single" w:color="auto"/>
              </w:rPr>
              <w:t>油漆物料平衡图</w:t>
            </w:r>
            <w:r>
              <w:rPr>
                <w:rFonts w:hint="eastAsia" w:ascii="Times New Roman" w:hAnsi="宋体" w:eastAsia="宋体" w:cs="Times New Roman"/>
                <w:b/>
                <w:color w:val="auto"/>
                <w:sz w:val="21"/>
                <w:szCs w:val="21"/>
                <w:highlight w:val="none"/>
                <w:u w:val="single" w:color="auto"/>
              </w:rPr>
              <w:t>（t/a）</w:t>
            </w:r>
          </w:p>
          <w:p w14:paraId="7EF7AD4A">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2.6主要设备</w:t>
            </w:r>
          </w:p>
          <w:p w14:paraId="7056D6DA">
            <w:pPr>
              <w:keepNext w:val="0"/>
              <w:keepLines w:val="0"/>
              <w:pageBreakBefore w:val="0"/>
              <w:widowControl w:val="0"/>
              <w:kinsoku/>
              <w:wordWrap/>
              <w:overflowPunct/>
              <w:topLinePunct w:val="0"/>
              <w:autoSpaceDE/>
              <w:autoSpaceDN/>
              <w:bidi w:val="0"/>
              <w:spacing w:line="48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本项目主要生产设备情况详见下表。</w:t>
            </w:r>
          </w:p>
          <w:p w14:paraId="237B1B33">
            <w:pPr>
              <w:keepNext w:val="0"/>
              <w:keepLines w:val="0"/>
              <w:pageBreakBefore w:val="0"/>
              <w:widowControl w:val="0"/>
              <w:kinsoku/>
              <w:wordWrap/>
              <w:overflowPunct/>
              <w:topLinePunct w:val="0"/>
              <w:autoSpaceDE/>
              <w:autoSpaceDN/>
              <w:bidi w:val="0"/>
              <w:adjustRightInd w:val="0"/>
              <w:snapToGrid w:val="0"/>
              <w:spacing w:line="480" w:lineRule="exact"/>
              <w:ind w:firstLine="0" w:firstLineChars="0"/>
              <w:jc w:val="center"/>
              <w:textAlignment w:val="auto"/>
              <w:rPr>
                <w:rFonts w:hint="default" w:ascii="Times New Roman" w:hAnsi="Times New Roman" w:eastAsia="宋体" w:cs="Times New Roman"/>
                <w:b/>
                <w:bCs w:val="0"/>
                <w:color w:val="auto"/>
                <w:sz w:val="21"/>
                <w:szCs w:val="21"/>
                <w:highlight w:val="none"/>
                <w:u w:val="none" w:color="auto"/>
                <w:vertAlign w:val="baseline"/>
                <w:lang w:val="en-US" w:eastAsia="zh-CN"/>
              </w:rPr>
            </w:pPr>
            <w:r>
              <w:rPr>
                <w:rFonts w:hint="default" w:ascii="Times New Roman" w:hAnsi="Times New Roman" w:eastAsia="宋体" w:cs="Times New Roman"/>
                <w:b/>
                <w:bCs w:val="0"/>
                <w:color w:val="auto"/>
                <w:sz w:val="21"/>
                <w:szCs w:val="21"/>
                <w:highlight w:val="none"/>
                <w:u w:val="none" w:color="auto"/>
                <w:vertAlign w:val="baseline"/>
                <w:lang w:val="en-US" w:eastAsia="zh-CN"/>
              </w:rPr>
              <w:t>表2-</w:t>
            </w:r>
            <w:r>
              <w:rPr>
                <w:rFonts w:hint="eastAsia" w:cs="Times New Roman"/>
                <w:b/>
                <w:bCs w:val="0"/>
                <w:color w:val="auto"/>
                <w:sz w:val="21"/>
                <w:szCs w:val="21"/>
                <w:highlight w:val="none"/>
                <w:u w:val="none" w:color="auto"/>
                <w:vertAlign w:val="baseline"/>
                <w:lang w:val="en-US" w:eastAsia="zh-CN"/>
              </w:rPr>
              <w:t>8</w:t>
            </w:r>
            <w:r>
              <w:rPr>
                <w:rFonts w:hint="default" w:ascii="Times New Roman" w:hAnsi="Times New Roman" w:eastAsia="宋体" w:cs="Times New Roman"/>
                <w:b/>
                <w:bCs w:val="0"/>
                <w:color w:val="auto"/>
                <w:sz w:val="21"/>
                <w:szCs w:val="21"/>
                <w:highlight w:val="none"/>
                <w:u w:val="none" w:color="auto"/>
                <w:vertAlign w:val="baseline"/>
                <w:lang w:val="en-US" w:eastAsia="zh-CN"/>
              </w:rPr>
              <w:t xml:space="preserve">  </w:t>
            </w:r>
            <w:r>
              <w:rPr>
                <w:rFonts w:hint="eastAsia" w:ascii="Times New Roman" w:hAnsi="Times New Roman" w:eastAsia="宋体" w:cs="Times New Roman"/>
                <w:b/>
                <w:bCs w:val="0"/>
                <w:color w:val="auto"/>
                <w:sz w:val="21"/>
                <w:szCs w:val="21"/>
                <w:highlight w:val="none"/>
                <w:u w:val="none" w:color="auto"/>
                <w:vertAlign w:val="baseline"/>
                <w:lang w:val="en-US" w:eastAsia="zh-CN"/>
              </w:rPr>
              <w:t xml:space="preserve"> </w:t>
            </w:r>
            <w:r>
              <w:rPr>
                <w:rFonts w:hint="default" w:ascii="Times New Roman" w:hAnsi="Times New Roman" w:eastAsia="宋体" w:cs="Times New Roman"/>
                <w:b/>
                <w:bCs w:val="0"/>
                <w:color w:val="auto"/>
                <w:sz w:val="21"/>
                <w:szCs w:val="21"/>
                <w:highlight w:val="none"/>
                <w:u w:val="none" w:color="auto"/>
                <w:vertAlign w:val="baseline"/>
                <w:lang w:val="en-US" w:eastAsia="zh-CN"/>
              </w:rPr>
              <w:t>主要设备清单一览表</w:t>
            </w:r>
          </w:p>
          <w:tbl>
            <w:tblPr>
              <w:tblStyle w:val="31"/>
              <w:tblW w:w="49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4"/>
              <w:gridCol w:w="2034"/>
              <w:gridCol w:w="1501"/>
              <w:gridCol w:w="3038"/>
            </w:tblGrid>
            <w:tr w14:paraId="4A627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774" w:type="pct"/>
                  <w:noWrap w:val="0"/>
                  <w:vAlign w:val="center"/>
                </w:tcPr>
                <w:p w14:paraId="654F1575">
                  <w:pPr>
                    <w:keepNext w:val="0"/>
                    <w:keepLines w:val="0"/>
                    <w:pageBreakBefore w:val="0"/>
                    <w:widowControl w:val="0"/>
                    <w:kinsoku/>
                    <w:wordWrap/>
                    <w:overflowPunct/>
                    <w:topLinePunct w:val="0"/>
                    <w:autoSpaceDE/>
                    <w:autoSpaceDN/>
                    <w:bidi w:val="0"/>
                    <w:spacing w:line="320" w:lineRule="exact"/>
                    <w:ind w:left="0" w:leftChars="0" w:firstLine="0" w:firstLineChars="0"/>
                    <w:jc w:val="center"/>
                    <w:textAlignment w:val="auto"/>
                    <w:outlineLvl w:val="9"/>
                    <w:rPr>
                      <w:rFonts w:hint="default" w:ascii="Times New Roman" w:hAnsi="Times New Roman" w:eastAsia="宋体" w:cs="Times New Roman"/>
                      <w:b w:val="0"/>
                      <w:bCs/>
                      <w:color w:val="auto"/>
                      <w:kern w:val="0"/>
                      <w:sz w:val="21"/>
                      <w:szCs w:val="21"/>
                      <w:highlight w:val="none"/>
                      <w:u w:val="none" w:color="auto"/>
                      <w:lang w:val="zh-CN" w:eastAsia="zh-CN" w:bidi="ar-SA"/>
                    </w:rPr>
                  </w:pPr>
                  <w:r>
                    <w:rPr>
                      <w:rFonts w:hint="default" w:ascii="Times New Roman" w:hAnsi="Times New Roman" w:eastAsia="宋体" w:cs="Times New Roman"/>
                      <w:b w:val="0"/>
                      <w:bCs/>
                      <w:color w:val="auto"/>
                      <w:kern w:val="0"/>
                      <w:sz w:val="21"/>
                      <w:szCs w:val="21"/>
                      <w:highlight w:val="none"/>
                      <w:u w:val="none" w:color="auto"/>
                      <w:lang w:val="zh-CN" w:eastAsia="zh-CN" w:bidi="ar-SA"/>
                    </w:rPr>
                    <w:t>序号</w:t>
                  </w:r>
                </w:p>
              </w:tc>
              <w:tc>
                <w:tcPr>
                  <w:tcW w:w="1307" w:type="pct"/>
                  <w:noWrap w:val="0"/>
                  <w:vAlign w:val="center"/>
                </w:tcPr>
                <w:p w14:paraId="05A89EAB">
                  <w:pPr>
                    <w:keepNext w:val="0"/>
                    <w:keepLines w:val="0"/>
                    <w:pageBreakBefore w:val="0"/>
                    <w:widowControl w:val="0"/>
                    <w:kinsoku/>
                    <w:wordWrap/>
                    <w:overflowPunct/>
                    <w:topLinePunct w:val="0"/>
                    <w:autoSpaceDE/>
                    <w:autoSpaceDN/>
                    <w:bidi w:val="0"/>
                    <w:spacing w:line="320" w:lineRule="exact"/>
                    <w:ind w:left="0" w:leftChars="0" w:firstLine="0" w:firstLineChars="0"/>
                    <w:jc w:val="center"/>
                    <w:textAlignment w:val="auto"/>
                    <w:outlineLvl w:val="9"/>
                    <w:rPr>
                      <w:rFonts w:hint="eastAsia" w:ascii="Times New Roman" w:hAnsi="Times New Roman" w:eastAsia="宋体" w:cs="Times New Roman"/>
                      <w:b w:val="0"/>
                      <w:bCs/>
                      <w:color w:val="auto"/>
                      <w:kern w:val="0"/>
                      <w:sz w:val="21"/>
                      <w:szCs w:val="21"/>
                      <w:highlight w:val="none"/>
                      <w:u w:val="none" w:color="auto"/>
                      <w:lang w:val="en-US" w:eastAsia="zh-CN" w:bidi="ar-SA"/>
                    </w:rPr>
                  </w:pPr>
                  <w:r>
                    <w:rPr>
                      <w:rFonts w:hint="eastAsia" w:ascii="Times New Roman" w:hAnsi="Times New Roman" w:eastAsia="宋体" w:cs="Times New Roman"/>
                      <w:b w:val="0"/>
                      <w:bCs/>
                      <w:color w:val="auto"/>
                      <w:kern w:val="0"/>
                      <w:sz w:val="21"/>
                      <w:szCs w:val="21"/>
                      <w:highlight w:val="none"/>
                      <w:u w:val="none" w:color="auto"/>
                      <w:lang w:val="en-US" w:eastAsia="zh-CN" w:bidi="ar-SA"/>
                    </w:rPr>
                    <w:t>名称</w:t>
                  </w:r>
                </w:p>
              </w:tc>
              <w:tc>
                <w:tcPr>
                  <w:tcW w:w="965" w:type="pct"/>
                  <w:noWrap w:val="0"/>
                  <w:vAlign w:val="center"/>
                </w:tcPr>
                <w:p w14:paraId="20A91930">
                  <w:pPr>
                    <w:keepNext w:val="0"/>
                    <w:keepLines w:val="0"/>
                    <w:pageBreakBefore w:val="0"/>
                    <w:widowControl w:val="0"/>
                    <w:kinsoku/>
                    <w:wordWrap/>
                    <w:overflowPunct/>
                    <w:topLinePunct w:val="0"/>
                    <w:autoSpaceDE/>
                    <w:autoSpaceDN/>
                    <w:bidi w:val="0"/>
                    <w:spacing w:line="320" w:lineRule="exact"/>
                    <w:ind w:left="0" w:leftChars="0" w:firstLine="0" w:firstLineChars="0"/>
                    <w:jc w:val="center"/>
                    <w:textAlignment w:val="auto"/>
                    <w:outlineLvl w:val="9"/>
                    <w:rPr>
                      <w:rFonts w:hint="default" w:ascii="Times New Roman" w:hAnsi="Times New Roman" w:eastAsia="宋体" w:cs="Times New Roman"/>
                      <w:b w:val="0"/>
                      <w:bCs/>
                      <w:color w:val="auto"/>
                      <w:kern w:val="0"/>
                      <w:sz w:val="21"/>
                      <w:szCs w:val="21"/>
                      <w:highlight w:val="none"/>
                      <w:u w:val="none" w:color="auto"/>
                      <w:lang w:val="en-US" w:eastAsia="zh-CN" w:bidi="ar-SA"/>
                    </w:rPr>
                  </w:pPr>
                  <w:r>
                    <w:rPr>
                      <w:rFonts w:hint="eastAsia" w:ascii="Times New Roman" w:hAnsi="Times New Roman" w:eastAsia="宋体" w:cs="Times New Roman"/>
                      <w:b w:val="0"/>
                      <w:bCs/>
                      <w:color w:val="auto"/>
                      <w:kern w:val="0"/>
                      <w:sz w:val="21"/>
                      <w:szCs w:val="21"/>
                      <w:highlight w:val="none"/>
                      <w:u w:val="none" w:color="auto"/>
                      <w:lang w:val="en-US" w:eastAsia="zh-CN" w:bidi="ar-SA"/>
                    </w:rPr>
                    <w:t>数量</w:t>
                  </w:r>
                </w:p>
              </w:tc>
              <w:tc>
                <w:tcPr>
                  <w:tcW w:w="1953" w:type="pct"/>
                  <w:noWrap w:val="0"/>
                  <w:vAlign w:val="center"/>
                </w:tcPr>
                <w:p w14:paraId="79509A10">
                  <w:pPr>
                    <w:keepNext w:val="0"/>
                    <w:keepLines w:val="0"/>
                    <w:pageBreakBefore w:val="0"/>
                    <w:widowControl w:val="0"/>
                    <w:kinsoku/>
                    <w:wordWrap/>
                    <w:overflowPunct/>
                    <w:topLinePunct w:val="0"/>
                    <w:autoSpaceDE/>
                    <w:autoSpaceDN/>
                    <w:bidi w:val="0"/>
                    <w:spacing w:line="320" w:lineRule="exact"/>
                    <w:ind w:left="0" w:leftChars="0" w:firstLine="0" w:firstLineChars="0"/>
                    <w:jc w:val="center"/>
                    <w:textAlignment w:val="auto"/>
                    <w:outlineLvl w:val="9"/>
                    <w:rPr>
                      <w:rFonts w:hint="default" w:ascii="Times New Roman" w:hAnsi="Times New Roman" w:eastAsia="宋体" w:cs="Times New Roman"/>
                      <w:b w:val="0"/>
                      <w:bCs/>
                      <w:color w:val="auto"/>
                      <w:kern w:val="0"/>
                      <w:sz w:val="21"/>
                      <w:szCs w:val="21"/>
                      <w:highlight w:val="none"/>
                      <w:u w:val="none" w:color="auto"/>
                      <w:lang w:val="en-US" w:eastAsia="zh-CN" w:bidi="ar-SA"/>
                    </w:rPr>
                  </w:pPr>
                  <w:r>
                    <w:rPr>
                      <w:rFonts w:hint="eastAsia" w:ascii="Times New Roman" w:hAnsi="Times New Roman" w:eastAsia="宋体" w:cs="Times New Roman"/>
                      <w:b w:val="0"/>
                      <w:bCs/>
                      <w:color w:val="auto"/>
                      <w:kern w:val="0"/>
                      <w:sz w:val="21"/>
                      <w:szCs w:val="21"/>
                      <w:highlight w:val="none"/>
                      <w:u w:val="none" w:color="auto"/>
                      <w:lang w:val="en-US" w:eastAsia="zh-CN" w:bidi="ar-SA"/>
                    </w:rPr>
                    <w:t>备注</w:t>
                  </w:r>
                </w:p>
              </w:tc>
            </w:tr>
            <w:tr w14:paraId="7EB83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774" w:type="pct"/>
                  <w:noWrap w:val="0"/>
                  <w:vAlign w:val="center"/>
                </w:tcPr>
                <w:p w14:paraId="6F6A92FF">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w:t>
                  </w:r>
                </w:p>
              </w:tc>
              <w:tc>
                <w:tcPr>
                  <w:tcW w:w="1307" w:type="pct"/>
                  <w:noWrap w:val="0"/>
                  <w:vAlign w:val="center"/>
                </w:tcPr>
                <w:p w14:paraId="391B7A2F">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激光切割机</w:t>
                  </w:r>
                </w:p>
              </w:tc>
              <w:tc>
                <w:tcPr>
                  <w:tcW w:w="965" w:type="pct"/>
                  <w:noWrap w:val="0"/>
                  <w:vAlign w:val="center"/>
                </w:tcPr>
                <w:p w14:paraId="01EBC1F5">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1台</w:t>
                  </w:r>
                </w:p>
              </w:tc>
              <w:tc>
                <w:tcPr>
                  <w:tcW w:w="1953" w:type="pct"/>
                  <w:noWrap w:val="0"/>
                  <w:vAlign w:val="center"/>
                </w:tcPr>
                <w:p w14:paraId="12D94B4C">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6000W</w:t>
                  </w:r>
                </w:p>
              </w:tc>
            </w:tr>
            <w:tr w14:paraId="72D63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774" w:type="pct"/>
                  <w:noWrap w:val="0"/>
                  <w:vAlign w:val="center"/>
                </w:tcPr>
                <w:p w14:paraId="5FBC0201">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2</w:t>
                  </w:r>
                </w:p>
              </w:tc>
              <w:tc>
                <w:tcPr>
                  <w:tcW w:w="1307" w:type="pct"/>
                  <w:noWrap w:val="0"/>
                  <w:vAlign w:val="center"/>
                </w:tcPr>
                <w:p w14:paraId="489F6851">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钢板剪板机</w:t>
                  </w:r>
                </w:p>
              </w:tc>
              <w:tc>
                <w:tcPr>
                  <w:tcW w:w="965" w:type="pct"/>
                  <w:noWrap w:val="0"/>
                  <w:vAlign w:val="center"/>
                </w:tcPr>
                <w:p w14:paraId="25D0FE0D">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1台</w:t>
                  </w:r>
                </w:p>
              </w:tc>
              <w:tc>
                <w:tcPr>
                  <w:tcW w:w="1953" w:type="pct"/>
                  <w:noWrap w:val="0"/>
                  <w:vAlign w:val="center"/>
                </w:tcPr>
                <w:p w14:paraId="351787D0">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QC12Y-8*2500</w:t>
                  </w:r>
                </w:p>
              </w:tc>
            </w:tr>
            <w:tr w14:paraId="096CA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774" w:type="pct"/>
                  <w:noWrap w:val="0"/>
                  <w:vAlign w:val="center"/>
                </w:tcPr>
                <w:p w14:paraId="2ADB4C5F">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3</w:t>
                  </w:r>
                </w:p>
              </w:tc>
              <w:tc>
                <w:tcPr>
                  <w:tcW w:w="1307" w:type="pct"/>
                  <w:noWrap w:val="0"/>
                  <w:vAlign w:val="center"/>
                </w:tcPr>
                <w:p w14:paraId="1E94788C">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钢板折弯机</w:t>
                  </w:r>
                </w:p>
              </w:tc>
              <w:tc>
                <w:tcPr>
                  <w:tcW w:w="965" w:type="pct"/>
                  <w:noWrap w:val="0"/>
                  <w:vAlign w:val="center"/>
                </w:tcPr>
                <w:p w14:paraId="10A6EBBE">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1台</w:t>
                  </w:r>
                </w:p>
              </w:tc>
              <w:tc>
                <w:tcPr>
                  <w:tcW w:w="1953" w:type="pct"/>
                  <w:noWrap w:val="0"/>
                  <w:vAlign w:val="center"/>
                </w:tcPr>
                <w:p w14:paraId="07B72828">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W62K2×2500</w:t>
                  </w:r>
                </w:p>
              </w:tc>
            </w:tr>
            <w:tr w14:paraId="54086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74" w:type="pct"/>
                  <w:noWrap w:val="0"/>
                  <w:vAlign w:val="center"/>
                </w:tcPr>
                <w:p w14:paraId="547D65A1">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4</w:t>
                  </w:r>
                </w:p>
              </w:tc>
              <w:tc>
                <w:tcPr>
                  <w:tcW w:w="1307" w:type="pct"/>
                  <w:noWrap w:val="0"/>
                  <w:vAlign w:val="center"/>
                </w:tcPr>
                <w:p w14:paraId="1C5AF46B">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自动小型钢板滚圆机</w:t>
                  </w:r>
                </w:p>
              </w:tc>
              <w:tc>
                <w:tcPr>
                  <w:tcW w:w="965" w:type="pct"/>
                  <w:noWrap w:val="0"/>
                  <w:vAlign w:val="center"/>
                </w:tcPr>
                <w:p w14:paraId="1261AEA3">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1台</w:t>
                  </w:r>
                </w:p>
              </w:tc>
              <w:tc>
                <w:tcPr>
                  <w:tcW w:w="1953" w:type="pct"/>
                  <w:noWrap w:val="0"/>
                  <w:vAlign w:val="center"/>
                </w:tcPr>
                <w:p w14:paraId="09807CF8">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w:t>
                  </w:r>
                </w:p>
              </w:tc>
            </w:tr>
            <w:tr w14:paraId="2AE61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774" w:type="pct"/>
                  <w:noWrap w:val="0"/>
                  <w:vAlign w:val="center"/>
                </w:tcPr>
                <w:p w14:paraId="36A7BDF7">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5</w:t>
                  </w:r>
                </w:p>
              </w:tc>
              <w:tc>
                <w:tcPr>
                  <w:tcW w:w="1307" w:type="pct"/>
                  <w:noWrap w:val="0"/>
                  <w:vAlign w:val="center"/>
                </w:tcPr>
                <w:p w14:paraId="6203F9D4">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钢板</w:t>
                  </w:r>
                  <w:r>
                    <w:rPr>
                      <w:rFonts w:hint="eastAsia" w:cs="Times New Roman"/>
                      <w:b w:val="0"/>
                      <w:bCs/>
                      <w:i w:val="0"/>
                      <w:iCs w:val="0"/>
                      <w:color w:val="auto"/>
                      <w:kern w:val="0"/>
                      <w:sz w:val="21"/>
                      <w:szCs w:val="21"/>
                      <w:highlight w:val="none"/>
                      <w:u w:val="none" w:color="auto"/>
                      <w:lang w:val="en-US" w:eastAsia="zh-CN" w:bidi="ar"/>
                    </w:rPr>
                    <w:t>气体</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保护焊机</w:t>
                  </w:r>
                </w:p>
              </w:tc>
              <w:tc>
                <w:tcPr>
                  <w:tcW w:w="965" w:type="pct"/>
                  <w:noWrap w:val="0"/>
                  <w:vAlign w:val="center"/>
                </w:tcPr>
                <w:p w14:paraId="5F73B39E">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4台</w:t>
                  </w:r>
                </w:p>
              </w:tc>
              <w:tc>
                <w:tcPr>
                  <w:tcW w:w="1953" w:type="pct"/>
                  <w:noWrap w:val="0"/>
                  <w:vAlign w:val="center"/>
                </w:tcPr>
                <w:p w14:paraId="317D17A8">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MIG-500</w:t>
                  </w:r>
                </w:p>
              </w:tc>
            </w:tr>
            <w:tr w14:paraId="1061C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74" w:type="pct"/>
                  <w:noWrap w:val="0"/>
                  <w:vAlign w:val="center"/>
                </w:tcPr>
                <w:p w14:paraId="74A84EDC">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6</w:t>
                  </w:r>
                </w:p>
              </w:tc>
              <w:tc>
                <w:tcPr>
                  <w:tcW w:w="1307" w:type="pct"/>
                  <w:noWrap w:val="0"/>
                  <w:vAlign w:val="center"/>
                </w:tcPr>
                <w:p w14:paraId="302B7FF0">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喷漆房</w:t>
                  </w:r>
                </w:p>
              </w:tc>
              <w:tc>
                <w:tcPr>
                  <w:tcW w:w="965" w:type="pct"/>
                  <w:noWrap w:val="0"/>
                  <w:vAlign w:val="center"/>
                </w:tcPr>
                <w:p w14:paraId="59AE77B5">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2套</w:t>
                  </w:r>
                </w:p>
              </w:tc>
              <w:tc>
                <w:tcPr>
                  <w:tcW w:w="1953" w:type="pct"/>
                  <w:noWrap w:val="0"/>
                  <w:vAlign w:val="center"/>
                </w:tcPr>
                <w:p w14:paraId="677FAEB2">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cs="Times New Roman"/>
                      <w:b w:val="0"/>
                      <w:bCs/>
                      <w:i w:val="0"/>
                      <w:iCs w:val="0"/>
                      <w:color w:val="auto"/>
                      <w:kern w:val="0"/>
                      <w:sz w:val="21"/>
                      <w:szCs w:val="21"/>
                      <w:highlight w:val="none"/>
                      <w:u w:val="none" w:color="auto"/>
                      <w:lang w:val="en-US" w:eastAsia="zh-CN" w:bidi="ar"/>
                    </w:rPr>
                    <w:t>位于车间二密闭车间内</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，5m×3m×</w:t>
                  </w:r>
                  <w:r>
                    <w:rPr>
                      <w:rFonts w:hint="eastAsia" w:cs="Times New Roman"/>
                      <w:b w:val="0"/>
                      <w:bCs/>
                      <w:i w:val="0"/>
                      <w:iCs w:val="0"/>
                      <w:color w:val="auto"/>
                      <w:kern w:val="0"/>
                      <w:sz w:val="21"/>
                      <w:szCs w:val="21"/>
                      <w:highlight w:val="none"/>
                      <w:u w:val="none" w:color="auto"/>
                      <w:lang w:val="en-US" w:eastAsia="zh-CN" w:bidi="ar"/>
                    </w:rPr>
                    <w:t>2.5</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m</w:t>
                  </w:r>
                  <w:r>
                    <w:rPr>
                      <w:rFonts w:hint="eastAsia" w:cs="Times New Roman"/>
                      <w:b w:val="0"/>
                      <w:bCs/>
                      <w:i w:val="0"/>
                      <w:iCs w:val="0"/>
                      <w:color w:val="auto"/>
                      <w:kern w:val="0"/>
                      <w:sz w:val="21"/>
                      <w:szCs w:val="21"/>
                      <w:highlight w:val="none"/>
                      <w:u w:val="none" w:color="auto"/>
                      <w:lang w:val="en-US" w:eastAsia="zh-CN" w:bidi="ar"/>
                    </w:rPr>
                    <w:t>，用于高铁连接板涂装</w:t>
                  </w:r>
                </w:p>
              </w:tc>
            </w:tr>
            <w:tr w14:paraId="766ED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74" w:type="pct"/>
                  <w:noWrap w:val="0"/>
                  <w:vAlign w:val="center"/>
                </w:tcPr>
                <w:p w14:paraId="66392A71">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7</w:t>
                  </w:r>
                </w:p>
              </w:tc>
              <w:tc>
                <w:tcPr>
                  <w:tcW w:w="1307" w:type="pct"/>
                  <w:noWrap w:val="0"/>
                  <w:vAlign w:val="center"/>
                </w:tcPr>
                <w:p w14:paraId="2DC829F1">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喷漆房</w:t>
                  </w:r>
                </w:p>
              </w:tc>
              <w:tc>
                <w:tcPr>
                  <w:tcW w:w="965" w:type="pct"/>
                  <w:noWrap w:val="0"/>
                  <w:vAlign w:val="center"/>
                </w:tcPr>
                <w:p w14:paraId="77B25BAD">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1套</w:t>
                  </w:r>
                </w:p>
              </w:tc>
              <w:tc>
                <w:tcPr>
                  <w:tcW w:w="1953" w:type="pct"/>
                  <w:noWrap w:val="0"/>
                  <w:vAlign w:val="center"/>
                </w:tcPr>
                <w:p w14:paraId="6BC3DEAD">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cs="Times New Roman"/>
                      <w:b w:val="0"/>
                      <w:bCs/>
                      <w:i w:val="0"/>
                      <w:iCs w:val="0"/>
                      <w:color w:val="auto"/>
                      <w:kern w:val="0"/>
                      <w:sz w:val="21"/>
                      <w:szCs w:val="21"/>
                      <w:highlight w:val="none"/>
                      <w:u w:val="none" w:color="auto"/>
                      <w:lang w:val="en-US" w:eastAsia="zh-CN" w:bidi="ar"/>
                    </w:rPr>
                    <w:t>位于车间二密闭车间内</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，2.7m×3m×</w:t>
                  </w:r>
                  <w:r>
                    <w:rPr>
                      <w:rFonts w:hint="eastAsia" w:cs="Times New Roman"/>
                      <w:b w:val="0"/>
                      <w:bCs/>
                      <w:i w:val="0"/>
                      <w:iCs w:val="0"/>
                      <w:color w:val="auto"/>
                      <w:kern w:val="0"/>
                      <w:sz w:val="21"/>
                      <w:szCs w:val="21"/>
                      <w:highlight w:val="none"/>
                      <w:u w:val="none" w:color="auto"/>
                      <w:lang w:val="en-US" w:eastAsia="zh-CN" w:bidi="ar"/>
                    </w:rPr>
                    <w:t>2.5</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m</w:t>
                  </w:r>
                  <w:r>
                    <w:rPr>
                      <w:rFonts w:hint="eastAsia" w:cs="Times New Roman"/>
                      <w:b w:val="0"/>
                      <w:bCs/>
                      <w:i w:val="0"/>
                      <w:iCs w:val="0"/>
                      <w:color w:val="auto"/>
                      <w:kern w:val="0"/>
                      <w:sz w:val="21"/>
                      <w:szCs w:val="21"/>
                      <w:highlight w:val="none"/>
                      <w:u w:val="none" w:color="auto"/>
                      <w:lang w:val="en-US" w:eastAsia="zh-CN" w:bidi="ar"/>
                    </w:rPr>
                    <w:t>，用于喷涂高铁连接板涂装</w:t>
                  </w:r>
                </w:p>
              </w:tc>
            </w:tr>
            <w:tr w14:paraId="1744E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774" w:type="pct"/>
                  <w:noWrap w:val="0"/>
                  <w:vAlign w:val="center"/>
                </w:tcPr>
                <w:p w14:paraId="53F5A133">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8</w:t>
                  </w:r>
                </w:p>
              </w:tc>
              <w:tc>
                <w:tcPr>
                  <w:tcW w:w="1307" w:type="pct"/>
                  <w:noWrap w:val="0"/>
                  <w:vAlign w:val="center"/>
                </w:tcPr>
                <w:p w14:paraId="5DBC6517">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喷漆房</w:t>
                  </w:r>
                </w:p>
              </w:tc>
              <w:tc>
                <w:tcPr>
                  <w:tcW w:w="965" w:type="pct"/>
                  <w:noWrap w:val="0"/>
                  <w:vAlign w:val="center"/>
                </w:tcPr>
                <w:p w14:paraId="1764E54E">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2套</w:t>
                  </w:r>
                </w:p>
              </w:tc>
              <w:tc>
                <w:tcPr>
                  <w:tcW w:w="1953" w:type="pct"/>
                  <w:noWrap w:val="0"/>
                  <w:vAlign w:val="center"/>
                </w:tcPr>
                <w:p w14:paraId="4663DEED">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cs="Times New Roman"/>
                      <w:b w:val="0"/>
                      <w:bCs/>
                      <w:i w:val="0"/>
                      <w:iCs w:val="0"/>
                      <w:color w:val="auto"/>
                      <w:kern w:val="0"/>
                      <w:sz w:val="21"/>
                      <w:szCs w:val="21"/>
                      <w:highlight w:val="none"/>
                      <w:u w:val="none" w:color="auto"/>
                      <w:lang w:val="en-US" w:eastAsia="zh-CN" w:bidi="ar"/>
                    </w:rPr>
                    <w:t>位于</w:t>
                  </w:r>
                  <w:r>
                    <w:rPr>
                      <w:rFonts w:hint="eastAsia" w:ascii="Times New Roman" w:hAnsi="Times New Roman" w:cs="Times New Roman"/>
                      <w:color w:val="auto"/>
                      <w:sz w:val="21"/>
                      <w:szCs w:val="21"/>
                      <w:highlight w:val="none"/>
                      <w:u w:val="none" w:color="auto"/>
                      <w:lang w:val="en-US" w:eastAsia="zh-CN"/>
                    </w:rPr>
                    <w:t>车间一</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，4m×3m×</w:t>
                  </w:r>
                  <w:r>
                    <w:rPr>
                      <w:rFonts w:hint="eastAsia" w:cs="Times New Roman"/>
                      <w:b w:val="0"/>
                      <w:bCs/>
                      <w:i w:val="0"/>
                      <w:iCs w:val="0"/>
                      <w:color w:val="auto"/>
                      <w:kern w:val="0"/>
                      <w:sz w:val="21"/>
                      <w:szCs w:val="21"/>
                      <w:highlight w:val="none"/>
                      <w:u w:val="none" w:color="auto"/>
                      <w:lang w:val="en-US" w:eastAsia="zh-CN" w:bidi="ar"/>
                    </w:rPr>
                    <w:t>2.5</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m</w:t>
                  </w:r>
                  <w:r>
                    <w:rPr>
                      <w:rFonts w:hint="eastAsia" w:cs="Times New Roman"/>
                      <w:b w:val="0"/>
                      <w:bCs/>
                      <w:i w:val="0"/>
                      <w:iCs w:val="0"/>
                      <w:color w:val="auto"/>
                      <w:kern w:val="0"/>
                      <w:sz w:val="21"/>
                      <w:szCs w:val="21"/>
                      <w:highlight w:val="none"/>
                      <w:u w:val="none" w:color="auto"/>
                      <w:lang w:val="en-US" w:eastAsia="zh-CN" w:bidi="ar"/>
                    </w:rPr>
                    <w:t>，用于风扇风罩涂装</w:t>
                  </w:r>
                </w:p>
              </w:tc>
            </w:tr>
            <w:tr w14:paraId="2FAAD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74" w:type="pct"/>
                  <w:noWrap w:val="0"/>
                  <w:vAlign w:val="center"/>
                </w:tcPr>
                <w:p w14:paraId="1F6C5B7F">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9</w:t>
                  </w:r>
                </w:p>
              </w:tc>
              <w:tc>
                <w:tcPr>
                  <w:tcW w:w="1307" w:type="pct"/>
                  <w:noWrap w:val="0"/>
                  <w:vAlign w:val="center"/>
                </w:tcPr>
                <w:p w14:paraId="72B26EE6">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烤炉</w:t>
                  </w:r>
                </w:p>
              </w:tc>
              <w:tc>
                <w:tcPr>
                  <w:tcW w:w="965" w:type="pct"/>
                  <w:noWrap w:val="0"/>
                  <w:vAlign w:val="center"/>
                </w:tcPr>
                <w:p w14:paraId="28C3E088">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2台</w:t>
                  </w:r>
                </w:p>
              </w:tc>
              <w:tc>
                <w:tcPr>
                  <w:tcW w:w="1953" w:type="pct"/>
                  <w:noWrap w:val="0"/>
                  <w:vAlign w:val="center"/>
                </w:tcPr>
                <w:p w14:paraId="2708694D">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cs="Times New Roman"/>
                      <w:b w:val="0"/>
                      <w:bCs/>
                      <w:i w:val="0"/>
                      <w:iCs w:val="0"/>
                      <w:color w:val="auto"/>
                      <w:kern w:val="0"/>
                      <w:sz w:val="21"/>
                      <w:szCs w:val="21"/>
                      <w:highlight w:val="none"/>
                      <w:u w:val="none" w:color="auto"/>
                      <w:lang w:val="en-US" w:eastAsia="zh-CN" w:bidi="ar"/>
                    </w:rPr>
                    <w:t>位于车间二密闭车间内，</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3.5m×4m，能源为</w:t>
                  </w:r>
                  <w:r>
                    <w:rPr>
                      <w:rFonts w:hint="eastAsia" w:cs="Times New Roman"/>
                      <w:b w:val="0"/>
                      <w:bCs/>
                      <w:i w:val="0"/>
                      <w:iCs w:val="0"/>
                      <w:color w:val="auto"/>
                      <w:kern w:val="0"/>
                      <w:sz w:val="21"/>
                      <w:szCs w:val="21"/>
                      <w:highlight w:val="none"/>
                      <w:u w:val="none" w:color="auto"/>
                      <w:lang w:val="en-US" w:eastAsia="zh-CN" w:bidi="ar"/>
                    </w:rPr>
                    <w:t>液化石油气，用于高铁连接板涂装烘烤</w:t>
                  </w:r>
                </w:p>
              </w:tc>
            </w:tr>
            <w:tr w14:paraId="3E528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74" w:type="pct"/>
                  <w:noWrap w:val="0"/>
                  <w:vAlign w:val="center"/>
                </w:tcPr>
                <w:p w14:paraId="518C2CEF">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10</w:t>
                  </w:r>
                </w:p>
              </w:tc>
              <w:tc>
                <w:tcPr>
                  <w:tcW w:w="1307" w:type="pct"/>
                  <w:noWrap w:val="0"/>
                  <w:vAlign w:val="center"/>
                </w:tcPr>
                <w:p w14:paraId="307F3A3E">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烤炉</w:t>
                  </w:r>
                </w:p>
              </w:tc>
              <w:tc>
                <w:tcPr>
                  <w:tcW w:w="965" w:type="pct"/>
                  <w:noWrap w:val="0"/>
                  <w:vAlign w:val="center"/>
                </w:tcPr>
                <w:p w14:paraId="5A4D4A0E">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1台</w:t>
                  </w:r>
                </w:p>
              </w:tc>
              <w:tc>
                <w:tcPr>
                  <w:tcW w:w="1953" w:type="pct"/>
                  <w:noWrap w:val="0"/>
                  <w:vAlign w:val="center"/>
                </w:tcPr>
                <w:p w14:paraId="56A64962">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cs="Times New Roman"/>
                      <w:b w:val="0"/>
                      <w:bCs/>
                      <w:i w:val="0"/>
                      <w:iCs w:val="0"/>
                      <w:color w:val="auto"/>
                      <w:kern w:val="0"/>
                      <w:sz w:val="21"/>
                      <w:szCs w:val="21"/>
                      <w:highlight w:val="none"/>
                      <w:u w:val="none" w:color="auto"/>
                      <w:lang w:val="en-US" w:eastAsia="zh-CN" w:bidi="ar"/>
                    </w:rPr>
                    <w:t>位于车间二密闭车间内，</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3.5m×4m，能源为电</w:t>
                  </w:r>
                  <w:r>
                    <w:rPr>
                      <w:rFonts w:hint="eastAsia" w:cs="Times New Roman"/>
                      <w:b w:val="0"/>
                      <w:bCs/>
                      <w:i w:val="0"/>
                      <w:iCs w:val="0"/>
                      <w:color w:val="auto"/>
                      <w:kern w:val="0"/>
                      <w:sz w:val="21"/>
                      <w:szCs w:val="21"/>
                      <w:highlight w:val="none"/>
                      <w:u w:val="none" w:color="auto"/>
                      <w:lang w:val="en-US" w:eastAsia="zh-CN" w:bidi="ar"/>
                    </w:rPr>
                    <w:t>，用于高铁连接板涂装烘烤</w:t>
                  </w:r>
                </w:p>
              </w:tc>
            </w:tr>
            <w:tr w14:paraId="3EC39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774" w:type="pct"/>
                  <w:noWrap w:val="0"/>
                  <w:vAlign w:val="center"/>
                </w:tcPr>
                <w:p w14:paraId="23176CA7">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11</w:t>
                  </w:r>
                </w:p>
              </w:tc>
              <w:tc>
                <w:tcPr>
                  <w:tcW w:w="1307" w:type="pct"/>
                  <w:noWrap w:val="0"/>
                  <w:vAlign w:val="center"/>
                </w:tcPr>
                <w:p w14:paraId="0F94EC0E">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打孔机</w:t>
                  </w:r>
                </w:p>
              </w:tc>
              <w:tc>
                <w:tcPr>
                  <w:tcW w:w="965" w:type="pct"/>
                  <w:noWrap w:val="0"/>
                  <w:vAlign w:val="center"/>
                </w:tcPr>
                <w:p w14:paraId="32297C4A">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1台</w:t>
                  </w:r>
                </w:p>
              </w:tc>
              <w:tc>
                <w:tcPr>
                  <w:tcW w:w="1953" w:type="pct"/>
                  <w:noWrap w:val="0"/>
                  <w:vAlign w:val="center"/>
                </w:tcPr>
                <w:p w14:paraId="02E72564">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w:t>
                  </w:r>
                </w:p>
              </w:tc>
            </w:tr>
            <w:tr w14:paraId="266B3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774" w:type="pct"/>
                  <w:noWrap w:val="0"/>
                  <w:vAlign w:val="center"/>
                </w:tcPr>
                <w:p w14:paraId="749A27A4">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12</w:t>
                  </w:r>
                </w:p>
              </w:tc>
              <w:tc>
                <w:tcPr>
                  <w:tcW w:w="1307" w:type="pct"/>
                  <w:noWrap w:val="0"/>
                  <w:vAlign w:val="center"/>
                </w:tcPr>
                <w:p w14:paraId="20927167">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空气压缩机</w:t>
                  </w:r>
                </w:p>
              </w:tc>
              <w:tc>
                <w:tcPr>
                  <w:tcW w:w="965" w:type="pct"/>
                  <w:noWrap w:val="0"/>
                  <w:vAlign w:val="center"/>
                </w:tcPr>
                <w:p w14:paraId="1562C848">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2台</w:t>
                  </w:r>
                </w:p>
              </w:tc>
              <w:tc>
                <w:tcPr>
                  <w:tcW w:w="1953" w:type="pct"/>
                  <w:noWrap w:val="0"/>
                  <w:vAlign w:val="center"/>
                </w:tcPr>
                <w:p w14:paraId="35862C76">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w:t>
                  </w:r>
                </w:p>
              </w:tc>
            </w:tr>
            <w:tr w14:paraId="247D9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4" w:type="pct"/>
                  <w:noWrap w:val="0"/>
                  <w:vAlign w:val="center"/>
                </w:tcPr>
                <w:p w14:paraId="54BC7841">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13</w:t>
                  </w:r>
                </w:p>
              </w:tc>
              <w:tc>
                <w:tcPr>
                  <w:tcW w:w="1307" w:type="pct"/>
                  <w:noWrap w:val="0"/>
                  <w:vAlign w:val="center"/>
                </w:tcPr>
                <w:p w14:paraId="61E49DE0">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气动打磨机</w:t>
                  </w:r>
                </w:p>
              </w:tc>
              <w:tc>
                <w:tcPr>
                  <w:tcW w:w="965" w:type="pct"/>
                  <w:noWrap w:val="0"/>
                  <w:vAlign w:val="center"/>
                </w:tcPr>
                <w:p w14:paraId="379C3E4C">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5台</w:t>
                  </w:r>
                </w:p>
              </w:tc>
              <w:tc>
                <w:tcPr>
                  <w:tcW w:w="1953" w:type="pct"/>
                  <w:noWrap w:val="0"/>
                  <w:vAlign w:val="center"/>
                </w:tcPr>
                <w:p w14:paraId="5C6B32B3">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w:t>
                  </w:r>
                </w:p>
              </w:tc>
            </w:tr>
            <w:tr w14:paraId="68E89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4" w:type="pct"/>
                  <w:noWrap w:val="0"/>
                  <w:vAlign w:val="center"/>
                </w:tcPr>
                <w:p w14:paraId="28803F7D">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14</w:t>
                  </w:r>
                </w:p>
              </w:tc>
              <w:tc>
                <w:tcPr>
                  <w:tcW w:w="1307" w:type="pct"/>
                  <w:noWrap w:val="0"/>
                  <w:vAlign w:val="center"/>
                </w:tcPr>
                <w:p w14:paraId="37696E0B">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风机</w:t>
                  </w:r>
                </w:p>
              </w:tc>
              <w:tc>
                <w:tcPr>
                  <w:tcW w:w="965" w:type="pct"/>
                  <w:noWrap w:val="0"/>
                  <w:vAlign w:val="center"/>
                </w:tcPr>
                <w:p w14:paraId="55BC3A3E">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2台</w:t>
                  </w:r>
                </w:p>
              </w:tc>
              <w:tc>
                <w:tcPr>
                  <w:tcW w:w="1953" w:type="pct"/>
                  <w:noWrap w:val="0"/>
                  <w:vAlign w:val="center"/>
                </w:tcPr>
                <w:p w14:paraId="1311A34E">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2</w:t>
                  </w:r>
                  <w:r>
                    <w:rPr>
                      <w:rFonts w:hint="eastAsia" w:cs="Times New Roman"/>
                      <w:b w:val="0"/>
                      <w:bCs/>
                      <w:i w:val="0"/>
                      <w:iCs w:val="0"/>
                      <w:color w:val="auto"/>
                      <w:kern w:val="0"/>
                      <w:sz w:val="21"/>
                      <w:szCs w:val="21"/>
                      <w:highlight w:val="none"/>
                      <w:u w:val="none" w:color="auto"/>
                      <w:lang w:val="en-US" w:eastAsia="zh-CN" w:bidi="ar"/>
                    </w:rPr>
                    <w:t>8</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000m</w:t>
                  </w:r>
                  <w:r>
                    <w:rPr>
                      <w:rFonts w:hint="eastAsia" w:ascii="Times New Roman" w:hAnsi="Times New Roman" w:eastAsia="宋体" w:cs="Times New Roman"/>
                      <w:b w:val="0"/>
                      <w:bCs/>
                      <w:i w:val="0"/>
                      <w:iCs w:val="0"/>
                      <w:color w:val="auto"/>
                      <w:kern w:val="0"/>
                      <w:sz w:val="21"/>
                      <w:szCs w:val="21"/>
                      <w:highlight w:val="none"/>
                      <w:u w:val="none" w:color="auto"/>
                      <w:vertAlign w:val="superscript"/>
                      <w:lang w:val="en-US" w:eastAsia="zh-CN" w:bidi="ar"/>
                    </w:rPr>
                    <w:t>3</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/h</w:t>
                  </w:r>
                  <w:r>
                    <w:rPr>
                      <w:rFonts w:hint="eastAsia" w:cs="Times New Roman"/>
                      <w:b w:val="0"/>
                      <w:bCs/>
                      <w:i w:val="0"/>
                      <w:iCs w:val="0"/>
                      <w:color w:val="auto"/>
                      <w:kern w:val="0"/>
                      <w:sz w:val="21"/>
                      <w:szCs w:val="21"/>
                      <w:highlight w:val="none"/>
                      <w:u w:val="none" w:color="auto"/>
                      <w:lang w:val="en-US" w:eastAsia="zh-CN" w:bidi="ar"/>
                    </w:rPr>
                    <w:t>、10</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000m</w:t>
                  </w:r>
                  <w:r>
                    <w:rPr>
                      <w:rFonts w:hint="eastAsia" w:ascii="Times New Roman" w:hAnsi="Times New Roman" w:eastAsia="宋体" w:cs="Times New Roman"/>
                      <w:b w:val="0"/>
                      <w:bCs/>
                      <w:i w:val="0"/>
                      <w:iCs w:val="0"/>
                      <w:color w:val="auto"/>
                      <w:kern w:val="0"/>
                      <w:sz w:val="21"/>
                      <w:szCs w:val="21"/>
                      <w:highlight w:val="none"/>
                      <w:u w:val="none" w:color="auto"/>
                      <w:vertAlign w:val="superscript"/>
                      <w:lang w:val="en-US" w:eastAsia="zh-CN" w:bidi="ar"/>
                    </w:rPr>
                    <w:t>3</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/h</w:t>
                  </w:r>
                </w:p>
              </w:tc>
            </w:tr>
            <w:tr w14:paraId="35EA5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774" w:type="pct"/>
                  <w:noWrap w:val="0"/>
                  <w:vAlign w:val="center"/>
                </w:tcPr>
                <w:p w14:paraId="549BBC53">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15</w:t>
                  </w:r>
                </w:p>
              </w:tc>
              <w:tc>
                <w:tcPr>
                  <w:tcW w:w="1307" w:type="pct"/>
                  <w:noWrap w:val="0"/>
                  <w:vAlign w:val="center"/>
                </w:tcPr>
                <w:p w14:paraId="6B88B138">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二级活性炭吸附</w:t>
                  </w:r>
                </w:p>
              </w:tc>
              <w:tc>
                <w:tcPr>
                  <w:tcW w:w="965" w:type="pct"/>
                  <w:noWrap w:val="0"/>
                  <w:vAlign w:val="center"/>
                </w:tcPr>
                <w:p w14:paraId="3FA1FC11">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1套</w:t>
                  </w:r>
                </w:p>
              </w:tc>
              <w:tc>
                <w:tcPr>
                  <w:tcW w:w="1953" w:type="pct"/>
                  <w:noWrap w:val="0"/>
                  <w:vAlign w:val="center"/>
                </w:tcPr>
                <w:p w14:paraId="6CB40E23">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w:t>
                  </w:r>
                </w:p>
              </w:tc>
            </w:tr>
            <w:tr w14:paraId="7BA24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774" w:type="pct"/>
                  <w:noWrap w:val="0"/>
                  <w:vAlign w:val="center"/>
                </w:tcPr>
                <w:p w14:paraId="4491D5A1">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16</w:t>
                  </w:r>
                </w:p>
              </w:tc>
              <w:tc>
                <w:tcPr>
                  <w:tcW w:w="1307" w:type="pct"/>
                  <w:noWrap w:val="0"/>
                  <w:vAlign w:val="center"/>
                </w:tcPr>
                <w:p w14:paraId="0FE001AE">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vertAlign w:val="subscript"/>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活性炭吸附+催化燃烧系统</w:t>
                  </w:r>
                </w:p>
              </w:tc>
              <w:tc>
                <w:tcPr>
                  <w:tcW w:w="965" w:type="pct"/>
                  <w:noWrap w:val="0"/>
                  <w:vAlign w:val="center"/>
                </w:tcPr>
                <w:p w14:paraId="62276B5A">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1套</w:t>
                  </w:r>
                </w:p>
              </w:tc>
              <w:tc>
                <w:tcPr>
                  <w:tcW w:w="1953" w:type="pct"/>
                  <w:noWrap w:val="0"/>
                  <w:vAlign w:val="center"/>
                </w:tcPr>
                <w:p w14:paraId="7C684773">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w:t>
                  </w:r>
                </w:p>
              </w:tc>
            </w:tr>
            <w:tr w14:paraId="469E0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774" w:type="pct"/>
                  <w:noWrap w:val="0"/>
                  <w:vAlign w:val="center"/>
                </w:tcPr>
                <w:p w14:paraId="441E32BA">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cs="Times New Roman"/>
                      <w:b w:val="0"/>
                      <w:bCs/>
                      <w:i w:val="0"/>
                      <w:iCs w:val="0"/>
                      <w:color w:val="auto"/>
                      <w:kern w:val="0"/>
                      <w:sz w:val="21"/>
                      <w:szCs w:val="21"/>
                      <w:highlight w:val="none"/>
                      <w:u w:val="none" w:color="auto"/>
                      <w:lang w:val="en-US" w:eastAsia="zh-CN" w:bidi="ar"/>
                    </w:rPr>
                    <w:t>17</w:t>
                  </w:r>
                </w:p>
              </w:tc>
              <w:tc>
                <w:tcPr>
                  <w:tcW w:w="1307" w:type="pct"/>
                  <w:noWrap w:val="0"/>
                  <w:vAlign w:val="center"/>
                </w:tcPr>
                <w:p w14:paraId="7E7560C5">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移动式粉尘净化器</w:t>
                  </w:r>
                </w:p>
              </w:tc>
              <w:tc>
                <w:tcPr>
                  <w:tcW w:w="965" w:type="pct"/>
                  <w:noWrap w:val="0"/>
                  <w:vAlign w:val="center"/>
                </w:tcPr>
                <w:p w14:paraId="61D9A6B8">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cs="Times New Roman"/>
                      <w:b w:val="0"/>
                      <w:bCs/>
                      <w:i w:val="0"/>
                      <w:iCs w:val="0"/>
                      <w:color w:val="auto"/>
                      <w:kern w:val="0"/>
                      <w:sz w:val="21"/>
                      <w:szCs w:val="21"/>
                      <w:highlight w:val="none"/>
                      <w:u w:val="none" w:color="auto"/>
                      <w:lang w:val="en-US" w:eastAsia="zh-CN" w:bidi="ar"/>
                    </w:rPr>
                    <w:t>6台</w:t>
                  </w:r>
                </w:p>
              </w:tc>
              <w:tc>
                <w:tcPr>
                  <w:tcW w:w="1953" w:type="pct"/>
                  <w:noWrap w:val="0"/>
                  <w:vAlign w:val="center"/>
                </w:tcPr>
                <w:p w14:paraId="3B1E92FE">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cs="Times New Roman"/>
                      <w:b w:val="0"/>
                      <w:bCs/>
                      <w:i w:val="0"/>
                      <w:iCs w:val="0"/>
                      <w:color w:val="auto"/>
                      <w:kern w:val="0"/>
                      <w:sz w:val="21"/>
                      <w:szCs w:val="21"/>
                      <w:highlight w:val="none"/>
                      <w:u w:val="none" w:color="auto"/>
                      <w:lang w:val="en-US" w:eastAsia="zh-CN" w:bidi="ar"/>
                    </w:rPr>
                    <w:t xml:space="preserve">/  </w:t>
                  </w:r>
                </w:p>
              </w:tc>
            </w:tr>
          </w:tbl>
          <w:p w14:paraId="40F59107">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2.8</w:t>
            </w:r>
            <w:r>
              <w:rPr>
                <w:rFonts w:hint="default" w:ascii="Times New Roman" w:hAnsi="Times New Roman" w:eastAsia="宋体" w:cs="Times New Roman"/>
                <w:b/>
                <w:bCs/>
                <w:color w:val="auto"/>
                <w:sz w:val="24"/>
                <w:szCs w:val="24"/>
                <w:highlight w:val="none"/>
                <w:u w:val="none" w:color="auto"/>
                <w:lang w:val="en-US" w:eastAsia="zh-CN"/>
              </w:rPr>
              <w:t>总平面布置</w:t>
            </w:r>
          </w:p>
          <w:p w14:paraId="10F66F30">
            <w:pPr>
              <w:keepNext w:val="0"/>
              <w:keepLines w:val="0"/>
              <w:pageBreakBefore w:val="0"/>
              <w:widowControl w:val="0"/>
              <w:kinsoku/>
              <w:wordWrap/>
              <w:overflowPunct/>
              <w:topLinePunct w:val="0"/>
              <w:autoSpaceDE/>
              <w:autoSpaceDN/>
              <w:bidi w:val="0"/>
              <w:adjustRightInd/>
              <w:snapToGrid/>
              <w:spacing w:before="0" w:after="0" w:line="420" w:lineRule="exact"/>
              <w:ind w:firstLine="480" w:firstLineChars="200"/>
              <w:jc w:val="both"/>
              <w:textAlignment w:val="auto"/>
              <w:rPr>
                <w:rFonts w:hint="default" w:ascii="Times New Roman" w:hAnsi="Times New Roman" w:eastAsia="宋体" w:cs="Times New Roman"/>
                <w:color w:val="auto"/>
                <w:kern w:val="2"/>
                <w:sz w:val="24"/>
                <w:szCs w:val="24"/>
                <w:highlight w:val="none"/>
                <w:u w:val="none" w:color="auto"/>
                <w:lang w:val="en-US" w:eastAsia="zh-CN" w:bidi="ar-SA"/>
              </w:rPr>
            </w:pPr>
            <w:r>
              <w:rPr>
                <w:rFonts w:hint="default" w:ascii="Times New Roman" w:hAnsi="Times New Roman" w:eastAsia="宋体" w:cs="Times New Roman"/>
                <w:color w:val="auto"/>
                <w:kern w:val="2"/>
                <w:sz w:val="24"/>
                <w:szCs w:val="24"/>
                <w:highlight w:val="none"/>
                <w:u w:val="none" w:color="auto"/>
                <w:lang w:val="en-US" w:eastAsia="zh-CN" w:bidi="ar-SA"/>
              </w:rPr>
              <w:t>本项目根据工艺流程、物料进出、原材料及产品储存、厂内外交通运输等情况，按</w:t>
            </w:r>
            <w:r>
              <w:rPr>
                <w:rFonts w:hint="eastAsia" w:ascii="Times New Roman" w:hAnsi="Times New Roman" w:eastAsia="宋体" w:cs="Times New Roman"/>
                <w:color w:val="auto"/>
                <w:kern w:val="2"/>
                <w:sz w:val="24"/>
                <w:szCs w:val="24"/>
                <w:highlight w:val="none"/>
                <w:u w:val="none" w:color="auto"/>
                <w:lang w:val="en-US" w:eastAsia="zh-CN" w:bidi="ar-SA"/>
              </w:rPr>
              <w:t>场地</w:t>
            </w:r>
            <w:r>
              <w:rPr>
                <w:rFonts w:hint="default" w:ascii="Times New Roman" w:hAnsi="Times New Roman" w:eastAsia="宋体" w:cs="Times New Roman"/>
                <w:color w:val="auto"/>
                <w:kern w:val="2"/>
                <w:sz w:val="24"/>
                <w:szCs w:val="24"/>
                <w:highlight w:val="none"/>
                <w:u w:val="none" w:color="auto"/>
                <w:lang w:val="en-US" w:eastAsia="zh-CN" w:bidi="ar-SA"/>
              </w:rPr>
              <w:t>的自然条件、生产要求与功能进行平面布置。</w:t>
            </w:r>
          </w:p>
          <w:p w14:paraId="41422744">
            <w:pPr>
              <w:keepNext w:val="0"/>
              <w:keepLines w:val="0"/>
              <w:pageBreakBefore w:val="0"/>
              <w:widowControl w:val="0"/>
              <w:kinsoku/>
              <w:wordWrap/>
              <w:overflowPunct/>
              <w:topLinePunct w:val="0"/>
              <w:autoSpaceDE/>
              <w:autoSpaceDN/>
              <w:bidi w:val="0"/>
              <w:adjustRightInd/>
              <w:snapToGrid/>
              <w:spacing w:before="0" w:after="0" w:line="420" w:lineRule="exact"/>
              <w:ind w:firstLine="480" w:firstLineChars="200"/>
              <w:jc w:val="both"/>
              <w:textAlignment w:val="auto"/>
              <w:rPr>
                <w:rFonts w:hint="eastAsia" w:ascii="Times New Roman" w:hAnsi="Times New Roman" w:eastAsia="宋体" w:cs="Times New Roman"/>
                <w:color w:val="auto"/>
                <w:kern w:val="2"/>
                <w:sz w:val="24"/>
                <w:szCs w:val="24"/>
                <w:highlight w:val="none"/>
                <w:u w:val="none" w:color="auto"/>
                <w:lang w:val="en-US" w:eastAsia="zh-CN" w:bidi="ar-SA"/>
              </w:rPr>
            </w:pPr>
            <w:r>
              <w:rPr>
                <w:rFonts w:hint="eastAsia" w:ascii="Times New Roman" w:hAnsi="Times New Roman" w:eastAsia="宋体" w:cs="Times New Roman"/>
                <w:color w:val="auto"/>
                <w:kern w:val="2"/>
                <w:sz w:val="24"/>
                <w:szCs w:val="24"/>
                <w:highlight w:val="none"/>
                <w:u w:val="none" w:color="auto"/>
                <w:lang w:val="en-US" w:eastAsia="zh-CN" w:bidi="ar-SA"/>
              </w:rPr>
              <w:t>本项目主要出入口位于厂区南侧，自南向北依次布置办公区、生产区域。风扇、风罩机加区和喷漆区位于厂房东侧车间一，高铁连接板件前处理车间位于厂房西侧车间三。厂区中部为车间二，车间二南侧为原料、成品存放区，车间二北侧为高铁连接板喷漆、烤漆密闭生产区，该车间西侧和北侧均为有机废气处理设施区域。各功能分区明确、组织协作良好，方便生产联系和管理，以确保生产、运输和安全，平面布置较为合理。</w:t>
            </w:r>
          </w:p>
          <w:p w14:paraId="20A2800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2.9</w:t>
            </w:r>
            <w:r>
              <w:rPr>
                <w:rFonts w:hint="default" w:ascii="Times New Roman" w:hAnsi="Times New Roman" w:eastAsia="宋体" w:cs="Times New Roman"/>
                <w:b/>
                <w:bCs/>
                <w:color w:val="auto"/>
                <w:sz w:val="24"/>
                <w:szCs w:val="24"/>
                <w:highlight w:val="none"/>
                <w:u w:val="none" w:color="auto"/>
                <w:lang w:val="en-US" w:eastAsia="zh-CN"/>
              </w:rPr>
              <w:t>公用工程</w:t>
            </w:r>
          </w:p>
          <w:p w14:paraId="3E4642F4">
            <w:pPr>
              <w:keepNext w:val="0"/>
              <w:keepLines w:val="0"/>
              <w:pageBreakBefore w:val="0"/>
              <w:widowControl w:val="0"/>
              <w:kinsoku/>
              <w:wordWrap/>
              <w:overflowPunct/>
              <w:topLinePunct w:val="0"/>
              <w:autoSpaceDE/>
              <w:autoSpaceDN/>
              <w:bidi w:val="0"/>
              <w:adjustRightInd/>
              <w:spacing w:before="0" w:after="0" w:line="420" w:lineRule="exact"/>
              <w:ind w:firstLine="480" w:firstLineChars="200"/>
              <w:jc w:val="both"/>
              <w:textAlignment w:val="auto"/>
              <w:rPr>
                <w:rFonts w:hint="default" w:ascii="Times New Roman" w:hAnsi="Times New Roman" w:eastAsia="宋体" w:cs="Times New Roman"/>
                <w:color w:val="auto"/>
                <w:kern w:val="2"/>
                <w:sz w:val="24"/>
                <w:szCs w:val="24"/>
                <w:highlight w:val="none"/>
                <w:u w:val="none" w:color="auto"/>
                <w:lang w:val="en-US" w:eastAsia="zh-CN" w:bidi="ar-SA"/>
              </w:rPr>
            </w:pPr>
            <w:r>
              <w:rPr>
                <w:rFonts w:hint="eastAsia" w:ascii="Times New Roman" w:hAnsi="Times New Roman" w:eastAsia="宋体" w:cs="Times New Roman"/>
                <w:color w:val="auto"/>
                <w:kern w:val="2"/>
                <w:sz w:val="24"/>
                <w:szCs w:val="24"/>
                <w:highlight w:val="none"/>
                <w:u w:val="none" w:color="auto"/>
                <w:lang w:val="en-US" w:eastAsia="zh-CN" w:bidi="ar-SA"/>
              </w:rPr>
              <w:t>（1）</w:t>
            </w:r>
            <w:r>
              <w:rPr>
                <w:rFonts w:hint="default" w:ascii="Times New Roman" w:hAnsi="Times New Roman" w:eastAsia="宋体" w:cs="Times New Roman"/>
                <w:color w:val="auto"/>
                <w:kern w:val="2"/>
                <w:sz w:val="24"/>
                <w:szCs w:val="24"/>
                <w:highlight w:val="none"/>
                <w:u w:val="none" w:color="auto"/>
                <w:lang w:val="en-US" w:eastAsia="zh-CN" w:bidi="ar-SA"/>
              </w:rPr>
              <w:t>给排水</w:t>
            </w:r>
          </w:p>
          <w:p w14:paraId="47FA584D">
            <w:pPr>
              <w:keepNext w:val="0"/>
              <w:keepLines w:val="0"/>
              <w:pageBreakBefore w:val="0"/>
              <w:widowControl w:val="0"/>
              <w:kinsoku/>
              <w:wordWrap/>
              <w:overflowPunct/>
              <w:topLinePunct w:val="0"/>
              <w:autoSpaceDE/>
              <w:autoSpaceDN/>
              <w:bidi w:val="0"/>
              <w:adjustRightInd/>
              <w:spacing w:before="0" w:after="0" w:line="420" w:lineRule="exact"/>
              <w:ind w:firstLine="480" w:firstLineChars="200"/>
              <w:jc w:val="both"/>
              <w:textAlignment w:val="auto"/>
              <w:rPr>
                <w:rFonts w:hint="default" w:ascii="Times New Roman" w:hAnsi="Times New Roman" w:eastAsia="宋体" w:cs="Times New Roman"/>
                <w:color w:val="auto"/>
                <w:kern w:val="2"/>
                <w:sz w:val="24"/>
                <w:szCs w:val="24"/>
                <w:highlight w:val="none"/>
                <w:u w:val="none" w:color="auto"/>
                <w:lang w:val="en-US" w:eastAsia="zh-CN" w:bidi="ar-SA"/>
              </w:rPr>
            </w:pPr>
            <w:r>
              <w:rPr>
                <w:rFonts w:hint="default" w:ascii="Times New Roman" w:hAnsi="Times New Roman" w:eastAsia="宋体" w:cs="Times New Roman"/>
                <w:color w:val="auto"/>
                <w:kern w:val="2"/>
                <w:sz w:val="24"/>
                <w:szCs w:val="24"/>
                <w:highlight w:val="none"/>
                <w:u w:val="none" w:color="auto"/>
                <w:lang w:val="en-US" w:eastAsia="zh-CN" w:bidi="ar-SA"/>
              </w:rPr>
              <w:t>①给水</w:t>
            </w:r>
          </w:p>
          <w:p w14:paraId="09ABBE42">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default" w:ascii="Times New Roman" w:hAnsi="Times New Roman" w:eastAsia="宋体" w:cs="Times New Roman"/>
                <w:color w:val="auto"/>
                <w:kern w:val="0"/>
                <w:sz w:val="24"/>
                <w:szCs w:val="24"/>
                <w:highlight w:val="none"/>
                <w:u w:val="none" w:color="auto"/>
                <w:lang w:val="en-US" w:eastAsia="zh-CN" w:bidi="ar"/>
              </w:rPr>
            </w:pPr>
            <w:r>
              <w:rPr>
                <w:rFonts w:hint="default" w:ascii="Times New Roman" w:hAnsi="Times New Roman" w:eastAsia="宋体" w:cs="Times New Roman"/>
                <w:color w:val="auto"/>
                <w:kern w:val="0"/>
                <w:sz w:val="24"/>
                <w:szCs w:val="24"/>
                <w:highlight w:val="none"/>
                <w:u w:val="none" w:color="auto"/>
                <w:lang w:val="en-US" w:eastAsia="zh-CN" w:bidi="ar"/>
              </w:rPr>
              <w:t>项目水源为自打井井水。</w:t>
            </w:r>
          </w:p>
          <w:p w14:paraId="7414B0D5">
            <w:pPr>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②排水</w:t>
            </w:r>
          </w:p>
          <w:p w14:paraId="7412A202">
            <w:pPr>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本工程采取雨污分流制。地面雨水经</w:t>
            </w:r>
            <w:r>
              <w:rPr>
                <w:rFonts w:hint="eastAsia" w:cs="Times New Roman"/>
                <w:color w:val="auto"/>
                <w:sz w:val="24"/>
                <w:szCs w:val="24"/>
                <w:highlight w:val="none"/>
                <w:u w:val="none" w:color="auto"/>
                <w:lang w:val="en-US" w:eastAsia="zh-CN"/>
              </w:rPr>
              <w:t>雨水沟</w:t>
            </w:r>
            <w:r>
              <w:rPr>
                <w:rFonts w:hint="eastAsia" w:ascii="Times New Roman" w:hAnsi="Times New Roman" w:eastAsia="宋体" w:cs="Times New Roman"/>
                <w:color w:val="auto"/>
                <w:sz w:val="24"/>
                <w:szCs w:val="24"/>
                <w:highlight w:val="none"/>
                <w:u w:val="none" w:color="auto"/>
                <w:lang w:val="en-US" w:eastAsia="zh-CN"/>
              </w:rPr>
              <w:t>汇集至厂区内雨水干管内，再排入周边沟渠。项目水帘废水作为危险废物处置，委托有资质单位外运处置，不外排，生活污水经化粪池处理后用于周边林地浇灌，不外排</w:t>
            </w:r>
            <w:r>
              <w:rPr>
                <w:rFonts w:hint="eastAsia" w:cs="Times New Roman"/>
                <w:color w:val="auto"/>
                <w:sz w:val="24"/>
                <w:szCs w:val="24"/>
                <w:highlight w:val="none"/>
                <w:u w:val="none" w:color="auto"/>
                <w:lang w:val="en-US" w:eastAsia="zh-CN"/>
              </w:rPr>
              <w:t>。</w:t>
            </w:r>
          </w:p>
          <w:p w14:paraId="2BE18EEB">
            <w:pPr>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eastAsia="zh-CN"/>
              </w:rPr>
            </w:pPr>
            <w:r>
              <w:rPr>
                <w:rFonts w:hint="eastAsia" w:ascii="Times New Roman" w:hAnsi="Times New Roman" w:eastAsia="宋体" w:cs="Times New Roman"/>
                <w:color w:val="auto"/>
                <w:sz w:val="24"/>
                <w:szCs w:val="24"/>
                <w:highlight w:val="none"/>
                <w:u w:val="none" w:color="auto"/>
                <w:lang w:eastAsia="zh-CN"/>
              </w:rPr>
              <w:t>（</w:t>
            </w:r>
            <w:r>
              <w:rPr>
                <w:rFonts w:hint="eastAsia" w:ascii="Times New Roman" w:hAnsi="Times New Roman" w:eastAsia="宋体" w:cs="Times New Roman"/>
                <w:color w:val="auto"/>
                <w:sz w:val="24"/>
                <w:szCs w:val="24"/>
                <w:highlight w:val="none"/>
                <w:u w:val="none" w:color="auto"/>
                <w:lang w:val="en-US" w:eastAsia="zh-CN"/>
              </w:rPr>
              <w:t>2</w:t>
            </w:r>
            <w:r>
              <w:rPr>
                <w:rFonts w:hint="eastAsia" w:ascii="Times New Roman" w:hAnsi="Times New Roman" w:eastAsia="宋体" w:cs="Times New Roman"/>
                <w:color w:val="auto"/>
                <w:sz w:val="24"/>
                <w:szCs w:val="24"/>
                <w:highlight w:val="none"/>
                <w:u w:val="none" w:color="auto"/>
                <w:lang w:eastAsia="zh-CN"/>
              </w:rPr>
              <w:t>）</w:t>
            </w:r>
            <w:r>
              <w:rPr>
                <w:rFonts w:hint="eastAsia" w:ascii="Times New Roman" w:hAnsi="Times New Roman" w:eastAsia="宋体" w:cs="Times New Roman"/>
                <w:color w:val="auto"/>
                <w:sz w:val="24"/>
                <w:szCs w:val="24"/>
                <w:highlight w:val="none"/>
                <w:u w:val="none" w:color="auto"/>
                <w:lang w:val="en-US" w:eastAsia="zh-CN"/>
              </w:rPr>
              <w:t>供配电</w:t>
            </w:r>
          </w:p>
          <w:p w14:paraId="67CDD81D">
            <w:pPr>
              <w:keepNext w:val="0"/>
              <w:keepLines w:val="0"/>
              <w:pageBreakBefore w:val="0"/>
              <w:widowControl w:val="0"/>
              <w:kinsoku/>
              <w:wordWrap/>
              <w:overflowPunct/>
              <w:topLinePunct w:val="0"/>
              <w:autoSpaceDE/>
              <w:autoSpaceDN/>
              <w:bidi w:val="0"/>
              <w:adjustRightInd/>
              <w:spacing w:before="0" w:after="0" w:line="420" w:lineRule="exact"/>
              <w:ind w:firstLine="480" w:firstLineChars="200"/>
              <w:jc w:val="both"/>
              <w:textAlignment w:val="auto"/>
              <w:rPr>
                <w:rFonts w:hint="default" w:ascii="Times New Roman" w:hAnsi="Times New Roman" w:eastAsia="宋体" w:cs="Times New Roman"/>
                <w:color w:val="auto"/>
                <w:kern w:val="2"/>
                <w:sz w:val="24"/>
                <w:szCs w:val="24"/>
                <w:highlight w:val="none"/>
                <w:u w:val="none" w:color="auto"/>
                <w:lang w:val="en-US" w:eastAsia="zh-CN" w:bidi="ar-SA"/>
              </w:rPr>
            </w:pPr>
            <w:r>
              <w:rPr>
                <w:rFonts w:hint="default" w:ascii="Times New Roman" w:hAnsi="Times New Roman" w:eastAsia="宋体" w:cs="Times New Roman"/>
                <w:color w:val="auto"/>
                <w:kern w:val="2"/>
                <w:sz w:val="24"/>
                <w:szCs w:val="24"/>
                <w:highlight w:val="none"/>
                <w:u w:val="none" w:color="auto"/>
                <w:lang w:val="en-US" w:eastAsia="zh-CN" w:bidi="ar-SA"/>
              </w:rPr>
              <w:t>由市政管网向区域供电，供电能力可以满足项目需要。</w:t>
            </w:r>
          </w:p>
          <w:p w14:paraId="6327F92C">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2.10</w:t>
            </w:r>
            <w:r>
              <w:rPr>
                <w:rFonts w:hint="default" w:ascii="Times New Roman" w:hAnsi="Times New Roman" w:eastAsia="宋体" w:cs="Times New Roman"/>
                <w:b/>
                <w:bCs/>
                <w:color w:val="auto"/>
                <w:sz w:val="24"/>
                <w:szCs w:val="24"/>
                <w:highlight w:val="none"/>
                <w:u w:val="none" w:color="auto"/>
                <w:lang w:val="en-US" w:eastAsia="zh-CN"/>
              </w:rPr>
              <w:t>工作制度及劳动定员</w:t>
            </w:r>
          </w:p>
          <w:p w14:paraId="5AE8AFD1">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kern w:val="0"/>
                <w:sz w:val="24"/>
                <w:szCs w:val="24"/>
                <w:highlight w:val="none"/>
                <w:u w:val="none" w:color="auto"/>
              </w:rPr>
            </w:pPr>
            <w:r>
              <w:rPr>
                <w:rFonts w:hint="default" w:ascii="Times New Roman" w:hAnsi="Times New Roman" w:eastAsia="宋体" w:cs="Times New Roman"/>
                <w:color w:val="auto"/>
                <w:kern w:val="0"/>
                <w:sz w:val="24"/>
                <w:szCs w:val="24"/>
                <w:highlight w:val="none"/>
                <w:u w:val="none" w:color="auto"/>
              </w:rPr>
              <w:t>（1）劳动定员</w:t>
            </w:r>
          </w:p>
          <w:p w14:paraId="7270C469">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kern w:val="0"/>
                <w:sz w:val="24"/>
                <w:szCs w:val="24"/>
                <w:highlight w:val="none"/>
                <w:u w:val="none" w:color="auto"/>
                <w:lang w:val="en-US" w:eastAsia="zh-CN"/>
              </w:rPr>
            </w:pPr>
            <w:r>
              <w:rPr>
                <w:rFonts w:hint="default" w:ascii="Times New Roman" w:hAnsi="Times New Roman" w:eastAsia="宋体" w:cs="Times New Roman"/>
                <w:color w:val="auto"/>
                <w:kern w:val="0"/>
                <w:sz w:val="24"/>
                <w:szCs w:val="24"/>
                <w:highlight w:val="none"/>
                <w:u w:val="none" w:color="auto"/>
              </w:rPr>
              <w:t>本项目根据生产及工艺情况和实际生产情况，项目</w:t>
            </w:r>
            <w:r>
              <w:rPr>
                <w:rFonts w:hint="eastAsia" w:ascii="Times New Roman" w:hAnsi="Times New Roman" w:eastAsia="宋体" w:cs="Times New Roman"/>
                <w:color w:val="auto"/>
                <w:kern w:val="0"/>
                <w:sz w:val="24"/>
                <w:szCs w:val="24"/>
                <w:highlight w:val="none"/>
                <w:u w:val="none" w:color="auto"/>
                <w:lang w:val="en-US" w:eastAsia="zh-CN"/>
              </w:rPr>
              <w:t>劳动</w:t>
            </w:r>
            <w:r>
              <w:rPr>
                <w:rFonts w:hint="default" w:ascii="Times New Roman" w:hAnsi="Times New Roman" w:eastAsia="宋体" w:cs="Times New Roman"/>
                <w:color w:val="auto"/>
                <w:kern w:val="0"/>
                <w:sz w:val="24"/>
                <w:szCs w:val="24"/>
                <w:highlight w:val="none"/>
                <w:u w:val="none" w:color="auto"/>
              </w:rPr>
              <w:t>定员</w:t>
            </w:r>
            <w:r>
              <w:rPr>
                <w:rFonts w:hint="eastAsia" w:cs="Times New Roman"/>
                <w:color w:val="auto"/>
                <w:kern w:val="0"/>
                <w:sz w:val="24"/>
                <w:szCs w:val="24"/>
                <w:highlight w:val="none"/>
                <w:u w:val="none" w:color="auto"/>
                <w:lang w:val="en-US" w:eastAsia="zh-CN"/>
              </w:rPr>
              <w:t>25</w:t>
            </w:r>
            <w:r>
              <w:rPr>
                <w:rFonts w:hint="default" w:ascii="Times New Roman" w:hAnsi="Times New Roman" w:eastAsia="宋体" w:cs="Times New Roman"/>
                <w:color w:val="auto"/>
                <w:kern w:val="0"/>
                <w:sz w:val="24"/>
                <w:szCs w:val="24"/>
                <w:highlight w:val="none"/>
                <w:u w:val="none" w:color="auto"/>
              </w:rPr>
              <w:t>人</w:t>
            </w:r>
            <w:r>
              <w:rPr>
                <w:rFonts w:hint="default" w:ascii="Times New Roman" w:hAnsi="Times New Roman" w:eastAsia="宋体" w:cs="Times New Roman"/>
                <w:color w:val="auto"/>
                <w:kern w:val="0"/>
                <w:sz w:val="24"/>
                <w:szCs w:val="24"/>
                <w:highlight w:val="none"/>
                <w:u w:val="none" w:color="auto"/>
                <w:lang w:eastAsia="zh-CN"/>
              </w:rPr>
              <w:t>，</w:t>
            </w:r>
            <w:r>
              <w:rPr>
                <w:rFonts w:hint="eastAsia" w:cs="Times New Roman"/>
                <w:color w:val="auto"/>
                <w:kern w:val="0"/>
                <w:sz w:val="24"/>
                <w:szCs w:val="24"/>
                <w:highlight w:val="none"/>
                <w:u w:val="none" w:color="auto"/>
                <w:lang w:val="en-US" w:eastAsia="zh-CN"/>
              </w:rPr>
              <w:t>均不在厂区食宿</w:t>
            </w:r>
            <w:r>
              <w:rPr>
                <w:rFonts w:hint="eastAsia" w:ascii="Times New Roman" w:hAnsi="Times New Roman" w:eastAsia="宋体" w:cs="Times New Roman"/>
                <w:color w:val="auto"/>
                <w:kern w:val="0"/>
                <w:sz w:val="24"/>
                <w:szCs w:val="24"/>
                <w:highlight w:val="none"/>
                <w:u w:val="none" w:color="auto"/>
                <w:lang w:val="en-US" w:eastAsia="zh-CN"/>
              </w:rPr>
              <w:t>。</w:t>
            </w:r>
          </w:p>
          <w:p w14:paraId="0F5563C6">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kern w:val="0"/>
                <w:sz w:val="24"/>
                <w:szCs w:val="24"/>
                <w:highlight w:val="none"/>
                <w:u w:val="none" w:color="auto"/>
              </w:rPr>
            </w:pPr>
            <w:r>
              <w:rPr>
                <w:rFonts w:hint="default" w:ascii="Times New Roman" w:hAnsi="Times New Roman" w:eastAsia="宋体" w:cs="Times New Roman"/>
                <w:color w:val="auto"/>
                <w:kern w:val="0"/>
                <w:sz w:val="24"/>
                <w:szCs w:val="24"/>
                <w:highlight w:val="none"/>
                <w:u w:val="none" w:color="auto"/>
              </w:rPr>
              <w:t>（2）工作制度</w:t>
            </w:r>
          </w:p>
          <w:p w14:paraId="01B9A661">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kern w:val="0"/>
                <w:sz w:val="24"/>
                <w:szCs w:val="24"/>
                <w:highlight w:val="none"/>
                <w:u w:val="none" w:color="auto"/>
              </w:rPr>
            </w:pPr>
            <w:r>
              <w:rPr>
                <w:rFonts w:hint="default" w:ascii="Times New Roman" w:hAnsi="Times New Roman" w:eastAsia="宋体" w:cs="Times New Roman"/>
                <w:color w:val="auto"/>
                <w:kern w:val="0"/>
                <w:sz w:val="24"/>
                <w:szCs w:val="24"/>
                <w:highlight w:val="none"/>
                <w:u w:val="none" w:color="auto"/>
              </w:rPr>
              <w:t>全年工作日</w:t>
            </w:r>
            <w:r>
              <w:rPr>
                <w:rFonts w:hint="eastAsia" w:ascii="Times New Roman" w:hAnsi="Times New Roman" w:eastAsia="宋体" w:cs="Times New Roman"/>
                <w:color w:val="auto"/>
                <w:kern w:val="0"/>
                <w:sz w:val="24"/>
                <w:szCs w:val="24"/>
                <w:highlight w:val="none"/>
                <w:u w:val="none" w:color="auto"/>
                <w:lang w:val="en-US" w:eastAsia="zh-CN"/>
              </w:rPr>
              <w:t>300</w:t>
            </w:r>
            <w:r>
              <w:rPr>
                <w:rFonts w:hint="default" w:ascii="Times New Roman" w:hAnsi="Times New Roman" w:eastAsia="宋体" w:cs="Times New Roman"/>
                <w:color w:val="auto"/>
                <w:kern w:val="0"/>
                <w:sz w:val="24"/>
                <w:szCs w:val="24"/>
                <w:highlight w:val="none"/>
                <w:u w:val="none" w:color="auto"/>
              </w:rPr>
              <w:t>天</w:t>
            </w:r>
            <w:r>
              <w:rPr>
                <w:rFonts w:hint="eastAsia" w:ascii="Times New Roman" w:hAnsi="Times New Roman" w:eastAsia="宋体" w:cs="Times New Roman"/>
                <w:color w:val="auto"/>
                <w:kern w:val="0"/>
                <w:sz w:val="24"/>
                <w:szCs w:val="24"/>
                <w:highlight w:val="none"/>
                <w:u w:val="none" w:color="auto"/>
                <w:lang w:eastAsia="zh-CN"/>
              </w:rPr>
              <w:t>，</w:t>
            </w:r>
            <w:r>
              <w:rPr>
                <w:rFonts w:hint="eastAsia" w:ascii="Times New Roman" w:hAnsi="Times New Roman" w:eastAsia="宋体" w:cs="Times New Roman"/>
                <w:color w:val="auto"/>
                <w:kern w:val="0"/>
                <w:sz w:val="24"/>
                <w:szCs w:val="24"/>
                <w:highlight w:val="none"/>
                <w:u w:val="none" w:color="auto"/>
                <w:lang w:val="en-US" w:eastAsia="zh-CN"/>
              </w:rPr>
              <w:t>每天工作8h</w:t>
            </w:r>
            <w:r>
              <w:rPr>
                <w:rFonts w:hint="default" w:ascii="Times New Roman" w:hAnsi="Times New Roman" w:eastAsia="宋体" w:cs="Times New Roman"/>
                <w:color w:val="auto"/>
                <w:kern w:val="0"/>
                <w:sz w:val="24"/>
                <w:szCs w:val="24"/>
                <w:highlight w:val="none"/>
                <w:u w:val="none" w:color="auto"/>
              </w:rPr>
              <w:t>。</w:t>
            </w:r>
          </w:p>
          <w:p w14:paraId="184B0AD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2.11</w:t>
            </w:r>
            <w:r>
              <w:rPr>
                <w:rFonts w:hint="default" w:ascii="Times New Roman" w:hAnsi="Times New Roman" w:eastAsia="宋体" w:cs="Times New Roman"/>
                <w:b/>
                <w:bCs/>
                <w:color w:val="auto"/>
                <w:sz w:val="24"/>
                <w:szCs w:val="24"/>
                <w:highlight w:val="none"/>
                <w:u w:val="none" w:color="auto"/>
                <w:lang w:val="en-US" w:eastAsia="zh-CN"/>
              </w:rPr>
              <w:t>建设周期</w:t>
            </w:r>
          </w:p>
          <w:p w14:paraId="5FC83037">
            <w:pPr>
              <w:keepNext w:val="0"/>
              <w:keepLines w:val="0"/>
              <w:pageBreakBefore w:val="0"/>
              <w:widowControl w:val="0"/>
              <w:kinsoku/>
              <w:wordWrap/>
              <w:overflowPunct/>
              <w:topLinePunct w:val="0"/>
              <w:bidi w:val="0"/>
              <w:spacing w:before="0" w:after="0" w:line="480" w:lineRule="exact"/>
              <w:ind w:firstLine="480" w:firstLineChars="200"/>
              <w:jc w:val="both"/>
              <w:textAlignment w:val="auto"/>
              <w:rPr>
                <w:rFonts w:hint="eastAsia" w:ascii="Times New Roman" w:hAnsi="Times New Roman" w:eastAsia="宋体" w:cs="Times New Roman"/>
                <w:color w:val="auto"/>
                <w:kern w:val="2"/>
                <w:sz w:val="24"/>
                <w:szCs w:val="24"/>
                <w:highlight w:val="none"/>
                <w:u w:val="single" w:color="auto"/>
                <w:lang w:val="en-US" w:eastAsia="zh-CN" w:bidi="ar-SA"/>
              </w:rPr>
            </w:pPr>
            <w:r>
              <w:rPr>
                <w:rFonts w:hint="eastAsia" w:ascii="Times New Roman" w:hAnsi="Times New Roman" w:eastAsia="宋体" w:cs="Times New Roman"/>
                <w:color w:val="auto"/>
                <w:kern w:val="2"/>
                <w:sz w:val="24"/>
                <w:szCs w:val="24"/>
                <w:highlight w:val="none"/>
                <w:u w:val="single" w:color="auto"/>
                <w:lang w:val="en-US" w:eastAsia="zh-CN" w:bidi="ar-SA"/>
              </w:rPr>
              <w:t>项目于202</w:t>
            </w:r>
            <w:r>
              <w:rPr>
                <w:rFonts w:hint="eastAsia" w:cs="Times New Roman"/>
                <w:color w:val="auto"/>
                <w:kern w:val="2"/>
                <w:sz w:val="24"/>
                <w:szCs w:val="24"/>
                <w:highlight w:val="none"/>
                <w:u w:val="single" w:color="auto"/>
                <w:lang w:val="en-US" w:eastAsia="zh-CN" w:bidi="ar-SA"/>
              </w:rPr>
              <w:t>5</w:t>
            </w:r>
            <w:r>
              <w:rPr>
                <w:rFonts w:hint="eastAsia" w:ascii="Times New Roman" w:hAnsi="Times New Roman" w:eastAsia="宋体" w:cs="Times New Roman"/>
                <w:color w:val="auto"/>
                <w:kern w:val="2"/>
                <w:sz w:val="24"/>
                <w:szCs w:val="24"/>
                <w:highlight w:val="none"/>
                <w:u w:val="single" w:color="auto"/>
                <w:lang w:val="en-US" w:eastAsia="zh-CN" w:bidi="ar-SA"/>
              </w:rPr>
              <w:t>年</w:t>
            </w:r>
            <w:r>
              <w:rPr>
                <w:rFonts w:hint="eastAsia" w:cs="Times New Roman"/>
                <w:color w:val="auto"/>
                <w:kern w:val="2"/>
                <w:sz w:val="24"/>
                <w:szCs w:val="24"/>
                <w:highlight w:val="none"/>
                <w:u w:val="single" w:color="auto"/>
                <w:lang w:val="en-US" w:eastAsia="zh-CN" w:bidi="ar-SA"/>
              </w:rPr>
              <w:t>9</w:t>
            </w:r>
            <w:r>
              <w:rPr>
                <w:rFonts w:hint="eastAsia" w:ascii="Times New Roman" w:hAnsi="Times New Roman" w:eastAsia="宋体" w:cs="Times New Roman"/>
                <w:color w:val="auto"/>
                <w:kern w:val="2"/>
                <w:sz w:val="24"/>
                <w:szCs w:val="24"/>
                <w:highlight w:val="none"/>
                <w:u w:val="single" w:color="auto"/>
                <w:lang w:val="en-US" w:eastAsia="zh-CN" w:bidi="ar-SA"/>
              </w:rPr>
              <w:t>月开工建设，预计202</w:t>
            </w:r>
            <w:r>
              <w:rPr>
                <w:rFonts w:hint="eastAsia" w:cs="Times New Roman"/>
                <w:color w:val="auto"/>
                <w:kern w:val="2"/>
                <w:sz w:val="24"/>
                <w:szCs w:val="24"/>
                <w:highlight w:val="none"/>
                <w:u w:val="single" w:color="auto"/>
                <w:lang w:val="en-US" w:eastAsia="zh-CN" w:bidi="ar-SA"/>
              </w:rPr>
              <w:t>5</w:t>
            </w:r>
            <w:r>
              <w:rPr>
                <w:rFonts w:hint="eastAsia" w:ascii="Times New Roman" w:hAnsi="Times New Roman" w:eastAsia="宋体" w:cs="Times New Roman"/>
                <w:color w:val="auto"/>
                <w:kern w:val="2"/>
                <w:sz w:val="24"/>
                <w:szCs w:val="24"/>
                <w:highlight w:val="none"/>
                <w:u w:val="single" w:color="auto"/>
                <w:lang w:val="en-US" w:eastAsia="zh-CN" w:bidi="ar-SA"/>
              </w:rPr>
              <w:t>年</w:t>
            </w:r>
            <w:r>
              <w:rPr>
                <w:rFonts w:hint="eastAsia" w:cs="Times New Roman"/>
                <w:color w:val="auto"/>
                <w:kern w:val="2"/>
                <w:sz w:val="24"/>
                <w:szCs w:val="24"/>
                <w:highlight w:val="none"/>
                <w:u w:val="single" w:color="auto"/>
                <w:lang w:val="en-US" w:eastAsia="zh-CN" w:bidi="ar-SA"/>
              </w:rPr>
              <w:t>10</w:t>
            </w:r>
            <w:r>
              <w:rPr>
                <w:rFonts w:hint="eastAsia" w:ascii="Times New Roman" w:hAnsi="Times New Roman" w:eastAsia="宋体" w:cs="Times New Roman"/>
                <w:color w:val="auto"/>
                <w:kern w:val="2"/>
                <w:sz w:val="24"/>
                <w:szCs w:val="24"/>
                <w:highlight w:val="none"/>
                <w:u w:val="single" w:color="auto"/>
                <w:lang w:val="en-US" w:eastAsia="zh-CN" w:bidi="ar-SA"/>
              </w:rPr>
              <w:t>月投产。</w:t>
            </w:r>
          </w:p>
          <w:p w14:paraId="3547A834">
            <w:pPr>
              <w:rPr>
                <w:rFonts w:hint="eastAsia"/>
                <w:color w:val="auto"/>
                <w:u w:val="none" w:color="auto"/>
                <w:lang w:val="en-US" w:eastAsia="zh-CN"/>
              </w:rPr>
            </w:pPr>
          </w:p>
        </w:tc>
      </w:tr>
      <w:tr w14:paraId="71C7B8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8" w:hRule="atLeast"/>
          <w:jc w:val="center"/>
        </w:trPr>
        <w:tc>
          <w:tcPr>
            <w:tcW w:w="823" w:type="dxa"/>
            <w:noWrap w:val="0"/>
            <w:vAlign w:val="center"/>
          </w:tcPr>
          <w:p w14:paraId="6931A07C">
            <w:pPr>
              <w:widowControl/>
              <w:adjustRightInd w:val="0"/>
              <w:snapToGrid w:val="0"/>
              <w:spacing w:before="0" w:beforeAutospacing="0" w:after="0" w:afterAutospacing="0"/>
              <w:jc w:val="center"/>
              <w:rPr>
                <w:rFonts w:hint="default" w:ascii="Times New Roman" w:hAnsi="Times New Roman" w:eastAsia="宋体" w:cs="Times New Roman"/>
                <w:color w:val="auto"/>
                <w:kern w:val="0"/>
                <w:sz w:val="21"/>
                <w:szCs w:val="21"/>
                <w:highlight w:val="yellow"/>
                <w:u w:val="none" w:color="auto"/>
                <w:lang w:val="en-US" w:eastAsia="zh-CN" w:bidi="ar-SA"/>
              </w:rPr>
            </w:pPr>
            <w:r>
              <w:rPr>
                <w:rFonts w:hint="default" w:ascii="Times New Roman" w:hAnsi="Times New Roman" w:eastAsia="宋体" w:cs="Times New Roman"/>
                <w:color w:val="auto"/>
                <w:kern w:val="0"/>
                <w:sz w:val="21"/>
                <w:szCs w:val="21"/>
                <w:highlight w:val="none"/>
                <w:u w:val="none" w:color="auto"/>
                <w:lang w:val="en-US" w:eastAsia="zh-CN" w:bidi="ar-SA"/>
              </w:rPr>
              <w:t>工艺流程和产排污环节</w:t>
            </w:r>
          </w:p>
        </w:tc>
        <w:tc>
          <w:tcPr>
            <w:tcW w:w="8161" w:type="dxa"/>
            <w:noWrap w:val="0"/>
            <w:vAlign w:val="top"/>
          </w:tcPr>
          <w:p w14:paraId="650A85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default" w:ascii="Times New Roman" w:hAnsi="Times New Roman" w:cs="Times New Roman"/>
                <w:b/>
                <w:bCs/>
                <w:color w:val="auto"/>
                <w:sz w:val="24"/>
                <w:szCs w:val="32"/>
                <w:u w:val="none" w:color="auto"/>
              </w:rPr>
            </w:pPr>
            <w:r>
              <w:rPr>
                <w:rFonts w:hint="eastAsia" w:ascii="Times New Roman" w:hAnsi="Times New Roman" w:eastAsia="宋体" w:cs="Times New Roman"/>
                <w:b/>
                <w:bCs/>
                <w:color w:val="auto"/>
                <w:sz w:val="24"/>
                <w:szCs w:val="24"/>
                <w:highlight w:val="none"/>
                <w:u w:val="none" w:color="auto"/>
                <w:lang w:val="en-US" w:eastAsia="zh-CN"/>
              </w:rPr>
              <w:t xml:space="preserve">2.12 </w:t>
            </w:r>
            <w:r>
              <w:rPr>
                <w:rFonts w:hint="default" w:ascii="Times New Roman" w:hAnsi="Times New Roman" w:cs="Times New Roman"/>
                <w:b/>
                <w:bCs/>
                <w:color w:val="auto"/>
                <w:sz w:val="24"/>
                <w:szCs w:val="32"/>
                <w:u w:val="none" w:color="auto"/>
              </w:rPr>
              <w:t>施工期工艺流程和产排污分析</w:t>
            </w:r>
          </w:p>
          <w:p w14:paraId="3DD8BD45">
            <w:pPr>
              <w:pStyle w:val="73"/>
              <w:spacing w:line="360" w:lineRule="auto"/>
              <w:ind w:firstLine="420"/>
              <w:jc w:val="left"/>
              <w:rPr>
                <w:rFonts w:hint="default"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本项目租用现有厂房进行建设，施工期仅需进行设备安装调试。设备安装调试仅在白天进行。</w:t>
            </w:r>
          </w:p>
          <w:p w14:paraId="17F1E31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cs="Times New Roman"/>
                <w:b/>
                <w:bCs/>
                <w:color w:val="auto"/>
                <w:sz w:val="24"/>
                <w:szCs w:val="24"/>
                <w:highlight w:val="none"/>
                <w:u w:val="none" w:color="auto"/>
                <w:lang w:val="en-US" w:eastAsia="zh-CN"/>
              </w:rPr>
              <w:t xml:space="preserve">2.13 </w:t>
            </w:r>
            <w:r>
              <w:rPr>
                <w:rFonts w:hint="default" w:ascii="Times New Roman" w:hAnsi="Times New Roman" w:eastAsia="宋体" w:cs="Times New Roman"/>
                <w:b/>
                <w:bCs/>
                <w:color w:val="auto"/>
                <w:sz w:val="24"/>
                <w:szCs w:val="24"/>
                <w:highlight w:val="none"/>
                <w:u w:val="none" w:color="auto"/>
                <w:lang w:val="en-US" w:eastAsia="zh-CN"/>
              </w:rPr>
              <w:t>运营期工艺流程和产排污环节</w:t>
            </w:r>
          </w:p>
          <w:p w14:paraId="373B52C4">
            <w:pPr>
              <w:keepNext w:val="0"/>
              <w:keepLines w:val="0"/>
              <w:pageBreakBefore w:val="0"/>
              <w:widowControl/>
              <w:kinsoku/>
              <w:wordWrap/>
              <w:overflowPunct/>
              <w:topLinePunct w:val="0"/>
              <w:autoSpaceDE/>
              <w:autoSpaceDN/>
              <w:bidi w:val="0"/>
              <w:adjustRightInd/>
              <w:snapToGrid w:val="0"/>
              <w:spacing w:before="0" w:after="0" w:line="240" w:lineRule="auto"/>
              <w:ind w:left="0" w:leftChars="0" w:right="113" w:firstLine="0" w:firstLineChars="0"/>
              <w:jc w:val="center"/>
              <w:textAlignment w:val="auto"/>
              <w:rPr>
                <w:rFonts w:hint="eastAsia" w:ascii="Times New Roman" w:hAnsi="Times New Roman" w:eastAsia="宋体" w:cs="Times New Roman"/>
                <w:b/>
                <w:bCs/>
                <w:color w:val="auto"/>
                <w:spacing w:val="-6"/>
                <w:kern w:val="2"/>
                <w:sz w:val="21"/>
                <w:szCs w:val="21"/>
                <w:highlight w:val="none"/>
                <w:u w:val="none" w:color="auto"/>
                <w:lang w:val="en-US" w:eastAsia="zh-CN" w:bidi="ar-SA"/>
              </w:rPr>
            </w:pPr>
            <w:r>
              <w:drawing>
                <wp:inline distT="0" distB="0" distL="114300" distR="114300">
                  <wp:extent cx="5043805" cy="5275580"/>
                  <wp:effectExtent l="0" t="0" r="4445" b="1270"/>
                  <wp:docPr id="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
                          <pic:cNvPicPr>
                            <a:picLocks noChangeAspect="1"/>
                          </pic:cNvPicPr>
                        </pic:nvPicPr>
                        <pic:blipFill>
                          <a:blip r:embed="rId8"/>
                          <a:stretch>
                            <a:fillRect/>
                          </a:stretch>
                        </pic:blipFill>
                        <pic:spPr>
                          <a:xfrm>
                            <a:off x="0" y="0"/>
                            <a:ext cx="5043805" cy="5275580"/>
                          </a:xfrm>
                          <a:prstGeom prst="rect">
                            <a:avLst/>
                          </a:prstGeom>
                          <a:noFill/>
                          <a:ln>
                            <a:noFill/>
                          </a:ln>
                        </pic:spPr>
                      </pic:pic>
                    </a:graphicData>
                  </a:graphic>
                </wp:inline>
              </w:drawing>
            </w:r>
          </w:p>
          <w:p w14:paraId="0708A922">
            <w:pPr>
              <w:keepNext w:val="0"/>
              <w:keepLines w:val="0"/>
              <w:pageBreakBefore w:val="0"/>
              <w:widowControl/>
              <w:kinsoku/>
              <w:wordWrap/>
              <w:overflowPunct/>
              <w:topLinePunct w:val="0"/>
              <w:autoSpaceDE/>
              <w:autoSpaceDN/>
              <w:bidi w:val="0"/>
              <w:adjustRightInd/>
              <w:snapToGrid w:val="0"/>
              <w:spacing w:before="0" w:after="0" w:line="240" w:lineRule="auto"/>
              <w:ind w:left="0" w:leftChars="0" w:right="113" w:firstLine="0" w:firstLineChars="0"/>
              <w:jc w:val="center"/>
              <w:textAlignment w:val="auto"/>
              <w:rPr>
                <w:rFonts w:hint="default" w:ascii="Times New Roman" w:hAnsi="Times New Roman" w:eastAsia="宋体" w:cs="Times New Roman"/>
                <w:b/>
                <w:bCs/>
                <w:color w:val="auto"/>
                <w:spacing w:val="-6"/>
                <w:kern w:val="2"/>
                <w:sz w:val="21"/>
                <w:szCs w:val="21"/>
                <w:highlight w:val="none"/>
                <w:u w:val="none" w:color="auto"/>
                <w:lang w:val="en-US" w:eastAsia="zh-CN" w:bidi="ar-SA"/>
              </w:rPr>
            </w:pPr>
            <w:r>
              <w:rPr>
                <w:rFonts w:hint="eastAsia" w:ascii="Times New Roman" w:hAnsi="Times New Roman" w:eastAsia="宋体" w:cs="Times New Roman"/>
                <w:b/>
                <w:bCs/>
                <w:color w:val="auto"/>
                <w:spacing w:val="-6"/>
                <w:kern w:val="2"/>
                <w:sz w:val="21"/>
                <w:szCs w:val="21"/>
                <w:highlight w:val="none"/>
                <w:u w:val="none" w:color="auto"/>
                <w:lang w:val="en-US" w:eastAsia="zh-CN" w:bidi="ar-SA"/>
              </w:rPr>
              <w:t>图2-1 工艺流程图</w:t>
            </w:r>
          </w:p>
          <w:p w14:paraId="3C94452F">
            <w:pPr>
              <w:keepNext w:val="0"/>
              <w:keepLines w:val="0"/>
              <w:pageBreakBefore w:val="0"/>
              <w:widowControl w:val="0"/>
              <w:kinsoku/>
              <w:wordWrap/>
              <w:overflowPunct/>
              <w:topLinePunct w:val="0"/>
              <w:autoSpaceDE/>
              <w:autoSpaceDN/>
              <w:bidi w:val="0"/>
              <w:spacing w:line="480" w:lineRule="exact"/>
              <w:ind w:firstLine="480" w:firstLineChars="200"/>
              <w:textAlignment w:val="auto"/>
              <w:rPr>
                <w:rFonts w:hint="default" w:ascii="Times New Roman" w:hAnsi="Times New Roman" w:eastAsia="宋体" w:cs="宋体"/>
                <w:color w:val="auto"/>
                <w:sz w:val="24"/>
                <w:u w:val="none" w:color="auto"/>
                <w:lang w:val="en-US" w:eastAsia="zh-CN" w:bidi="ar"/>
              </w:rPr>
            </w:pPr>
            <w:r>
              <w:rPr>
                <w:rFonts w:hint="eastAsia" w:ascii="Times New Roman" w:hAnsi="Times New Roman" w:eastAsia="宋体" w:cs="宋体"/>
                <w:color w:val="auto"/>
                <w:sz w:val="24"/>
                <w:u w:val="none" w:color="auto"/>
                <w:lang w:val="en-US" w:eastAsia="zh-CN" w:bidi="ar"/>
              </w:rPr>
              <w:t>（1）</w:t>
            </w:r>
            <w:r>
              <w:rPr>
                <w:rFonts w:hint="default" w:ascii="Times New Roman" w:hAnsi="Times New Roman" w:eastAsia="宋体" w:cs="宋体"/>
                <w:color w:val="auto"/>
                <w:sz w:val="24"/>
                <w:u w:val="none" w:color="auto"/>
                <w:lang w:val="en-US" w:eastAsia="zh-CN" w:bidi="ar"/>
              </w:rPr>
              <w:t>工艺流程简述</w:t>
            </w:r>
          </w:p>
          <w:p w14:paraId="29F689DF">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eastAsia"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高铁连接板工件加工工艺简述：</w:t>
            </w:r>
          </w:p>
          <w:p w14:paraId="0FE18731">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default"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工件打孔</w:t>
            </w:r>
            <w:r>
              <w:rPr>
                <w:rFonts w:hint="default" w:ascii="Times New Roman" w:hAnsi="Times New Roman" w:eastAsia="宋体" w:cs="Times New Roman"/>
                <w:b w:val="0"/>
                <w:bCs w:val="0"/>
                <w:snapToGrid/>
                <w:color w:val="auto"/>
                <w:kern w:val="2"/>
                <w:sz w:val="24"/>
                <w:szCs w:val="24"/>
                <w:u w:val="none" w:color="auto"/>
                <w:lang w:val="en-US" w:eastAsia="zh-CN" w:bidi="ar-SA"/>
              </w:rPr>
              <w:t>：项目</w:t>
            </w:r>
            <w:r>
              <w:rPr>
                <w:rFonts w:hint="eastAsia" w:ascii="Times New Roman" w:hAnsi="Times New Roman" w:eastAsia="宋体" w:cs="Times New Roman"/>
                <w:b w:val="0"/>
                <w:bCs w:val="0"/>
                <w:snapToGrid/>
                <w:color w:val="auto"/>
                <w:kern w:val="2"/>
                <w:sz w:val="24"/>
                <w:szCs w:val="24"/>
                <w:u w:val="none" w:color="auto"/>
                <w:lang w:val="en-US" w:eastAsia="zh-CN" w:bidi="ar-SA"/>
              </w:rPr>
              <w:t>接收</w:t>
            </w:r>
            <w:r>
              <w:rPr>
                <w:rFonts w:hint="eastAsia" w:cs="Times New Roman"/>
                <w:b w:val="0"/>
                <w:bCs w:val="0"/>
                <w:snapToGrid/>
                <w:color w:val="auto"/>
                <w:kern w:val="2"/>
                <w:sz w:val="24"/>
                <w:szCs w:val="24"/>
                <w:u w:val="none" w:color="auto"/>
                <w:lang w:val="en-US" w:eastAsia="zh-CN" w:bidi="ar-SA"/>
              </w:rPr>
              <w:t>高铁连接板</w:t>
            </w:r>
            <w:r>
              <w:rPr>
                <w:rFonts w:hint="default" w:ascii="Times New Roman" w:hAnsi="Times New Roman" w:eastAsia="宋体" w:cs="Times New Roman"/>
                <w:b w:val="0"/>
                <w:bCs w:val="0"/>
                <w:snapToGrid/>
                <w:color w:val="auto"/>
                <w:kern w:val="2"/>
                <w:sz w:val="24"/>
                <w:szCs w:val="24"/>
                <w:u w:val="none" w:color="auto"/>
                <w:lang w:val="en-US" w:eastAsia="zh-CN" w:bidi="ar-SA"/>
              </w:rPr>
              <w:t>根据设计图使用</w:t>
            </w:r>
            <w:r>
              <w:rPr>
                <w:rFonts w:hint="eastAsia" w:ascii="Times New Roman" w:hAnsi="Times New Roman" w:eastAsia="宋体" w:cs="Times New Roman"/>
                <w:b w:val="0"/>
                <w:bCs w:val="0"/>
                <w:snapToGrid/>
                <w:color w:val="auto"/>
                <w:kern w:val="2"/>
                <w:sz w:val="24"/>
                <w:szCs w:val="24"/>
                <w:u w:val="none" w:color="auto"/>
                <w:lang w:val="en-US" w:eastAsia="zh-CN" w:bidi="ar-SA"/>
              </w:rPr>
              <w:t>打孔机打孔</w:t>
            </w:r>
            <w:r>
              <w:rPr>
                <w:rFonts w:hint="default" w:ascii="Times New Roman" w:hAnsi="Times New Roman" w:eastAsia="宋体" w:cs="Times New Roman"/>
                <w:b w:val="0"/>
                <w:bCs w:val="0"/>
                <w:snapToGrid/>
                <w:color w:val="auto"/>
                <w:kern w:val="2"/>
                <w:sz w:val="24"/>
                <w:szCs w:val="24"/>
                <w:u w:val="none" w:color="auto"/>
                <w:lang w:val="en-US" w:eastAsia="zh-CN" w:bidi="ar-SA"/>
              </w:rPr>
              <w:t>。</w:t>
            </w:r>
            <w:r>
              <w:rPr>
                <w:rFonts w:hint="eastAsia" w:ascii="Times New Roman" w:hAnsi="Times New Roman" w:eastAsia="宋体" w:cs="Times New Roman"/>
                <w:b w:val="0"/>
                <w:bCs w:val="0"/>
                <w:snapToGrid/>
                <w:color w:val="auto"/>
                <w:kern w:val="2"/>
                <w:sz w:val="24"/>
                <w:szCs w:val="24"/>
                <w:u w:val="none" w:color="auto"/>
                <w:lang w:val="en-US" w:eastAsia="zh-CN" w:bidi="ar-SA"/>
              </w:rPr>
              <w:t>该工序会产生噪声和废边角料。</w:t>
            </w:r>
          </w:p>
          <w:p w14:paraId="79F20BA0">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default"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打磨</w:t>
            </w:r>
            <w:r>
              <w:rPr>
                <w:rFonts w:hint="default" w:ascii="Times New Roman" w:hAnsi="Times New Roman" w:eastAsia="宋体" w:cs="Times New Roman"/>
                <w:b w:val="0"/>
                <w:bCs w:val="0"/>
                <w:snapToGrid/>
                <w:color w:val="auto"/>
                <w:kern w:val="2"/>
                <w:sz w:val="24"/>
                <w:szCs w:val="24"/>
                <w:u w:val="none" w:color="auto"/>
                <w:lang w:val="en-US" w:eastAsia="zh-CN" w:bidi="ar-SA"/>
              </w:rPr>
              <w:t>：</w:t>
            </w:r>
            <w:r>
              <w:rPr>
                <w:rFonts w:hint="eastAsia" w:cs="Times New Roman"/>
                <w:b w:val="0"/>
                <w:bCs w:val="0"/>
                <w:snapToGrid/>
                <w:color w:val="auto"/>
                <w:kern w:val="2"/>
                <w:sz w:val="24"/>
                <w:szCs w:val="24"/>
                <w:u w:val="none" w:color="auto"/>
                <w:lang w:val="en-US" w:eastAsia="zh-CN" w:bidi="ar-SA"/>
              </w:rPr>
              <w:t>气动</w:t>
            </w:r>
            <w:r>
              <w:rPr>
                <w:rFonts w:hint="eastAsia" w:ascii="Times New Roman" w:hAnsi="Times New Roman" w:eastAsia="宋体" w:cs="Times New Roman"/>
                <w:b w:val="0"/>
                <w:bCs w:val="0"/>
                <w:snapToGrid/>
                <w:color w:val="auto"/>
                <w:kern w:val="2"/>
                <w:sz w:val="24"/>
                <w:szCs w:val="24"/>
                <w:u w:val="none" w:color="auto"/>
                <w:lang w:val="en-US" w:eastAsia="zh-CN" w:bidi="ar-SA"/>
              </w:rPr>
              <w:t>角磨机</w:t>
            </w:r>
            <w:r>
              <w:rPr>
                <w:rFonts w:hint="default" w:ascii="Times New Roman" w:hAnsi="Times New Roman" w:eastAsia="宋体" w:cs="Times New Roman"/>
                <w:b w:val="0"/>
                <w:bCs w:val="0"/>
                <w:snapToGrid/>
                <w:color w:val="auto"/>
                <w:kern w:val="2"/>
                <w:sz w:val="24"/>
                <w:szCs w:val="24"/>
                <w:u w:val="none" w:color="auto"/>
                <w:lang w:val="en-US" w:eastAsia="zh-CN" w:bidi="ar-SA"/>
              </w:rPr>
              <w:t>将</w:t>
            </w:r>
            <w:r>
              <w:rPr>
                <w:rFonts w:hint="eastAsia" w:ascii="Times New Roman" w:hAnsi="Times New Roman" w:eastAsia="宋体" w:cs="Times New Roman"/>
                <w:b w:val="0"/>
                <w:bCs w:val="0"/>
                <w:snapToGrid/>
                <w:color w:val="auto"/>
                <w:kern w:val="2"/>
                <w:sz w:val="24"/>
                <w:szCs w:val="24"/>
                <w:u w:val="none" w:color="auto"/>
                <w:lang w:val="en-US" w:eastAsia="zh-CN" w:bidi="ar-SA"/>
              </w:rPr>
              <w:t>工件</w:t>
            </w:r>
            <w:r>
              <w:rPr>
                <w:rFonts w:hint="default" w:ascii="Times New Roman" w:hAnsi="Times New Roman" w:eastAsia="宋体" w:cs="Times New Roman"/>
                <w:b w:val="0"/>
                <w:bCs w:val="0"/>
                <w:snapToGrid/>
                <w:color w:val="auto"/>
                <w:kern w:val="2"/>
                <w:sz w:val="24"/>
                <w:szCs w:val="24"/>
                <w:u w:val="none" w:color="auto"/>
                <w:lang w:val="en-US" w:eastAsia="zh-CN" w:bidi="ar-SA"/>
              </w:rPr>
              <w:t>打磨平整后进入</w:t>
            </w:r>
            <w:r>
              <w:rPr>
                <w:rFonts w:hint="eastAsia" w:ascii="Times New Roman" w:hAnsi="Times New Roman" w:eastAsia="宋体" w:cs="Times New Roman"/>
                <w:b w:val="0"/>
                <w:bCs w:val="0"/>
                <w:snapToGrid/>
                <w:color w:val="auto"/>
                <w:kern w:val="2"/>
                <w:sz w:val="24"/>
                <w:szCs w:val="24"/>
                <w:u w:val="none" w:color="auto"/>
                <w:lang w:val="en-US" w:eastAsia="zh-CN" w:bidi="ar-SA"/>
              </w:rPr>
              <w:t>后续</w:t>
            </w:r>
            <w:r>
              <w:rPr>
                <w:rFonts w:hint="default" w:ascii="Times New Roman" w:hAnsi="Times New Roman" w:eastAsia="宋体" w:cs="Times New Roman"/>
                <w:b w:val="0"/>
                <w:bCs w:val="0"/>
                <w:snapToGrid/>
                <w:color w:val="auto"/>
                <w:kern w:val="2"/>
                <w:sz w:val="24"/>
                <w:szCs w:val="24"/>
                <w:u w:val="none" w:color="auto"/>
                <w:lang w:val="en-US" w:eastAsia="zh-CN" w:bidi="ar-SA"/>
              </w:rPr>
              <w:t>工序。</w:t>
            </w:r>
            <w:r>
              <w:rPr>
                <w:rFonts w:hint="eastAsia" w:ascii="Times New Roman" w:hAnsi="Times New Roman" w:eastAsia="宋体" w:cs="Times New Roman"/>
                <w:b w:val="0"/>
                <w:bCs w:val="0"/>
                <w:snapToGrid/>
                <w:color w:val="auto"/>
                <w:kern w:val="2"/>
                <w:sz w:val="24"/>
                <w:szCs w:val="24"/>
                <w:u w:val="none" w:color="auto"/>
                <w:lang w:val="en-US" w:eastAsia="zh-CN" w:bidi="ar-SA"/>
              </w:rPr>
              <w:t>该工序会产生噪声和</w:t>
            </w:r>
            <w:r>
              <w:rPr>
                <w:rFonts w:hint="eastAsia" w:cs="Times New Roman"/>
                <w:b w:val="0"/>
                <w:bCs w:val="0"/>
                <w:snapToGrid/>
                <w:color w:val="auto"/>
                <w:kern w:val="2"/>
                <w:sz w:val="24"/>
                <w:szCs w:val="24"/>
                <w:u w:val="none" w:color="auto"/>
                <w:lang w:val="en-US" w:eastAsia="zh-CN" w:bidi="ar-SA"/>
              </w:rPr>
              <w:t>粉尘。</w:t>
            </w:r>
          </w:p>
          <w:p w14:paraId="2B3914C0">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eastAsia"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清洗</w:t>
            </w:r>
            <w:r>
              <w:rPr>
                <w:rFonts w:hint="default" w:ascii="Times New Roman" w:hAnsi="Times New Roman" w:eastAsia="宋体" w:cs="Times New Roman"/>
                <w:b w:val="0"/>
                <w:bCs w:val="0"/>
                <w:snapToGrid/>
                <w:color w:val="auto"/>
                <w:kern w:val="2"/>
                <w:sz w:val="24"/>
                <w:szCs w:val="24"/>
                <w:u w:val="none" w:color="auto"/>
                <w:lang w:val="en-US" w:eastAsia="zh-CN" w:bidi="ar-SA"/>
              </w:rPr>
              <w:t>：</w:t>
            </w:r>
            <w:r>
              <w:rPr>
                <w:rFonts w:hint="eastAsia" w:ascii="Times New Roman" w:hAnsi="Times New Roman" w:eastAsia="宋体" w:cs="Times New Roman"/>
                <w:b w:val="0"/>
                <w:bCs w:val="0"/>
                <w:snapToGrid/>
                <w:color w:val="auto"/>
                <w:kern w:val="2"/>
                <w:sz w:val="24"/>
                <w:szCs w:val="24"/>
                <w:u w:val="none" w:color="auto"/>
                <w:lang w:val="en-US" w:eastAsia="zh-CN" w:bidi="ar-SA"/>
              </w:rPr>
              <w:t>使用抹布蘸取清洗剂对工件表面进行擦拭清理。该工序会产生</w:t>
            </w:r>
            <w:r>
              <w:rPr>
                <w:rFonts w:hint="eastAsia" w:cs="Times New Roman"/>
                <w:b w:val="0"/>
                <w:bCs w:val="0"/>
                <w:snapToGrid/>
                <w:color w:val="auto"/>
                <w:kern w:val="2"/>
                <w:sz w:val="24"/>
                <w:szCs w:val="24"/>
                <w:u w:val="none" w:color="auto"/>
                <w:lang w:val="en-US" w:eastAsia="zh-CN" w:bidi="ar-SA"/>
              </w:rPr>
              <w:t>清洗废气。</w:t>
            </w:r>
          </w:p>
          <w:p w14:paraId="71FA963C">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eastAsia"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火焰：部分清洁后的工件需使用火焰喷枪</w:t>
            </w:r>
            <w:r>
              <w:rPr>
                <w:rFonts w:hint="default" w:ascii="Times New Roman" w:hAnsi="Times New Roman" w:eastAsia="宋体" w:cs="Times New Roman"/>
                <w:b w:val="0"/>
                <w:bCs w:val="0"/>
                <w:snapToGrid/>
                <w:color w:val="auto"/>
                <w:kern w:val="2"/>
                <w:sz w:val="24"/>
                <w:szCs w:val="24"/>
                <w:u w:val="none" w:color="auto"/>
                <w:lang w:val="en-US" w:eastAsia="zh-CN" w:bidi="ar-SA"/>
              </w:rPr>
              <w:t>完成</w:t>
            </w:r>
            <w:r>
              <w:rPr>
                <w:rFonts w:hint="eastAsia" w:ascii="Times New Roman" w:hAnsi="Times New Roman" w:eastAsia="宋体" w:cs="Times New Roman"/>
                <w:b w:val="0"/>
                <w:bCs w:val="0"/>
                <w:snapToGrid/>
                <w:color w:val="auto"/>
                <w:kern w:val="2"/>
                <w:sz w:val="24"/>
                <w:szCs w:val="24"/>
                <w:u w:val="none" w:color="auto"/>
                <w:lang w:val="en-US" w:eastAsia="zh-CN" w:bidi="ar-SA"/>
              </w:rPr>
              <w:t>软化定型。该工序会产生</w:t>
            </w:r>
            <w:r>
              <w:rPr>
                <w:rFonts w:hint="eastAsia" w:cs="Times New Roman"/>
                <w:b w:val="0"/>
                <w:bCs w:val="0"/>
                <w:snapToGrid/>
                <w:color w:val="auto"/>
                <w:kern w:val="2"/>
                <w:sz w:val="24"/>
                <w:szCs w:val="24"/>
                <w:u w:val="none" w:color="auto"/>
                <w:lang w:val="en-US" w:eastAsia="zh-CN" w:bidi="ar-SA"/>
              </w:rPr>
              <w:t>液化石油气燃烧废气。</w:t>
            </w:r>
          </w:p>
          <w:p w14:paraId="2D9F9793">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eastAsia"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喷漆：</w:t>
            </w:r>
            <w:r>
              <w:rPr>
                <w:rFonts w:hint="default" w:ascii="Times New Roman" w:hAnsi="Times New Roman" w:eastAsia="宋体" w:cs="Times New Roman"/>
                <w:b w:val="0"/>
                <w:bCs w:val="0"/>
                <w:snapToGrid/>
                <w:color w:val="auto"/>
                <w:kern w:val="2"/>
                <w:sz w:val="24"/>
                <w:szCs w:val="24"/>
                <w:u w:val="none" w:color="auto"/>
                <w:lang w:val="en-US" w:eastAsia="zh-CN" w:bidi="ar-SA"/>
              </w:rPr>
              <w:t>喷底漆后输送至色漆喷漆室的过程中，完成底漆流平(底漆流平时间为6</w:t>
            </w:r>
            <w:r>
              <w:rPr>
                <w:rFonts w:hint="eastAsia" w:cs="Times New Roman"/>
                <w:b w:val="0"/>
                <w:bCs w:val="0"/>
                <w:snapToGrid/>
                <w:color w:val="auto"/>
                <w:kern w:val="2"/>
                <w:sz w:val="24"/>
                <w:szCs w:val="24"/>
                <w:u w:val="none" w:color="auto"/>
                <w:lang w:val="en-US" w:eastAsia="zh-CN" w:bidi="ar-SA"/>
              </w:rPr>
              <w:t>～</w:t>
            </w:r>
            <w:r>
              <w:rPr>
                <w:rFonts w:hint="default" w:ascii="Times New Roman" w:hAnsi="Times New Roman" w:eastAsia="宋体" w:cs="Times New Roman"/>
                <w:b w:val="0"/>
                <w:bCs w:val="0"/>
                <w:snapToGrid/>
                <w:color w:val="auto"/>
                <w:kern w:val="2"/>
                <w:sz w:val="24"/>
                <w:szCs w:val="24"/>
                <w:u w:val="none" w:color="auto"/>
                <w:lang w:val="en-US" w:eastAsia="zh-CN" w:bidi="ar-SA"/>
              </w:rPr>
              <w:t>8min，温度为20-25℃)</w:t>
            </w:r>
            <w:r>
              <w:rPr>
                <w:rFonts w:hint="eastAsia" w:ascii="Times New Roman" w:hAnsi="Times New Roman" w:eastAsia="宋体" w:cs="Times New Roman"/>
                <w:b w:val="0"/>
                <w:bCs w:val="0"/>
                <w:snapToGrid/>
                <w:color w:val="auto"/>
                <w:kern w:val="2"/>
                <w:sz w:val="24"/>
                <w:szCs w:val="24"/>
                <w:u w:val="none" w:color="auto"/>
                <w:lang w:val="en-US" w:eastAsia="zh-CN" w:bidi="ar-SA"/>
              </w:rPr>
              <w:t>；</w:t>
            </w:r>
            <w:r>
              <w:rPr>
                <w:rFonts w:hint="default" w:ascii="Times New Roman" w:hAnsi="Times New Roman" w:eastAsia="宋体" w:cs="Times New Roman"/>
                <w:b w:val="0"/>
                <w:bCs w:val="0"/>
                <w:snapToGrid/>
                <w:color w:val="auto"/>
                <w:kern w:val="2"/>
                <w:sz w:val="24"/>
                <w:szCs w:val="24"/>
                <w:u w:val="none" w:color="auto"/>
                <w:lang w:val="en-US" w:eastAsia="zh-CN" w:bidi="ar-SA"/>
              </w:rPr>
              <w:t>然后进入清漆喷漆室，喷清漆后</w:t>
            </w:r>
            <w:r>
              <w:rPr>
                <w:rFonts w:hint="eastAsia" w:ascii="Times New Roman" w:hAnsi="Times New Roman" w:eastAsia="宋体" w:cs="Times New Roman"/>
                <w:b w:val="0"/>
                <w:bCs w:val="0"/>
                <w:snapToGrid/>
                <w:color w:val="auto"/>
                <w:kern w:val="2"/>
                <w:sz w:val="24"/>
                <w:szCs w:val="24"/>
                <w:u w:val="none" w:color="auto"/>
                <w:lang w:val="en-US" w:eastAsia="zh-CN" w:bidi="ar-SA"/>
              </w:rPr>
              <w:t>固化</w:t>
            </w:r>
            <w:r>
              <w:rPr>
                <w:rFonts w:hint="default" w:ascii="Times New Roman" w:hAnsi="Times New Roman" w:eastAsia="宋体" w:cs="Times New Roman"/>
                <w:b w:val="0"/>
                <w:bCs w:val="0"/>
                <w:snapToGrid/>
                <w:color w:val="auto"/>
                <w:kern w:val="2"/>
                <w:sz w:val="24"/>
                <w:szCs w:val="24"/>
                <w:u w:val="none" w:color="auto"/>
                <w:lang w:val="en-US" w:eastAsia="zh-CN" w:bidi="ar-SA"/>
              </w:rPr>
              <w:t>(</w:t>
            </w:r>
            <w:r>
              <w:rPr>
                <w:rFonts w:hint="eastAsia" w:ascii="Times New Roman" w:hAnsi="Times New Roman" w:eastAsia="宋体" w:cs="Times New Roman"/>
                <w:b w:val="0"/>
                <w:bCs w:val="0"/>
                <w:snapToGrid/>
                <w:color w:val="auto"/>
                <w:kern w:val="2"/>
                <w:sz w:val="24"/>
                <w:szCs w:val="24"/>
                <w:u w:val="none" w:color="auto"/>
                <w:lang w:val="en-US" w:eastAsia="zh-CN" w:bidi="ar-SA"/>
              </w:rPr>
              <w:t>固化</w:t>
            </w:r>
            <w:r>
              <w:rPr>
                <w:rFonts w:hint="default" w:ascii="Times New Roman" w:hAnsi="Times New Roman" w:eastAsia="宋体" w:cs="Times New Roman"/>
                <w:b w:val="0"/>
                <w:bCs w:val="0"/>
                <w:snapToGrid/>
                <w:color w:val="auto"/>
                <w:kern w:val="2"/>
                <w:sz w:val="24"/>
                <w:szCs w:val="24"/>
                <w:u w:val="none" w:color="auto"/>
                <w:lang w:val="en-US" w:eastAsia="zh-CN" w:bidi="ar-SA"/>
              </w:rPr>
              <w:t>时间为2</w:t>
            </w:r>
            <w:r>
              <w:rPr>
                <w:rFonts w:hint="eastAsia" w:cs="Times New Roman"/>
                <w:b w:val="0"/>
                <w:bCs w:val="0"/>
                <w:snapToGrid/>
                <w:color w:val="auto"/>
                <w:kern w:val="2"/>
                <w:sz w:val="24"/>
                <w:szCs w:val="24"/>
                <w:u w:val="none" w:color="auto"/>
                <w:lang w:val="en-US" w:eastAsia="zh-CN" w:bidi="ar-SA"/>
              </w:rPr>
              <w:t>～</w:t>
            </w:r>
            <w:r>
              <w:rPr>
                <w:rFonts w:hint="default" w:ascii="Times New Roman" w:hAnsi="Times New Roman" w:eastAsia="宋体" w:cs="Times New Roman"/>
                <w:b w:val="0"/>
                <w:bCs w:val="0"/>
                <w:snapToGrid/>
                <w:color w:val="auto"/>
                <w:kern w:val="2"/>
                <w:sz w:val="24"/>
                <w:szCs w:val="24"/>
                <w:u w:val="none" w:color="auto"/>
                <w:lang w:val="en-US" w:eastAsia="zh-CN" w:bidi="ar-SA"/>
              </w:rPr>
              <w:t>5min，温度为 20-25℃)进入烘干系统。</w:t>
            </w:r>
            <w:r>
              <w:rPr>
                <w:rFonts w:hint="eastAsia" w:ascii="Times New Roman" w:hAnsi="Times New Roman" w:eastAsia="宋体" w:cs="Times New Roman"/>
                <w:b w:val="0"/>
                <w:bCs w:val="0"/>
                <w:snapToGrid/>
                <w:color w:val="auto"/>
                <w:kern w:val="2"/>
                <w:sz w:val="24"/>
                <w:szCs w:val="24"/>
                <w:u w:val="none" w:color="auto"/>
                <w:lang w:val="en-US" w:eastAsia="zh-CN" w:bidi="ar-SA"/>
              </w:rPr>
              <w:t>该工序会产生</w:t>
            </w:r>
            <w:r>
              <w:rPr>
                <w:rFonts w:hint="eastAsia" w:cs="Times New Roman"/>
                <w:b w:val="0"/>
                <w:bCs w:val="0"/>
                <w:snapToGrid/>
                <w:color w:val="auto"/>
                <w:kern w:val="2"/>
                <w:sz w:val="24"/>
                <w:szCs w:val="24"/>
                <w:u w:val="none" w:color="auto"/>
                <w:lang w:val="en-US" w:eastAsia="zh-CN" w:bidi="ar-SA"/>
              </w:rPr>
              <w:t>调漆、喷漆、静置废气。</w:t>
            </w:r>
          </w:p>
          <w:p w14:paraId="1891BE54">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eastAsia"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烘烤：完成喷漆的工件送至烤炉进行烘干，项目设置两台燃气烤炉、一台电烤炉。烘干温度约为80</w:t>
            </w:r>
            <w:r>
              <w:rPr>
                <w:rFonts w:hint="default" w:ascii="Times New Roman" w:hAnsi="Times New Roman" w:eastAsia="宋体" w:cs="Times New Roman"/>
                <w:b w:val="0"/>
                <w:bCs w:val="0"/>
                <w:snapToGrid/>
                <w:color w:val="auto"/>
                <w:kern w:val="2"/>
                <w:sz w:val="24"/>
                <w:szCs w:val="24"/>
                <w:u w:val="none" w:color="auto"/>
                <w:lang w:val="en-US" w:eastAsia="zh-CN" w:bidi="ar-SA"/>
              </w:rPr>
              <w:t>℃</w:t>
            </w:r>
            <w:r>
              <w:rPr>
                <w:rFonts w:hint="eastAsia" w:ascii="Times New Roman" w:hAnsi="Times New Roman" w:eastAsia="宋体" w:cs="Times New Roman"/>
                <w:b w:val="0"/>
                <w:bCs w:val="0"/>
                <w:snapToGrid/>
                <w:color w:val="auto"/>
                <w:kern w:val="2"/>
                <w:sz w:val="24"/>
                <w:szCs w:val="24"/>
                <w:u w:val="none" w:color="auto"/>
                <w:lang w:val="en-US" w:eastAsia="zh-CN" w:bidi="ar-SA"/>
              </w:rPr>
              <w:t>，烘烤时间约为2</w:t>
            </w:r>
            <w:r>
              <w:rPr>
                <w:rFonts w:hint="eastAsia" w:cs="Times New Roman"/>
                <w:b w:val="0"/>
                <w:bCs w:val="0"/>
                <w:snapToGrid/>
                <w:color w:val="auto"/>
                <w:kern w:val="2"/>
                <w:sz w:val="24"/>
                <w:szCs w:val="24"/>
                <w:u w:val="none" w:color="auto"/>
                <w:lang w:val="en-US" w:eastAsia="zh-CN" w:bidi="ar-SA"/>
              </w:rPr>
              <w:t>～</w:t>
            </w:r>
            <w:r>
              <w:rPr>
                <w:rFonts w:hint="eastAsia" w:ascii="Times New Roman" w:hAnsi="Times New Roman" w:eastAsia="宋体" w:cs="Times New Roman"/>
                <w:b w:val="0"/>
                <w:bCs w:val="0"/>
                <w:snapToGrid/>
                <w:color w:val="auto"/>
                <w:kern w:val="2"/>
                <w:sz w:val="24"/>
                <w:szCs w:val="24"/>
                <w:u w:val="none" w:color="auto"/>
                <w:lang w:val="en-US" w:eastAsia="zh-CN" w:bidi="ar-SA"/>
              </w:rPr>
              <w:t>4小时。该工序会产生</w:t>
            </w:r>
            <w:r>
              <w:rPr>
                <w:rFonts w:hint="eastAsia" w:cs="Times New Roman"/>
                <w:b w:val="0"/>
                <w:bCs w:val="0"/>
                <w:snapToGrid/>
                <w:color w:val="auto"/>
                <w:kern w:val="2"/>
                <w:sz w:val="24"/>
                <w:szCs w:val="24"/>
                <w:u w:val="none" w:color="auto"/>
                <w:lang w:val="en-US" w:eastAsia="zh-CN" w:bidi="ar-SA"/>
              </w:rPr>
              <w:t>烤漆、液化石油气燃烧废气。</w:t>
            </w:r>
          </w:p>
          <w:p w14:paraId="6C91D29A">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default"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检验</w:t>
            </w:r>
            <w:r>
              <w:rPr>
                <w:rFonts w:hint="default" w:ascii="Times New Roman" w:hAnsi="Times New Roman" w:eastAsia="宋体" w:cs="Times New Roman"/>
                <w:b w:val="0"/>
                <w:bCs w:val="0"/>
                <w:snapToGrid/>
                <w:color w:val="auto"/>
                <w:kern w:val="2"/>
                <w:sz w:val="24"/>
                <w:szCs w:val="24"/>
                <w:u w:val="none" w:color="auto"/>
                <w:lang w:val="en-US" w:eastAsia="zh-CN" w:bidi="ar-SA"/>
              </w:rPr>
              <w:t>：</w:t>
            </w:r>
            <w:r>
              <w:rPr>
                <w:rFonts w:hint="eastAsia" w:ascii="Times New Roman" w:hAnsi="Times New Roman" w:eastAsia="宋体" w:cs="Times New Roman"/>
                <w:b w:val="0"/>
                <w:bCs w:val="0"/>
                <w:snapToGrid/>
                <w:color w:val="auto"/>
                <w:kern w:val="2"/>
                <w:sz w:val="24"/>
                <w:szCs w:val="24"/>
                <w:u w:val="none" w:color="auto"/>
                <w:lang w:val="en-US" w:eastAsia="zh-CN" w:bidi="ar-SA"/>
              </w:rPr>
              <w:t>对喷漆好的工件进行人工检查，对不合格工件进行重新返工</w:t>
            </w:r>
            <w:r>
              <w:rPr>
                <w:rFonts w:hint="eastAsia" w:cs="Times New Roman"/>
                <w:b w:val="0"/>
                <w:bCs w:val="0"/>
                <w:snapToGrid/>
                <w:color w:val="auto"/>
                <w:kern w:val="2"/>
                <w:sz w:val="24"/>
                <w:szCs w:val="24"/>
                <w:u w:val="none" w:color="auto"/>
                <w:lang w:val="en-US" w:eastAsia="zh-CN" w:bidi="ar-SA"/>
              </w:rPr>
              <w:t>。此工序会产生不合格产品。</w:t>
            </w:r>
          </w:p>
          <w:p w14:paraId="0F82B1C3">
            <w:pPr>
              <w:keepNext w:val="0"/>
              <w:keepLines w:val="0"/>
              <w:pageBreakBefore w:val="0"/>
              <w:widowControl w:val="0"/>
              <w:numPr>
                <w:ilvl w:val="0"/>
                <w:numId w:val="0"/>
              </w:numPr>
              <w:kinsoku/>
              <w:wordWrap/>
              <w:overflowPunct/>
              <w:topLinePunct w:val="0"/>
              <w:autoSpaceDE/>
              <w:autoSpaceDN/>
              <w:bidi w:val="0"/>
              <w:adjustRightInd w:val="0"/>
              <w:snapToGrid w:val="0"/>
              <w:spacing w:line="480" w:lineRule="exact"/>
              <w:ind w:right="0" w:firstLine="480" w:firstLineChars="200"/>
              <w:textAlignment w:val="auto"/>
              <w:rPr>
                <w:rFonts w:hint="default"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装箱发货：检验完成后的工件进行包装后发货</w:t>
            </w:r>
            <w:r>
              <w:rPr>
                <w:rFonts w:hint="default" w:ascii="Times New Roman" w:hAnsi="Times New Roman" w:eastAsia="宋体" w:cs="Times New Roman"/>
                <w:b w:val="0"/>
                <w:bCs w:val="0"/>
                <w:snapToGrid/>
                <w:color w:val="auto"/>
                <w:kern w:val="2"/>
                <w:sz w:val="24"/>
                <w:szCs w:val="24"/>
                <w:u w:val="none" w:color="auto"/>
                <w:lang w:val="en-US" w:eastAsia="zh-CN" w:bidi="ar-SA"/>
              </w:rPr>
              <w:t>。</w:t>
            </w:r>
          </w:p>
          <w:p w14:paraId="1E81717C">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eastAsia"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风扇、风罩工艺简述：</w:t>
            </w:r>
          </w:p>
          <w:p w14:paraId="43520AAF">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eastAsia"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下料切割：根据设计图纸，使用激光切割机对钢材进行切割下料。该工序会产生噪声、粉尘</w:t>
            </w:r>
            <w:r>
              <w:rPr>
                <w:rFonts w:hint="eastAsia" w:cs="Times New Roman"/>
                <w:b w:val="0"/>
                <w:bCs w:val="0"/>
                <w:snapToGrid/>
                <w:color w:val="auto"/>
                <w:kern w:val="2"/>
                <w:sz w:val="24"/>
                <w:szCs w:val="24"/>
                <w:u w:val="none" w:color="auto"/>
                <w:lang w:val="en-US" w:eastAsia="zh-CN" w:bidi="ar-SA"/>
              </w:rPr>
              <w:t>、固废</w:t>
            </w:r>
            <w:r>
              <w:rPr>
                <w:rFonts w:hint="eastAsia" w:ascii="Times New Roman" w:hAnsi="Times New Roman" w:eastAsia="宋体" w:cs="Times New Roman"/>
                <w:b w:val="0"/>
                <w:bCs w:val="0"/>
                <w:snapToGrid/>
                <w:color w:val="auto"/>
                <w:kern w:val="2"/>
                <w:sz w:val="24"/>
                <w:szCs w:val="24"/>
                <w:u w:val="none" w:color="auto"/>
                <w:lang w:val="en-US" w:eastAsia="zh-CN" w:bidi="ar-SA"/>
              </w:rPr>
              <w:t>。</w:t>
            </w:r>
          </w:p>
          <w:p w14:paraId="6D6FA372">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eastAsia"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折弯卷板：将已切割好的半成品材料，进行折弯和卷板工艺等工艺施工作业。该工序会产生噪声。</w:t>
            </w:r>
          </w:p>
          <w:p w14:paraId="27FD8E2B">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eastAsia"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焊接组装：将折弯卷板后部件用螺栓连接，或用电焊机焊接组装。该工序会产生噪声、粉尘</w:t>
            </w:r>
            <w:r>
              <w:rPr>
                <w:rFonts w:hint="eastAsia" w:cs="Times New Roman"/>
                <w:b w:val="0"/>
                <w:bCs w:val="0"/>
                <w:snapToGrid/>
                <w:color w:val="auto"/>
                <w:kern w:val="2"/>
                <w:sz w:val="24"/>
                <w:szCs w:val="24"/>
                <w:u w:val="none" w:color="auto"/>
                <w:lang w:val="en-US" w:eastAsia="zh-CN" w:bidi="ar-SA"/>
              </w:rPr>
              <w:t>、固废</w:t>
            </w:r>
            <w:r>
              <w:rPr>
                <w:rFonts w:hint="eastAsia" w:ascii="Times New Roman" w:hAnsi="Times New Roman" w:eastAsia="宋体" w:cs="Times New Roman"/>
                <w:b w:val="0"/>
                <w:bCs w:val="0"/>
                <w:snapToGrid/>
                <w:color w:val="auto"/>
                <w:kern w:val="2"/>
                <w:sz w:val="24"/>
                <w:szCs w:val="24"/>
                <w:u w:val="none" w:color="auto"/>
                <w:lang w:val="en-US" w:eastAsia="zh-CN" w:bidi="ar-SA"/>
              </w:rPr>
              <w:t>。</w:t>
            </w:r>
          </w:p>
          <w:p w14:paraId="13B87C77">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default"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打磨</w:t>
            </w:r>
            <w:r>
              <w:rPr>
                <w:rFonts w:hint="default" w:ascii="Times New Roman" w:hAnsi="Times New Roman" w:eastAsia="宋体" w:cs="Times New Roman"/>
                <w:b w:val="0"/>
                <w:bCs w:val="0"/>
                <w:snapToGrid/>
                <w:color w:val="auto"/>
                <w:kern w:val="2"/>
                <w:sz w:val="24"/>
                <w:szCs w:val="24"/>
                <w:u w:val="none" w:color="auto"/>
                <w:lang w:val="en-US" w:eastAsia="zh-CN" w:bidi="ar-SA"/>
              </w:rPr>
              <w:t>：</w:t>
            </w:r>
            <w:r>
              <w:rPr>
                <w:rFonts w:hint="eastAsia" w:cs="Times New Roman"/>
                <w:b w:val="0"/>
                <w:bCs w:val="0"/>
                <w:snapToGrid/>
                <w:color w:val="auto"/>
                <w:kern w:val="2"/>
                <w:sz w:val="24"/>
                <w:szCs w:val="24"/>
                <w:u w:val="none" w:color="auto"/>
                <w:lang w:val="en-US" w:eastAsia="zh-CN" w:bidi="ar-SA"/>
              </w:rPr>
              <w:t>气动</w:t>
            </w:r>
            <w:r>
              <w:rPr>
                <w:rFonts w:hint="eastAsia" w:ascii="Times New Roman" w:hAnsi="Times New Roman" w:eastAsia="宋体" w:cs="Times New Roman"/>
                <w:b w:val="0"/>
                <w:bCs w:val="0"/>
                <w:snapToGrid/>
                <w:color w:val="auto"/>
                <w:kern w:val="2"/>
                <w:sz w:val="24"/>
                <w:szCs w:val="24"/>
                <w:u w:val="none" w:color="auto"/>
                <w:lang w:val="en-US" w:eastAsia="zh-CN" w:bidi="ar-SA"/>
              </w:rPr>
              <w:t>角磨机</w:t>
            </w:r>
            <w:r>
              <w:rPr>
                <w:rFonts w:hint="default" w:ascii="Times New Roman" w:hAnsi="Times New Roman" w:eastAsia="宋体" w:cs="Times New Roman"/>
                <w:b w:val="0"/>
                <w:bCs w:val="0"/>
                <w:snapToGrid/>
                <w:color w:val="auto"/>
                <w:kern w:val="2"/>
                <w:sz w:val="24"/>
                <w:szCs w:val="24"/>
                <w:u w:val="none" w:color="auto"/>
                <w:lang w:val="en-US" w:eastAsia="zh-CN" w:bidi="ar-SA"/>
              </w:rPr>
              <w:t>将</w:t>
            </w:r>
            <w:r>
              <w:rPr>
                <w:rFonts w:hint="eastAsia" w:ascii="Times New Roman" w:hAnsi="Times New Roman" w:eastAsia="宋体" w:cs="Times New Roman"/>
                <w:b w:val="0"/>
                <w:bCs w:val="0"/>
                <w:snapToGrid/>
                <w:color w:val="auto"/>
                <w:kern w:val="2"/>
                <w:sz w:val="24"/>
                <w:szCs w:val="24"/>
                <w:u w:val="none" w:color="auto"/>
                <w:lang w:val="en-US" w:eastAsia="zh-CN" w:bidi="ar-SA"/>
              </w:rPr>
              <w:t>工件</w:t>
            </w:r>
            <w:r>
              <w:rPr>
                <w:rFonts w:hint="default" w:ascii="Times New Roman" w:hAnsi="Times New Roman" w:eastAsia="宋体" w:cs="Times New Roman"/>
                <w:b w:val="0"/>
                <w:bCs w:val="0"/>
                <w:snapToGrid/>
                <w:color w:val="auto"/>
                <w:kern w:val="2"/>
                <w:sz w:val="24"/>
                <w:szCs w:val="24"/>
                <w:u w:val="none" w:color="auto"/>
                <w:lang w:val="en-US" w:eastAsia="zh-CN" w:bidi="ar-SA"/>
              </w:rPr>
              <w:t>打磨平整后进入</w:t>
            </w:r>
            <w:r>
              <w:rPr>
                <w:rFonts w:hint="eastAsia" w:ascii="Times New Roman" w:hAnsi="Times New Roman" w:eastAsia="宋体" w:cs="Times New Roman"/>
                <w:b w:val="0"/>
                <w:bCs w:val="0"/>
                <w:snapToGrid/>
                <w:color w:val="auto"/>
                <w:kern w:val="2"/>
                <w:sz w:val="24"/>
                <w:szCs w:val="24"/>
                <w:u w:val="none" w:color="auto"/>
                <w:lang w:val="en-US" w:eastAsia="zh-CN" w:bidi="ar-SA"/>
              </w:rPr>
              <w:t>后续</w:t>
            </w:r>
            <w:r>
              <w:rPr>
                <w:rFonts w:hint="default" w:ascii="Times New Roman" w:hAnsi="Times New Roman" w:eastAsia="宋体" w:cs="Times New Roman"/>
                <w:b w:val="0"/>
                <w:bCs w:val="0"/>
                <w:snapToGrid/>
                <w:color w:val="auto"/>
                <w:kern w:val="2"/>
                <w:sz w:val="24"/>
                <w:szCs w:val="24"/>
                <w:u w:val="none" w:color="auto"/>
                <w:lang w:val="en-US" w:eastAsia="zh-CN" w:bidi="ar-SA"/>
              </w:rPr>
              <w:t>工序。</w:t>
            </w:r>
            <w:r>
              <w:rPr>
                <w:rFonts w:hint="eastAsia" w:ascii="Times New Roman" w:hAnsi="Times New Roman" w:eastAsia="宋体" w:cs="Times New Roman"/>
                <w:b w:val="0"/>
                <w:bCs w:val="0"/>
                <w:snapToGrid/>
                <w:color w:val="auto"/>
                <w:kern w:val="2"/>
                <w:sz w:val="24"/>
                <w:szCs w:val="24"/>
                <w:u w:val="none" w:color="auto"/>
                <w:lang w:val="en-US" w:eastAsia="zh-CN" w:bidi="ar-SA"/>
              </w:rPr>
              <w:t>该工序会产生噪声和</w:t>
            </w:r>
            <w:r>
              <w:rPr>
                <w:rFonts w:hint="eastAsia" w:cs="Times New Roman"/>
                <w:b w:val="0"/>
                <w:bCs w:val="0"/>
                <w:snapToGrid/>
                <w:color w:val="auto"/>
                <w:kern w:val="2"/>
                <w:sz w:val="24"/>
                <w:szCs w:val="24"/>
                <w:u w:val="none" w:color="auto"/>
                <w:lang w:val="en-US" w:eastAsia="zh-CN" w:bidi="ar-SA"/>
              </w:rPr>
              <w:t>粉尘。</w:t>
            </w:r>
          </w:p>
          <w:p w14:paraId="045FC6F5">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eastAsia"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喷漆：组装后的工件与设计图纸核对，质量检验无误后，于喷漆房中喷涂一层环氧富锌底漆防锈，完成喷漆的工件</w:t>
            </w:r>
            <w:r>
              <w:rPr>
                <w:rFonts w:hint="eastAsia" w:cs="Times New Roman"/>
                <w:b w:val="0"/>
                <w:bCs w:val="0"/>
                <w:snapToGrid/>
                <w:color w:val="auto"/>
                <w:kern w:val="2"/>
                <w:sz w:val="24"/>
                <w:szCs w:val="24"/>
                <w:u w:val="none" w:color="auto"/>
                <w:lang w:val="en-US" w:eastAsia="zh-CN" w:bidi="ar-SA"/>
              </w:rPr>
              <w:t>在喷漆房内静置晾干30min～2h</w:t>
            </w:r>
            <w:r>
              <w:rPr>
                <w:rFonts w:hint="eastAsia" w:ascii="Times New Roman" w:hAnsi="Times New Roman" w:eastAsia="宋体" w:cs="Times New Roman"/>
                <w:b w:val="0"/>
                <w:bCs w:val="0"/>
                <w:snapToGrid/>
                <w:color w:val="auto"/>
                <w:kern w:val="2"/>
                <w:sz w:val="24"/>
                <w:szCs w:val="24"/>
                <w:u w:val="none" w:color="auto"/>
                <w:lang w:val="en-US" w:eastAsia="zh-CN" w:bidi="ar-SA"/>
              </w:rPr>
              <w:t>。该工序会产生喷漆</w:t>
            </w:r>
            <w:r>
              <w:rPr>
                <w:rFonts w:hint="eastAsia" w:cs="Times New Roman"/>
                <w:b w:val="0"/>
                <w:bCs w:val="0"/>
                <w:snapToGrid/>
                <w:color w:val="auto"/>
                <w:kern w:val="2"/>
                <w:sz w:val="24"/>
                <w:szCs w:val="24"/>
                <w:u w:val="none" w:color="auto"/>
                <w:lang w:val="en-US" w:eastAsia="zh-CN" w:bidi="ar-SA"/>
              </w:rPr>
              <w:t>、晾干</w:t>
            </w:r>
            <w:r>
              <w:rPr>
                <w:rFonts w:hint="eastAsia" w:ascii="Times New Roman" w:hAnsi="Times New Roman" w:eastAsia="宋体" w:cs="Times New Roman"/>
                <w:b w:val="0"/>
                <w:bCs w:val="0"/>
                <w:snapToGrid/>
                <w:color w:val="auto"/>
                <w:kern w:val="2"/>
                <w:sz w:val="24"/>
                <w:szCs w:val="24"/>
                <w:u w:val="none" w:color="auto"/>
                <w:lang w:val="en-US" w:eastAsia="zh-CN" w:bidi="ar-SA"/>
              </w:rPr>
              <w:t>废气。</w:t>
            </w:r>
          </w:p>
          <w:p w14:paraId="4C0E9E04">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eastAsia"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检验：对喷漆好的工件进行人工检查，对不合格工件进行重新返工。</w:t>
            </w:r>
            <w:r>
              <w:rPr>
                <w:rFonts w:hint="eastAsia" w:cs="Times New Roman"/>
                <w:b w:val="0"/>
                <w:bCs w:val="0"/>
                <w:snapToGrid/>
                <w:color w:val="auto"/>
                <w:kern w:val="2"/>
                <w:sz w:val="24"/>
                <w:szCs w:val="24"/>
                <w:u w:val="none" w:color="auto"/>
                <w:lang w:val="en-US" w:eastAsia="zh-CN" w:bidi="ar-SA"/>
              </w:rPr>
              <w:t>此工序会产生不合格产品。</w:t>
            </w:r>
          </w:p>
          <w:p w14:paraId="6D4CB706">
            <w:pPr>
              <w:keepNext/>
              <w:keepLines w:val="0"/>
              <w:widowControl/>
              <w:numPr>
                <w:ilvl w:val="0"/>
                <w:numId w:val="0"/>
              </w:numPr>
              <w:kinsoku/>
              <w:wordWrap/>
              <w:overflowPunct/>
              <w:topLinePunct w:val="0"/>
              <w:autoSpaceDE/>
              <w:autoSpaceDN/>
              <w:bidi w:val="0"/>
              <w:adjustRightInd/>
              <w:snapToGrid/>
              <w:spacing w:before="50" w:beforeLines="0" w:line="360" w:lineRule="auto"/>
              <w:ind w:firstLine="480" w:firstLineChars="200"/>
              <w:jc w:val="both"/>
              <w:textAlignment w:val="auto"/>
              <w:rPr>
                <w:rFonts w:hint="default"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装箱发货：检验完成后的工件进行包装后发货。</w:t>
            </w:r>
          </w:p>
          <w:p w14:paraId="3EE883E3">
            <w:pPr>
              <w:keepNext w:val="0"/>
              <w:keepLines w:val="0"/>
              <w:pageBreakBefore w:val="0"/>
              <w:widowControl w:val="0"/>
              <w:numPr>
                <w:ilvl w:val="0"/>
                <w:numId w:val="0"/>
              </w:numPr>
              <w:kinsoku/>
              <w:wordWrap/>
              <w:overflowPunct/>
              <w:topLinePunct w:val="0"/>
              <w:autoSpaceDE/>
              <w:autoSpaceDN/>
              <w:bidi w:val="0"/>
              <w:adjustRightInd w:val="0"/>
              <w:snapToGrid w:val="0"/>
              <w:spacing w:line="480" w:lineRule="exact"/>
              <w:ind w:right="0" w:firstLine="480" w:firstLineChars="200"/>
              <w:textAlignment w:val="auto"/>
              <w:rPr>
                <w:rFonts w:hint="default"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（2）</w:t>
            </w:r>
            <w:r>
              <w:rPr>
                <w:rFonts w:hint="default" w:ascii="Times New Roman" w:hAnsi="Times New Roman" w:eastAsia="宋体" w:cs="Times New Roman"/>
                <w:b w:val="0"/>
                <w:bCs w:val="0"/>
                <w:snapToGrid/>
                <w:color w:val="auto"/>
                <w:kern w:val="2"/>
                <w:sz w:val="24"/>
                <w:szCs w:val="24"/>
                <w:u w:val="none" w:color="auto"/>
                <w:lang w:val="en-US" w:eastAsia="zh-CN" w:bidi="ar-SA"/>
              </w:rPr>
              <w:t>主要产排污环节说明</w:t>
            </w:r>
          </w:p>
          <w:p w14:paraId="0EDC53F4">
            <w:pPr>
              <w:keepNext w:val="0"/>
              <w:keepLines w:val="0"/>
              <w:pageBreakBefore w:val="0"/>
              <w:widowControl w:val="0"/>
              <w:numPr>
                <w:ilvl w:val="0"/>
                <w:numId w:val="0"/>
              </w:numPr>
              <w:kinsoku/>
              <w:wordWrap/>
              <w:overflowPunct/>
              <w:topLinePunct w:val="0"/>
              <w:autoSpaceDE/>
              <w:autoSpaceDN/>
              <w:bidi w:val="0"/>
              <w:adjustRightInd w:val="0"/>
              <w:snapToGrid w:val="0"/>
              <w:spacing w:line="480" w:lineRule="exact"/>
              <w:ind w:right="0" w:firstLine="480" w:firstLineChars="200"/>
              <w:textAlignment w:val="auto"/>
              <w:rPr>
                <w:rFonts w:hint="eastAsia" w:ascii="Times New Roman" w:hAnsi="Times New Roman" w:eastAsia="宋体" w:cs="Times New Roman"/>
                <w:b w:val="0"/>
                <w:bCs w:val="0"/>
                <w:snapToGrid/>
                <w:color w:val="auto"/>
                <w:kern w:val="2"/>
                <w:sz w:val="24"/>
                <w:szCs w:val="24"/>
                <w:u w:val="none" w:color="auto"/>
                <w:lang w:val="en-US" w:eastAsia="zh-CN" w:bidi="ar-SA"/>
              </w:rPr>
            </w:pPr>
            <w:r>
              <w:rPr>
                <w:rFonts w:hint="eastAsia" w:ascii="Times New Roman" w:hAnsi="Times New Roman" w:eastAsia="宋体" w:cs="Times New Roman"/>
                <w:b w:val="0"/>
                <w:bCs w:val="0"/>
                <w:snapToGrid/>
                <w:color w:val="auto"/>
                <w:kern w:val="2"/>
                <w:sz w:val="24"/>
                <w:szCs w:val="24"/>
                <w:u w:val="none" w:color="auto"/>
                <w:lang w:val="en-US" w:eastAsia="zh-CN" w:bidi="ar-SA"/>
              </w:rPr>
              <w:t>本项目主要污染工序及其产生的主要污染物见下表。</w:t>
            </w:r>
          </w:p>
          <w:p w14:paraId="39C4DBF7">
            <w:pPr>
              <w:keepNext w:val="0"/>
              <w:keepLines w:val="0"/>
              <w:pageBreakBefore w:val="0"/>
              <w:widowControl w:val="0"/>
              <w:kinsoku/>
              <w:wordWrap/>
              <w:overflowPunct/>
              <w:topLinePunct w:val="0"/>
              <w:autoSpaceDE/>
              <w:autoSpaceDN/>
              <w:bidi w:val="0"/>
              <w:adjustRightInd w:val="0"/>
              <w:snapToGrid w:val="0"/>
              <w:spacing w:line="480" w:lineRule="exact"/>
              <w:ind w:right="0" w:firstLine="0" w:firstLineChars="0"/>
              <w:jc w:val="center"/>
              <w:textAlignment w:val="auto"/>
              <w:rPr>
                <w:rFonts w:hint="eastAsia" w:ascii="Times New Roman" w:hAnsi="Times New Roman" w:eastAsia="宋体" w:cs="Times New Roman"/>
                <w:b/>
                <w:bCs w:val="0"/>
                <w:color w:val="auto"/>
                <w:sz w:val="21"/>
                <w:szCs w:val="21"/>
                <w:highlight w:val="none"/>
                <w:u w:val="none" w:color="auto"/>
                <w:vertAlign w:val="baseline"/>
                <w:lang w:val="en-US" w:eastAsia="zh-CN"/>
              </w:rPr>
            </w:pPr>
            <w:r>
              <w:rPr>
                <w:rFonts w:hint="eastAsia" w:ascii="Times New Roman" w:hAnsi="Times New Roman" w:eastAsia="宋体" w:cs="Times New Roman"/>
                <w:b/>
                <w:bCs w:val="0"/>
                <w:color w:val="auto"/>
                <w:sz w:val="21"/>
                <w:szCs w:val="21"/>
                <w:highlight w:val="none"/>
                <w:u w:val="none" w:color="auto"/>
                <w:vertAlign w:val="baseline"/>
                <w:lang w:val="en-US" w:eastAsia="zh-CN"/>
              </w:rPr>
              <w:t>表2-</w:t>
            </w:r>
            <w:r>
              <w:rPr>
                <w:rFonts w:hint="eastAsia" w:cs="Times New Roman"/>
                <w:b/>
                <w:bCs w:val="0"/>
                <w:color w:val="auto"/>
                <w:sz w:val="21"/>
                <w:szCs w:val="21"/>
                <w:highlight w:val="none"/>
                <w:u w:val="none" w:color="auto"/>
                <w:vertAlign w:val="baseline"/>
                <w:lang w:val="en-US" w:eastAsia="zh-CN"/>
              </w:rPr>
              <w:t>9</w:t>
            </w:r>
            <w:r>
              <w:rPr>
                <w:rFonts w:hint="eastAsia" w:ascii="Times New Roman" w:hAnsi="Times New Roman" w:eastAsia="宋体" w:cs="Times New Roman"/>
                <w:b/>
                <w:bCs w:val="0"/>
                <w:color w:val="auto"/>
                <w:sz w:val="21"/>
                <w:szCs w:val="21"/>
                <w:highlight w:val="none"/>
                <w:u w:val="none" w:color="auto"/>
                <w:vertAlign w:val="baseline"/>
                <w:lang w:val="en-US" w:eastAsia="zh-CN"/>
              </w:rPr>
              <w:t xml:space="preserve">   项目主要污染工序及污染因子</w:t>
            </w:r>
          </w:p>
          <w:tbl>
            <w:tblPr>
              <w:tblStyle w:val="32"/>
              <w:tblW w:w="791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75"/>
              <w:gridCol w:w="1915"/>
              <w:gridCol w:w="3929"/>
            </w:tblGrid>
            <w:tr w14:paraId="3149BF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tcBorders>
                    <w:tl2br w:val="nil"/>
                    <w:tr2bl w:val="nil"/>
                  </w:tcBorders>
                  <w:vAlign w:val="center"/>
                </w:tcPr>
                <w:p w14:paraId="77E68827">
                  <w:pPr>
                    <w:adjustRightInd w:val="0"/>
                    <w:snapToGrid w:val="0"/>
                    <w:jc w:val="center"/>
                    <w:rPr>
                      <w:b/>
                      <w:bCs/>
                      <w:color w:val="auto"/>
                      <w:szCs w:val="21"/>
                      <w:u w:val="none" w:color="auto"/>
                    </w:rPr>
                  </w:pPr>
                  <w:r>
                    <w:rPr>
                      <w:b/>
                      <w:bCs/>
                      <w:color w:val="auto"/>
                      <w:szCs w:val="21"/>
                      <w:u w:val="none" w:color="auto"/>
                    </w:rPr>
                    <w:t>污染物类型</w:t>
                  </w:r>
                </w:p>
              </w:tc>
              <w:tc>
                <w:tcPr>
                  <w:tcW w:w="1915" w:type="dxa"/>
                  <w:tcBorders>
                    <w:tl2br w:val="nil"/>
                    <w:tr2bl w:val="nil"/>
                  </w:tcBorders>
                  <w:vAlign w:val="center"/>
                </w:tcPr>
                <w:p w14:paraId="70DAC05A">
                  <w:pPr>
                    <w:adjustRightInd w:val="0"/>
                    <w:snapToGrid w:val="0"/>
                    <w:jc w:val="center"/>
                    <w:rPr>
                      <w:b/>
                      <w:bCs/>
                      <w:color w:val="auto"/>
                      <w:szCs w:val="21"/>
                      <w:u w:val="none" w:color="auto"/>
                    </w:rPr>
                  </w:pPr>
                  <w:r>
                    <w:rPr>
                      <w:b/>
                      <w:bCs/>
                      <w:color w:val="auto"/>
                      <w:szCs w:val="21"/>
                      <w:u w:val="none" w:color="auto"/>
                    </w:rPr>
                    <w:t>产污环节</w:t>
                  </w:r>
                </w:p>
              </w:tc>
              <w:tc>
                <w:tcPr>
                  <w:tcW w:w="3929" w:type="dxa"/>
                  <w:tcBorders>
                    <w:tl2br w:val="nil"/>
                    <w:tr2bl w:val="nil"/>
                  </w:tcBorders>
                  <w:vAlign w:val="center"/>
                </w:tcPr>
                <w:p w14:paraId="642B0D59">
                  <w:pPr>
                    <w:adjustRightInd w:val="0"/>
                    <w:snapToGrid w:val="0"/>
                    <w:jc w:val="center"/>
                    <w:rPr>
                      <w:b/>
                      <w:bCs/>
                      <w:color w:val="auto"/>
                      <w:szCs w:val="21"/>
                      <w:u w:val="none" w:color="auto"/>
                    </w:rPr>
                  </w:pPr>
                  <w:r>
                    <w:rPr>
                      <w:b/>
                      <w:bCs/>
                      <w:color w:val="auto"/>
                      <w:szCs w:val="21"/>
                      <w:u w:val="none" w:color="auto"/>
                    </w:rPr>
                    <w:t>污染因子</w:t>
                  </w:r>
                </w:p>
              </w:tc>
            </w:tr>
            <w:tr w14:paraId="6A2FF4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restart"/>
                  <w:tcBorders>
                    <w:tl2br w:val="nil"/>
                    <w:tr2bl w:val="nil"/>
                  </w:tcBorders>
                  <w:shd w:val="clear" w:color="auto" w:fill="auto"/>
                  <w:vAlign w:val="center"/>
                </w:tcPr>
                <w:p w14:paraId="5CA26130">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kern w:val="2"/>
                      <w:sz w:val="21"/>
                      <w:szCs w:val="21"/>
                      <w:u w:val="none" w:color="auto"/>
                      <w:lang w:val="en-US" w:eastAsia="zh-CN" w:bidi="ar-SA"/>
                    </w:rPr>
                    <w:t>废气</w:t>
                  </w:r>
                </w:p>
              </w:tc>
              <w:tc>
                <w:tcPr>
                  <w:tcW w:w="1915" w:type="dxa"/>
                  <w:tcBorders>
                    <w:tl2br w:val="nil"/>
                    <w:tr2bl w:val="nil"/>
                  </w:tcBorders>
                  <w:shd w:val="clear" w:color="auto" w:fill="auto"/>
                  <w:vAlign w:val="center"/>
                </w:tcPr>
                <w:p w14:paraId="59265726">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风扇风罩下料切割</w:t>
                  </w:r>
                </w:p>
              </w:tc>
              <w:tc>
                <w:tcPr>
                  <w:tcW w:w="3929" w:type="dxa"/>
                  <w:tcBorders>
                    <w:tl2br w:val="nil"/>
                    <w:tr2bl w:val="nil"/>
                  </w:tcBorders>
                  <w:shd w:val="clear" w:color="auto" w:fill="auto"/>
                  <w:vAlign w:val="center"/>
                </w:tcPr>
                <w:p w14:paraId="20DAE206">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颗粒物</w:t>
                  </w:r>
                </w:p>
              </w:tc>
            </w:tr>
            <w:tr w14:paraId="4C5C78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1072F700">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0" w:type="auto"/>
                  <w:shd w:val="clear" w:color="auto" w:fill="auto"/>
                  <w:vAlign w:val="center"/>
                </w:tcPr>
                <w:p w14:paraId="5BF2C7B2">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风扇风罩</w:t>
                  </w:r>
                  <w:r>
                    <w:rPr>
                      <w:rFonts w:hint="eastAsia" w:eastAsia="宋体" w:cs="Times New Roman"/>
                      <w:b w:val="0"/>
                      <w:bCs/>
                      <w:snapToGrid w:val="0"/>
                      <w:color w:val="auto"/>
                      <w:spacing w:val="4"/>
                      <w:sz w:val="21"/>
                      <w:szCs w:val="21"/>
                      <w:u w:val="none" w:color="auto"/>
                      <w:lang w:val="en-US" w:eastAsia="zh-CN"/>
                    </w:rPr>
                    <w:t>焊接</w:t>
                  </w:r>
                </w:p>
              </w:tc>
              <w:tc>
                <w:tcPr>
                  <w:tcW w:w="0" w:type="auto"/>
                  <w:shd w:val="clear" w:color="auto" w:fill="auto"/>
                  <w:vAlign w:val="center"/>
                </w:tcPr>
                <w:p w14:paraId="72A305D5">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颗粒物</w:t>
                  </w:r>
                </w:p>
              </w:tc>
            </w:tr>
            <w:tr w14:paraId="1B8B89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39AC84C6">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0" w:type="auto"/>
                  <w:shd w:val="clear" w:color="auto" w:fill="auto"/>
                  <w:vAlign w:val="center"/>
                </w:tcPr>
                <w:p w14:paraId="16D28318">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风扇风罩打磨</w:t>
                  </w:r>
                </w:p>
              </w:tc>
              <w:tc>
                <w:tcPr>
                  <w:tcW w:w="0" w:type="auto"/>
                  <w:shd w:val="clear" w:color="auto" w:fill="auto"/>
                  <w:vAlign w:val="center"/>
                </w:tcPr>
                <w:p w14:paraId="79D18169">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颗粒物</w:t>
                  </w:r>
                </w:p>
              </w:tc>
            </w:tr>
            <w:tr w14:paraId="5A414D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614B8C1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0" w:type="auto"/>
                  <w:shd w:val="clear" w:color="auto" w:fill="auto"/>
                  <w:vAlign w:val="center"/>
                </w:tcPr>
                <w:p w14:paraId="5A24B775">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cs="Times New Roman"/>
                      <w:b w:val="0"/>
                      <w:bCs/>
                      <w:snapToGrid w:val="0"/>
                      <w:color w:val="auto"/>
                      <w:spacing w:val="4"/>
                      <w:sz w:val="21"/>
                      <w:szCs w:val="21"/>
                      <w:u w:val="none" w:color="auto"/>
                      <w:lang w:val="en-US" w:eastAsia="zh-CN"/>
                    </w:rPr>
                    <w:t>高铁连接板</w:t>
                  </w:r>
                  <w:r>
                    <w:rPr>
                      <w:rFonts w:hint="default" w:eastAsia="宋体" w:cs="Times New Roman"/>
                      <w:b w:val="0"/>
                      <w:bCs/>
                      <w:snapToGrid w:val="0"/>
                      <w:color w:val="auto"/>
                      <w:spacing w:val="4"/>
                      <w:sz w:val="21"/>
                      <w:szCs w:val="21"/>
                      <w:u w:val="none" w:color="auto"/>
                      <w:lang w:val="en-US" w:eastAsia="zh-CN"/>
                    </w:rPr>
                    <w:t>打磨粉尘</w:t>
                  </w:r>
                </w:p>
              </w:tc>
              <w:tc>
                <w:tcPr>
                  <w:tcW w:w="0" w:type="auto"/>
                  <w:shd w:val="clear" w:color="auto" w:fill="auto"/>
                  <w:vAlign w:val="center"/>
                </w:tcPr>
                <w:p w14:paraId="5845D166">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颗粒物</w:t>
                  </w:r>
                </w:p>
              </w:tc>
            </w:tr>
            <w:tr w14:paraId="3FB46C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1C4E398F">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0" w:type="auto"/>
                  <w:shd w:val="clear" w:color="auto" w:fill="auto"/>
                  <w:vAlign w:val="center"/>
                </w:tcPr>
                <w:p w14:paraId="0B852AAA">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cs="Times New Roman"/>
                      <w:b w:val="0"/>
                      <w:bCs/>
                      <w:snapToGrid w:val="0"/>
                      <w:color w:val="auto"/>
                      <w:spacing w:val="4"/>
                      <w:sz w:val="21"/>
                      <w:szCs w:val="21"/>
                      <w:u w:val="none" w:color="auto"/>
                      <w:lang w:val="en-US" w:eastAsia="zh-CN"/>
                    </w:rPr>
                    <w:t>高铁连接板</w:t>
                  </w:r>
                  <w:r>
                    <w:rPr>
                      <w:rFonts w:hint="default" w:eastAsia="宋体" w:cs="Times New Roman"/>
                      <w:b w:val="0"/>
                      <w:bCs/>
                      <w:snapToGrid w:val="0"/>
                      <w:color w:val="auto"/>
                      <w:spacing w:val="4"/>
                      <w:sz w:val="21"/>
                      <w:szCs w:val="21"/>
                      <w:u w:val="none" w:color="auto"/>
                      <w:lang w:val="en-US" w:eastAsia="zh-CN"/>
                    </w:rPr>
                    <w:t>清洗废气</w:t>
                  </w:r>
                </w:p>
              </w:tc>
              <w:tc>
                <w:tcPr>
                  <w:tcW w:w="0" w:type="auto"/>
                  <w:shd w:val="clear" w:color="auto" w:fill="auto"/>
                  <w:vAlign w:val="center"/>
                </w:tcPr>
                <w:p w14:paraId="7C1E3671">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VOCs</w:t>
                  </w:r>
                </w:p>
              </w:tc>
            </w:tr>
            <w:tr w14:paraId="242682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41C05636">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0" w:type="auto"/>
                  <w:shd w:val="clear" w:color="auto" w:fill="auto"/>
                  <w:vAlign w:val="center"/>
                </w:tcPr>
                <w:p w14:paraId="7AE1EE3A">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喷漆</w:t>
                  </w:r>
                </w:p>
              </w:tc>
              <w:tc>
                <w:tcPr>
                  <w:tcW w:w="0" w:type="auto"/>
                  <w:shd w:val="clear" w:color="auto" w:fill="auto"/>
                  <w:vAlign w:val="center"/>
                </w:tcPr>
                <w:p w14:paraId="1BE5308A">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漆雾（颗粒物）</w:t>
                  </w:r>
                </w:p>
              </w:tc>
            </w:tr>
            <w:tr w14:paraId="737923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379E0DE9">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0" w:type="auto"/>
                  <w:shd w:val="clear" w:color="auto" w:fill="auto"/>
                  <w:vAlign w:val="center"/>
                </w:tcPr>
                <w:p w14:paraId="36AF2908">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喷漆、烘烤</w:t>
                  </w:r>
                </w:p>
              </w:tc>
              <w:tc>
                <w:tcPr>
                  <w:tcW w:w="0" w:type="auto"/>
                  <w:shd w:val="clear" w:color="auto" w:fill="auto"/>
                  <w:vAlign w:val="center"/>
                </w:tcPr>
                <w:p w14:paraId="53879EA7">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VOCs、甲苯、二甲苯</w:t>
                  </w:r>
                </w:p>
              </w:tc>
            </w:tr>
            <w:tr w14:paraId="679610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3E0649B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0" w:type="auto"/>
                  <w:shd w:val="clear" w:color="auto" w:fill="auto"/>
                  <w:vAlign w:val="center"/>
                </w:tcPr>
                <w:p w14:paraId="5ACFE006">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调漆</w:t>
                  </w:r>
                </w:p>
              </w:tc>
              <w:tc>
                <w:tcPr>
                  <w:tcW w:w="0" w:type="auto"/>
                  <w:shd w:val="clear" w:color="auto" w:fill="auto"/>
                  <w:vAlign w:val="center"/>
                </w:tcPr>
                <w:p w14:paraId="745820B6">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VOCs、甲苯、二甲苯</w:t>
                  </w:r>
                </w:p>
              </w:tc>
            </w:tr>
            <w:tr w14:paraId="1C7558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2CCF99E8">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0" w:type="auto"/>
                  <w:shd w:val="clear" w:color="auto" w:fill="auto"/>
                  <w:vAlign w:val="center"/>
                </w:tcPr>
                <w:p w14:paraId="608AAAE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高铁连接板火焰软化液化石油气燃烧废气</w:t>
                  </w:r>
                </w:p>
              </w:tc>
              <w:tc>
                <w:tcPr>
                  <w:tcW w:w="0" w:type="auto"/>
                  <w:shd w:val="clear" w:color="auto" w:fill="auto"/>
                  <w:vAlign w:val="center"/>
                </w:tcPr>
                <w:p w14:paraId="029EEA05">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SO2、颗粒物、氮氧化物</w:t>
                  </w:r>
                </w:p>
              </w:tc>
            </w:tr>
            <w:tr w14:paraId="68BC4E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54B378D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0" w:type="auto"/>
                  <w:shd w:val="clear" w:color="auto" w:fill="auto"/>
                  <w:vAlign w:val="center"/>
                </w:tcPr>
                <w:p w14:paraId="40703212">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烤漆、催化燃烧液化石油气燃烧废气</w:t>
                  </w:r>
                </w:p>
              </w:tc>
              <w:tc>
                <w:tcPr>
                  <w:tcW w:w="0" w:type="auto"/>
                  <w:shd w:val="clear" w:color="auto" w:fill="auto"/>
                  <w:vAlign w:val="center"/>
                </w:tcPr>
                <w:p w14:paraId="0AA72CA4">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SO2、颗粒物、氮氧化物</w:t>
                  </w:r>
                </w:p>
              </w:tc>
            </w:tr>
            <w:tr w14:paraId="5DBE64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restart"/>
                  <w:shd w:val="clear" w:color="auto" w:fill="auto"/>
                  <w:vAlign w:val="center"/>
                </w:tcPr>
                <w:p w14:paraId="500A9F23">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kern w:val="2"/>
                      <w:sz w:val="21"/>
                      <w:szCs w:val="21"/>
                      <w:u w:val="none" w:color="auto"/>
                      <w:lang w:val="en-US" w:eastAsia="zh-CN" w:bidi="ar-SA"/>
                    </w:rPr>
                    <w:t>废水</w:t>
                  </w:r>
                </w:p>
              </w:tc>
              <w:tc>
                <w:tcPr>
                  <w:tcW w:w="0" w:type="auto"/>
                  <w:shd w:val="clear" w:color="auto" w:fill="auto"/>
                  <w:vAlign w:val="center"/>
                </w:tcPr>
                <w:p w14:paraId="48E55F96">
                  <w:pPr>
                    <w:adjustRightInd w:val="0"/>
                    <w:snapToGrid w:val="0"/>
                    <w:jc w:val="center"/>
                    <w:rPr>
                      <w:rFonts w:hint="eastAsia" w:ascii="Times New Roman" w:hAnsi="Times New Roman" w:eastAsia="宋体" w:cs="Times New Roman"/>
                      <w:color w:val="auto"/>
                      <w:kern w:val="2"/>
                      <w:sz w:val="21"/>
                      <w:szCs w:val="21"/>
                      <w:u w:val="none" w:color="auto"/>
                      <w:lang w:val="en-US" w:eastAsia="zh-CN" w:bidi="ar-SA"/>
                    </w:rPr>
                  </w:pPr>
                  <w:r>
                    <w:rPr>
                      <w:rFonts w:hint="eastAsia"/>
                      <w:color w:val="auto"/>
                      <w:szCs w:val="21"/>
                      <w:u w:val="none" w:color="auto"/>
                      <w:lang w:val="en-US" w:eastAsia="zh-CN"/>
                    </w:rPr>
                    <w:t>员工办公</w:t>
                  </w:r>
                </w:p>
              </w:tc>
              <w:tc>
                <w:tcPr>
                  <w:tcW w:w="0" w:type="auto"/>
                  <w:shd w:val="clear" w:color="auto" w:fill="auto"/>
                  <w:vAlign w:val="center"/>
                </w:tcPr>
                <w:p w14:paraId="606E64F3">
                  <w:pPr>
                    <w:adjustRightInd w:val="0"/>
                    <w:snapToGrid w:val="0"/>
                    <w:jc w:val="center"/>
                    <w:rPr>
                      <w:rFonts w:hint="eastAsia" w:ascii="Times New Roman" w:hAnsi="Times New Roman" w:eastAsia="宋体" w:cs="Times New Roman"/>
                      <w:color w:val="auto"/>
                      <w:kern w:val="2"/>
                      <w:sz w:val="21"/>
                      <w:szCs w:val="21"/>
                      <w:u w:val="none" w:color="auto"/>
                      <w:lang w:val="en-US" w:eastAsia="zh-CN" w:bidi="ar-SA"/>
                    </w:rPr>
                  </w:pPr>
                  <w:r>
                    <w:rPr>
                      <w:rFonts w:hint="eastAsia"/>
                      <w:color w:val="auto"/>
                      <w:szCs w:val="21"/>
                      <w:u w:val="none" w:color="auto"/>
                      <w:lang w:val="en-US" w:eastAsia="zh-CN"/>
                    </w:rPr>
                    <w:t>CODcr、BOD5、NH</w:t>
                  </w:r>
                  <w:r>
                    <w:rPr>
                      <w:rFonts w:hint="eastAsia"/>
                      <w:color w:val="auto"/>
                      <w:szCs w:val="21"/>
                      <w:u w:val="none" w:color="auto"/>
                      <w:vertAlign w:val="subscript"/>
                      <w:lang w:val="en-US" w:eastAsia="zh-CN"/>
                    </w:rPr>
                    <w:t>3</w:t>
                  </w:r>
                  <w:r>
                    <w:rPr>
                      <w:rFonts w:hint="eastAsia"/>
                      <w:color w:val="auto"/>
                      <w:szCs w:val="21"/>
                      <w:u w:val="none" w:color="auto"/>
                      <w:lang w:val="en-US" w:eastAsia="zh-CN"/>
                    </w:rPr>
                    <w:t>-N、SS、动植物油</w:t>
                  </w:r>
                </w:p>
              </w:tc>
            </w:tr>
            <w:tr w14:paraId="0B0E60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79C4542E">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0" w:type="auto"/>
                  <w:shd w:val="clear" w:color="auto" w:fill="auto"/>
                  <w:vAlign w:val="center"/>
                </w:tcPr>
                <w:p w14:paraId="74134E3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水帘循环水</w:t>
                  </w:r>
                </w:p>
              </w:tc>
              <w:tc>
                <w:tcPr>
                  <w:tcW w:w="0" w:type="auto"/>
                  <w:shd w:val="clear" w:color="auto" w:fill="auto"/>
                  <w:vAlign w:val="center"/>
                </w:tcPr>
                <w:p w14:paraId="3822F765">
                  <w:pPr>
                    <w:keepNext w:val="0"/>
                    <w:keepLines w:val="0"/>
                    <w:suppressLineNumbers w:val="0"/>
                    <w:wordWrap w:val="0"/>
                    <w:topLinePunct/>
                    <w:spacing w:before="0" w:beforeAutospacing="0" w:after="0" w:afterAutospacing="0" w:line="240" w:lineRule="auto"/>
                    <w:ind w:left="0" w:leftChars="0" w:right="0" w:rightChars="0"/>
                    <w:jc w:val="center"/>
                    <w:rPr>
                      <w:rFonts w:hint="default"/>
                      <w:color w:val="auto"/>
                      <w:u w:val="none" w:color="auto"/>
                      <w:lang w:val="en-US" w:eastAsia="zh-CN"/>
                    </w:rPr>
                  </w:pPr>
                  <w:r>
                    <w:rPr>
                      <w:rFonts w:hint="eastAsia" w:eastAsia="宋体" w:cs="Times New Roman"/>
                      <w:b w:val="0"/>
                      <w:bCs/>
                      <w:snapToGrid w:val="0"/>
                      <w:color w:val="auto"/>
                      <w:spacing w:val="4"/>
                      <w:sz w:val="21"/>
                      <w:szCs w:val="21"/>
                      <w:u w:val="none" w:color="auto"/>
                      <w:lang w:val="en-US" w:eastAsia="zh-CN"/>
                    </w:rPr>
                    <w:t>SS、COD</w:t>
                  </w:r>
                </w:p>
              </w:tc>
            </w:tr>
            <w:tr w14:paraId="6DAE62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restart"/>
                  <w:shd w:val="clear" w:color="auto" w:fill="auto"/>
                  <w:vAlign w:val="center"/>
                </w:tcPr>
                <w:p w14:paraId="50AC3D29">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kern w:val="2"/>
                      <w:sz w:val="21"/>
                      <w:szCs w:val="21"/>
                      <w:u w:val="none" w:color="auto"/>
                      <w:lang w:val="en-US" w:eastAsia="zh-CN" w:bidi="ar-SA"/>
                    </w:rPr>
                    <w:t>固废</w:t>
                  </w:r>
                </w:p>
              </w:tc>
              <w:tc>
                <w:tcPr>
                  <w:tcW w:w="1915" w:type="dxa"/>
                  <w:shd w:val="clear" w:color="auto" w:fill="auto"/>
                  <w:vAlign w:val="center"/>
                </w:tcPr>
                <w:p w14:paraId="2E818E6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风扇风罩下料切割</w:t>
                  </w:r>
                </w:p>
              </w:tc>
              <w:tc>
                <w:tcPr>
                  <w:tcW w:w="3929" w:type="dxa"/>
                  <w:shd w:val="clear" w:color="auto" w:fill="auto"/>
                  <w:vAlign w:val="center"/>
                </w:tcPr>
                <w:p w14:paraId="3DB882CF">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金属边角料</w:t>
                  </w:r>
                </w:p>
              </w:tc>
            </w:tr>
            <w:tr w14:paraId="630E0A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1A0CBEB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1915" w:type="dxa"/>
                  <w:shd w:val="clear" w:color="auto" w:fill="auto"/>
                  <w:vAlign w:val="center"/>
                </w:tcPr>
                <w:p w14:paraId="4EB3E86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风扇风罩</w:t>
                  </w:r>
                  <w:r>
                    <w:rPr>
                      <w:rFonts w:hint="eastAsia" w:eastAsia="宋体" w:cs="Times New Roman"/>
                      <w:b w:val="0"/>
                      <w:bCs/>
                      <w:snapToGrid w:val="0"/>
                      <w:color w:val="auto"/>
                      <w:spacing w:val="4"/>
                      <w:sz w:val="21"/>
                      <w:szCs w:val="21"/>
                      <w:u w:val="none" w:color="auto"/>
                      <w:lang w:val="en-US" w:eastAsia="zh-CN"/>
                    </w:rPr>
                    <w:t>焊接</w:t>
                  </w:r>
                </w:p>
              </w:tc>
              <w:tc>
                <w:tcPr>
                  <w:tcW w:w="3929" w:type="dxa"/>
                  <w:shd w:val="clear" w:color="auto" w:fill="auto"/>
                  <w:vAlign w:val="center"/>
                </w:tcPr>
                <w:p w14:paraId="6D1498AD">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废焊丝</w:t>
                  </w:r>
                  <w:r>
                    <w:rPr>
                      <w:rFonts w:hint="eastAsia" w:cs="Times New Roman"/>
                      <w:b w:val="0"/>
                      <w:bCs/>
                      <w:snapToGrid w:val="0"/>
                      <w:color w:val="auto"/>
                      <w:spacing w:val="4"/>
                      <w:sz w:val="21"/>
                      <w:szCs w:val="21"/>
                      <w:u w:val="none" w:color="auto"/>
                      <w:lang w:val="en-US" w:eastAsia="zh-CN"/>
                    </w:rPr>
                    <w:t>、废焊渣</w:t>
                  </w:r>
                </w:p>
              </w:tc>
            </w:tr>
            <w:tr w14:paraId="31EA2C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546D4E1B">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1915" w:type="dxa"/>
                  <w:shd w:val="clear" w:color="auto" w:fill="auto"/>
                  <w:vAlign w:val="center"/>
                </w:tcPr>
                <w:p w14:paraId="0D9772D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打孔</w:t>
                  </w:r>
                </w:p>
              </w:tc>
              <w:tc>
                <w:tcPr>
                  <w:tcW w:w="3929" w:type="dxa"/>
                  <w:shd w:val="clear" w:color="auto" w:fill="auto"/>
                  <w:vAlign w:val="center"/>
                </w:tcPr>
                <w:p w14:paraId="7D90D37C">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废橡胶边角料</w:t>
                  </w:r>
                </w:p>
              </w:tc>
            </w:tr>
            <w:tr w14:paraId="413387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39686256">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1915" w:type="dxa"/>
                  <w:shd w:val="clear" w:color="auto" w:fill="auto"/>
                  <w:vAlign w:val="center"/>
                </w:tcPr>
                <w:p w14:paraId="5458284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清洗</w:t>
                  </w:r>
                </w:p>
              </w:tc>
              <w:tc>
                <w:tcPr>
                  <w:tcW w:w="3929" w:type="dxa"/>
                  <w:shd w:val="clear" w:color="auto" w:fill="auto"/>
                  <w:vAlign w:val="center"/>
                </w:tcPr>
                <w:p w14:paraId="74A5EAD8">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废清洗抹布</w:t>
                  </w:r>
                  <w:r>
                    <w:rPr>
                      <w:rFonts w:hint="eastAsia" w:cs="Times New Roman"/>
                      <w:b w:val="0"/>
                      <w:bCs/>
                      <w:snapToGrid w:val="0"/>
                      <w:color w:val="auto"/>
                      <w:spacing w:val="4"/>
                      <w:sz w:val="21"/>
                      <w:szCs w:val="21"/>
                      <w:u w:val="none" w:color="auto"/>
                      <w:lang w:val="en-US" w:eastAsia="zh-CN"/>
                    </w:rPr>
                    <w:t>、</w:t>
                  </w:r>
                  <w:r>
                    <w:rPr>
                      <w:rFonts w:hint="eastAsia" w:eastAsia="宋体" w:cs="Times New Roman"/>
                      <w:b w:val="0"/>
                      <w:bCs/>
                      <w:snapToGrid w:val="0"/>
                      <w:color w:val="auto"/>
                      <w:spacing w:val="4"/>
                      <w:sz w:val="21"/>
                      <w:szCs w:val="21"/>
                      <w:u w:val="none" w:color="auto"/>
                      <w:lang w:val="en-US" w:eastAsia="zh-CN"/>
                    </w:rPr>
                    <w:t>废清洗剂桶</w:t>
                  </w:r>
                </w:p>
              </w:tc>
            </w:tr>
            <w:tr w14:paraId="6AF47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16DC4EBF">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1915" w:type="dxa"/>
                  <w:shd w:val="clear" w:color="auto" w:fill="auto"/>
                  <w:vAlign w:val="center"/>
                </w:tcPr>
                <w:p w14:paraId="3BFA6A3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喷漆</w:t>
                  </w:r>
                </w:p>
              </w:tc>
              <w:tc>
                <w:tcPr>
                  <w:tcW w:w="3929" w:type="dxa"/>
                  <w:shd w:val="clear" w:color="auto" w:fill="auto"/>
                  <w:vAlign w:val="center"/>
                </w:tcPr>
                <w:p w14:paraId="4B643F65">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废油漆桶、稀释剂桶、废固化剂桶</w:t>
                  </w:r>
                </w:p>
              </w:tc>
            </w:tr>
            <w:tr w14:paraId="2F5AF9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22435990">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1915" w:type="dxa"/>
                  <w:shd w:val="clear" w:color="auto" w:fill="auto"/>
                  <w:vAlign w:val="center"/>
                </w:tcPr>
                <w:p w14:paraId="61116AD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喷漆</w:t>
                  </w:r>
                </w:p>
              </w:tc>
              <w:tc>
                <w:tcPr>
                  <w:tcW w:w="3929" w:type="dxa"/>
                  <w:shd w:val="clear" w:color="auto" w:fill="auto"/>
                  <w:vAlign w:val="center"/>
                </w:tcPr>
                <w:p w14:paraId="18D72CE0">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废漆渣</w:t>
                  </w:r>
                </w:p>
              </w:tc>
            </w:tr>
            <w:tr w14:paraId="303FF4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1D9AE5A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1915" w:type="dxa"/>
                  <w:shd w:val="clear" w:color="auto" w:fill="auto"/>
                  <w:vAlign w:val="center"/>
                </w:tcPr>
                <w:p w14:paraId="52815475">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检验</w:t>
                  </w:r>
                </w:p>
              </w:tc>
              <w:tc>
                <w:tcPr>
                  <w:tcW w:w="3929" w:type="dxa"/>
                  <w:shd w:val="clear" w:color="auto" w:fill="auto"/>
                  <w:vAlign w:val="center"/>
                </w:tcPr>
                <w:p w14:paraId="51A68BE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不合格产品</w:t>
                  </w:r>
                </w:p>
              </w:tc>
            </w:tr>
            <w:tr w14:paraId="670E02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03B4763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1915" w:type="dxa"/>
                  <w:shd w:val="clear" w:color="auto" w:fill="auto"/>
                  <w:vAlign w:val="center"/>
                </w:tcPr>
                <w:p w14:paraId="3D32A2D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环保设施</w:t>
                  </w:r>
                </w:p>
              </w:tc>
              <w:tc>
                <w:tcPr>
                  <w:tcW w:w="3929" w:type="dxa"/>
                  <w:shd w:val="clear" w:color="auto" w:fill="auto"/>
                  <w:vAlign w:val="center"/>
                </w:tcPr>
                <w:p w14:paraId="414CA578">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废水帘循环水</w:t>
                  </w:r>
                </w:p>
              </w:tc>
            </w:tr>
            <w:tr w14:paraId="08E9B4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75A91A2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1915" w:type="dxa"/>
                  <w:shd w:val="clear" w:color="auto" w:fill="auto"/>
                  <w:vAlign w:val="center"/>
                </w:tcPr>
                <w:p w14:paraId="66F3C88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环保设施</w:t>
                  </w:r>
                </w:p>
              </w:tc>
              <w:tc>
                <w:tcPr>
                  <w:tcW w:w="3929" w:type="dxa"/>
                  <w:shd w:val="clear" w:color="auto" w:fill="auto"/>
                  <w:vAlign w:val="center"/>
                </w:tcPr>
                <w:p w14:paraId="24CA20D3">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废活性炭</w:t>
                  </w:r>
                  <w:r>
                    <w:rPr>
                      <w:rFonts w:hint="eastAsia" w:cs="Times New Roman"/>
                      <w:b w:val="0"/>
                      <w:bCs/>
                      <w:snapToGrid w:val="0"/>
                      <w:color w:val="auto"/>
                      <w:spacing w:val="4"/>
                      <w:sz w:val="21"/>
                      <w:szCs w:val="21"/>
                      <w:u w:val="none" w:color="auto"/>
                      <w:lang w:val="en-US" w:eastAsia="zh-CN"/>
                    </w:rPr>
                    <w:t>、废过滤棉</w:t>
                  </w:r>
                </w:p>
              </w:tc>
            </w:tr>
            <w:tr w14:paraId="7CAD4D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65CAB5C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1915" w:type="dxa"/>
                  <w:shd w:val="clear" w:color="auto" w:fill="auto"/>
                  <w:vAlign w:val="center"/>
                </w:tcPr>
                <w:p w14:paraId="38BA3FA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环保设施</w:t>
                  </w:r>
                </w:p>
              </w:tc>
              <w:tc>
                <w:tcPr>
                  <w:tcW w:w="3929" w:type="dxa"/>
                  <w:shd w:val="clear" w:color="auto" w:fill="auto"/>
                  <w:vAlign w:val="center"/>
                </w:tcPr>
                <w:p w14:paraId="394B98EB">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废催化剂</w:t>
                  </w:r>
                </w:p>
              </w:tc>
            </w:tr>
            <w:tr w14:paraId="7F34B7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5" w:type="dxa"/>
                  <w:vMerge w:val="continue"/>
                  <w:shd w:val="clear" w:color="auto" w:fill="auto"/>
                  <w:vAlign w:val="center"/>
                </w:tcPr>
                <w:p w14:paraId="0EA4A6B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p>
              </w:tc>
              <w:tc>
                <w:tcPr>
                  <w:tcW w:w="1915" w:type="dxa"/>
                  <w:shd w:val="clear" w:color="auto" w:fill="auto"/>
                  <w:vAlign w:val="center"/>
                </w:tcPr>
                <w:p w14:paraId="7C46EC5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设备维修</w:t>
                  </w:r>
                </w:p>
              </w:tc>
              <w:tc>
                <w:tcPr>
                  <w:tcW w:w="3929" w:type="dxa"/>
                  <w:shd w:val="clear" w:color="auto" w:fill="auto"/>
                  <w:vAlign w:val="center"/>
                </w:tcPr>
                <w:p w14:paraId="312AE38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废机油、废油桶</w:t>
                  </w:r>
                  <w:r>
                    <w:rPr>
                      <w:rFonts w:hint="eastAsia" w:cs="Times New Roman"/>
                      <w:b w:val="0"/>
                      <w:bCs/>
                      <w:snapToGrid w:val="0"/>
                      <w:color w:val="auto"/>
                      <w:spacing w:val="4"/>
                      <w:sz w:val="21"/>
                      <w:szCs w:val="21"/>
                      <w:u w:val="none" w:color="auto"/>
                      <w:lang w:val="en-US" w:eastAsia="zh-CN"/>
                    </w:rPr>
                    <w:t>、废抹布、废手套</w:t>
                  </w:r>
                </w:p>
              </w:tc>
            </w:tr>
          </w:tbl>
          <w:p w14:paraId="5C336151">
            <w:pPr>
              <w:keepNext w:val="0"/>
              <w:keepLines w:val="0"/>
              <w:pageBreakBefore w:val="0"/>
              <w:widowControl/>
              <w:kinsoku/>
              <w:wordWrap/>
              <w:overflowPunct/>
              <w:topLinePunct w:val="0"/>
              <w:autoSpaceDE/>
              <w:autoSpaceDN/>
              <w:bidi w:val="0"/>
              <w:adjustRightInd/>
              <w:snapToGrid w:val="0"/>
              <w:spacing w:after="120" w:line="360" w:lineRule="auto"/>
              <w:ind w:left="0" w:leftChars="0" w:right="113" w:firstLine="0" w:firstLineChars="0"/>
              <w:jc w:val="both"/>
              <w:textAlignment w:val="auto"/>
              <w:rPr>
                <w:rFonts w:hint="default" w:ascii="Times New Roman" w:hAnsi="Times New Roman" w:eastAsia="宋体" w:cs="Times New Roman"/>
                <w:i w:val="0"/>
                <w:caps w:val="0"/>
                <w:color w:val="auto"/>
                <w:spacing w:val="0"/>
                <w:kern w:val="2"/>
                <w:sz w:val="21"/>
                <w:szCs w:val="21"/>
                <w:highlight w:val="yellow"/>
                <w:u w:val="none" w:color="auto"/>
                <w:lang w:val="en-US" w:eastAsia="zh-CN" w:bidi="ar-SA"/>
              </w:rPr>
            </w:pPr>
          </w:p>
        </w:tc>
      </w:tr>
      <w:tr w14:paraId="1F582E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9" w:hRule="atLeast"/>
          <w:jc w:val="center"/>
        </w:trPr>
        <w:tc>
          <w:tcPr>
            <w:tcW w:w="823" w:type="dxa"/>
            <w:noWrap w:val="0"/>
            <w:vAlign w:val="center"/>
          </w:tcPr>
          <w:p w14:paraId="61363CB8">
            <w:pPr>
              <w:widowControl/>
              <w:adjustRightInd w:val="0"/>
              <w:snapToGrid w:val="0"/>
              <w:spacing w:before="0" w:beforeAutospacing="0" w:after="0" w:afterAutospacing="0"/>
              <w:jc w:val="center"/>
              <w:rPr>
                <w:rFonts w:hint="default" w:ascii="Times New Roman" w:hAnsi="Times New Roman" w:eastAsia="宋体" w:cs="Times New Roman"/>
                <w:color w:val="auto"/>
                <w:kern w:val="0"/>
                <w:sz w:val="21"/>
                <w:szCs w:val="21"/>
                <w:highlight w:val="yellow"/>
                <w:u w:val="none" w:color="auto"/>
                <w:lang w:val="en-US" w:eastAsia="zh-CN" w:bidi="ar-SA"/>
              </w:rPr>
            </w:pPr>
            <w:r>
              <w:rPr>
                <w:rFonts w:hint="default" w:ascii="Times New Roman" w:hAnsi="Times New Roman" w:eastAsia="宋体" w:cs="Times New Roman"/>
                <w:bCs/>
                <w:color w:val="auto"/>
                <w:kern w:val="2"/>
                <w:sz w:val="21"/>
                <w:szCs w:val="21"/>
                <w:highlight w:val="none"/>
                <w:u w:val="none" w:color="auto"/>
                <w:lang w:val="en-US" w:eastAsia="zh-CN" w:bidi="ar-SA"/>
              </w:rPr>
              <w:t>与项目有关的原有环境污染问题</w:t>
            </w:r>
          </w:p>
        </w:tc>
        <w:tc>
          <w:tcPr>
            <w:tcW w:w="8161" w:type="dxa"/>
            <w:noWrap w:val="0"/>
            <w:vAlign w:val="top"/>
          </w:tcPr>
          <w:p w14:paraId="6BB93A3F">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460" w:lineRule="exact"/>
              <w:ind w:left="0" w:right="0" w:firstLine="482" w:firstLineChars="200"/>
              <w:jc w:val="left"/>
              <w:textAlignment w:val="auto"/>
              <w:outlineLvl w:val="9"/>
              <w:rPr>
                <w:rFonts w:hint="default" w:eastAsia="宋体"/>
                <w:b/>
                <w:bCs/>
                <w:color w:val="auto"/>
                <w:sz w:val="24"/>
                <w:highlight w:val="none"/>
                <w:u w:val="single" w:color="auto"/>
                <w:lang w:val="en-US" w:eastAsia="zh-CN"/>
              </w:rPr>
            </w:pPr>
            <w:r>
              <w:rPr>
                <w:rFonts w:hint="default"/>
                <w:b/>
                <w:bCs/>
                <w:color w:val="auto"/>
                <w:sz w:val="24"/>
                <w:highlight w:val="none"/>
                <w:u w:val="single" w:color="auto"/>
              </w:rPr>
              <w:t>一、</w:t>
            </w:r>
            <w:r>
              <w:rPr>
                <w:rFonts w:hint="eastAsia" w:ascii="Calibri" w:eastAsia="宋体"/>
                <w:b/>
                <w:bCs/>
                <w:color w:val="auto"/>
                <w:sz w:val="24"/>
                <w:highlight w:val="none"/>
                <w:u w:val="single" w:color="auto"/>
                <w:lang w:val="en-US" w:eastAsia="zh-CN"/>
              </w:rPr>
              <w:t>生产厂区</w:t>
            </w:r>
            <w:r>
              <w:rPr>
                <w:rFonts w:hint="default"/>
                <w:b/>
                <w:bCs/>
                <w:color w:val="auto"/>
                <w:sz w:val="24"/>
                <w:highlight w:val="none"/>
                <w:u w:val="single" w:color="auto"/>
              </w:rPr>
              <w:t>与本项目有关的原有污染源情况</w:t>
            </w:r>
            <w:r>
              <w:rPr>
                <w:rFonts w:hint="eastAsia" w:ascii="Calibri" w:eastAsia="宋体"/>
                <w:b/>
                <w:bCs/>
                <w:color w:val="auto"/>
                <w:sz w:val="24"/>
                <w:highlight w:val="none"/>
                <w:u w:val="single" w:color="auto"/>
                <w:lang w:val="en-US" w:eastAsia="zh-CN"/>
              </w:rPr>
              <w:t>及主要环境问题</w:t>
            </w:r>
          </w:p>
          <w:p w14:paraId="237AD3B1">
            <w:pPr>
              <w:keepNext w:val="0"/>
              <w:keepLines w:val="0"/>
              <w:pageBreakBefore w:val="0"/>
              <w:widowControl w:val="0"/>
              <w:suppressLineNumbers w:val="0"/>
              <w:kinsoku/>
              <w:wordWrap/>
              <w:overflowPunct/>
              <w:topLinePunct w:val="0"/>
              <w:autoSpaceDE/>
              <w:autoSpaceDN/>
              <w:bidi w:val="0"/>
              <w:spacing w:before="0" w:beforeAutospacing="0" w:after="0" w:afterAutospacing="0" w:line="460" w:lineRule="exact"/>
              <w:ind w:left="0" w:right="0" w:firstLine="504" w:firstLineChars="200"/>
              <w:jc w:val="left"/>
              <w:textAlignment w:val="auto"/>
              <w:outlineLvl w:val="9"/>
              <w:rPr>
                <w:rFonts w:hint="default"/>
                <w:u w:val="none" w:color="auto"/>
                <w:lang w:val="en-US" w:eastAsia="zh-CN"/>
              </w:rPr>
            </w:pPr>
            <w:r>
              <w:rPr>
                <w:rFonts w:hint="default" w:ascii="Times New Roman" w:hAnsi="Times New Roman" w:cs="Times New Roman"/>
                <w:bCs/>
                <w:color w:val="auto"/>
                <w:spacing w:val="6"/>
                <w:sz w:val="24"/>
                <w:highlight w:val="none"/>
                <w:u w:val="single" w:color="auto"/>
                <w:lang w:val="en-US" w:eastAsia="zh-CN"/>
              </w:rPr>
              <w:t>本项目</w:t>
            </w:r>
            <w:r>
              <w:rPr>
                <w:rFonts w:hint="eastAsia" w:ascii="Times New Roman" w:hAnsi="Times New Roman" w:cs="Times New Roman"/>
                <w:bCs/>
                <w:color w:val="auto"/>
                <w:spacing w:val="6"/>
                <w:sz w:val="24"/>
                <w:highlight w:val="none"/>
                <w:u w:val="single" w:color="auto"/>
                <w:lang w:val="en-US" w:eastAsia="zh-CN"/>
              </w:rPr>
              <w:t>为</w:t>
            </w:r>
            <w:r>
              <w:rPr>
                <w:rFonts w:hint="eastAsia" w:cs="Times New Roman"/>
                <w:bCs/>
                <w:color w:val="auto"/>
                <w:spacing w:val="6"/>
                <w:sz w:val="24"/>
                <w:highlight w:val="none"/>
                <w:u w:val="single" w:color="auto"/>
                <w:lang w:val="en-US" w:eastAsia="zh-CN"/>
              </w:rPr>
              <w:t>新建</w:t>
            </w:r>
            <w:r>
              <w:rPr>
                <w:rFonts w:hint="eastAsia" w:ascii="Times New Roman" w:hAnsi="Times New Roman" w:cs="Times New Roman"/>
                <w:bCs/>
                <w:color w:val="auto"/>
                <w:spacing w:val="6"/>
                <w:sz w:val="24"/>
                <w:highlight w:val="none"/>
                <w:u w:val="single" w:color="auto"/>
                <w:lang w:val="en-US" w:eastAsia="zh-CN"/>
              </w:rPr>
              <w:t>项目，</w:t>
            </w:r>
            <w:r>
              <w:rPr>
                <w:rFonts w:hint="default" w:ascii="Times New Roman" w:hAnsi="Times New Roman" w:eastAsia="宋体" w:cs="Times New Roman"/>
                <w:bCs/>
                <w:color w:val="auto"/>
                <w:sz w:val="24"/>
                <w:szCs w:val="24"/>
                <w:highlight w:val="none"/>
                <w:u w:val="single" w:color="auto"/>
                <w:lang w:val="en-US" w:eastAsia="zh-CN"/>
              </w:rPr>
              <w:t>拟</w:t>
            </w:r>
            <w:r>
              <w:rPr>
                <w:rFonts w:hint="eastAsia" w:ascii="Times New Roman" w:hAnsi="Times New Roman" w:eastAsia="宋体" w:cs="Times New Roman"/>
                <w:bCs/>
                <w:color w:val="auto"/>
                <w:sz w:val="24"/>
                <w:szCs w:val="24"/>
                <w:highlight w:val="none"/>
                <w:u w:val="single" w:color="auto"/>
                <w:lang w:val="en-US" w:eastAsia="zh-CN"/>
              </w:rPr>
              <w:t>租赁湖南涟湘河食品有限公司湘潭县易俗河镇飞龙村龙大组</w:t>
            </w:r>
            <w:r>
              <w:rPr>
                <w:rFonts w:hint="default" w:ascii="Times New Roman" w:hAnsi="Times New Roman" w:eastAsia="宋体" w:cs="Times New Roman"/>
                <w:bCs/>
                <w:color w:val="auto"/>
                <w:sz w:val="24"/>
                <w:szCs w:val="24"/>
                <w:highlight w:val="none"/>
                <w:u w:val="single" w:color="auto"/>
                <w:lang w:val="en-US" w:eastAsia="zh-CN"/>
              </w:rPr>
              <w:t>现有厂区</w:t>
            </w:r>
            <w:r>
              <w:rPr>
                <w:rFonts w:hint="eastAsia" w:eastAsia="宋体"/>
                <w:color w:val="auto"/>
                <w:sz w:val="24"/>
                <w:szCs w:val="24"/>
                <w:highlight w:val="none"/>
                <w:u w:val="single" w:color="auto"/>
                <w:lang w:eastAsia="zh-CN"/>
              </w:rPr>
              <w:t>。</w:t>
            </w:r>
            <w:r>
              <w:rPr>
                <w:rFonts w:hint="eastAsia" w:ascii="Times New Roman" w:hAnsi="Times New Roman" w:eastAsia="宋体" w:cs="Times New Roman"/>
                <w:bCs/>
                <w:color w:val="auto"/>
                <w:sz w:val="24"/>
                <w:szCs w:val="24"/>
                <w:highlight w:val="none"/>
                <w:u w:val="single" w:color="auto"/>
                <w:lang w:val="en-US" w:eastAsia="zh-CN"/>
              </w:rPr>
              <w:t>湖南涟湘河食品有限公司已于2013年停产，</w:t>
            </w:r>
            <w:r>
              <w:rPr>
                <w:rFonts w:hint="eastAsia" w:ascii="Times New Roman" w:hAnsi="Times New Roman" w:cs="Times New Roman"/>
                <w:bCs/>
                <w:color w:val="auto"/>
                <w:spacing w:val="6"/>
                <w:sz w:val="24"/>
                <w:highlight w:val="none"/>
                <w:u w:val="single" w:color="auto"/>
                <w:lang w:val="en-US" w:eastAsia="zh-CN"/>
              </w:rPr>
              <w:t>经现场踏勘</w:t>
            </w:r>
            <w:r>
              <w:rPr>
                <w:rFonts w:hint="default" w:ascii="Times New Roman" w:hAnsi="Times New Roman" w:cs="Times New Roman"/>
                <w:bCs/>
                <w:color w:val="auto"/>
                <w:spacing w:val="6"/>
                <w:sz w:val="24"/>
                <w:highlight w:val="none"/>
                <w:u w:val="single" w:color="auto"/>
                <w:lang w:val="en-US" w:eastAsia="zh-CN"/>
              </w:rPr>
              <w:t>，项目</w:t>
            </w:r>
            <w:r>
              <w:rPr>
                <w:rFonts w:hint="eastAsia" w:ascii="Times New Roman" w:hAnsi="Times New Roman" w:cs="Times New Roman"/>
                <w:bCs/>
                <w:color w:val="auto"/>
                <w:spacing w:val="6"/>
                <w:sz w:val="24"/>
                <w:highlight w:val="none"/>
                <w:u w:val="single" w:color="auto"/>
                <w:lang w:val="en-US" w:eastAsia="zh-CN"/>
              </w:rPr>
              <w:t>厂房原有生产设备已拆除清运</w:t>
            </w:r>
            <w:r>
              <w:rPr>
                <w:rFonts w:hint="eastAsia" w:eastAsia="宋体" w:cs="Times New Roman"/>
                <w:bCs/>
                <w:color w:val="auto"/>
                <w:spacing w:val="6"/>
                <w:sz w:val="24"/>
                <w:highlight w:val="none"/>
                <w:u w:val="single" w:color="auto"/>
                <w:lang w:val="en-US" w:eastAsia="zh-CN"/>
              </w:rPr>
              <w:t>，</w:t>
            </w:r>
            <w:r>
              <w:rPr>
                <w:rFonts w:hint="eastAsia" w:cs="Times New Roman"/>
                <w:bCs/>
                <w:color w:val="auto"/>
                <w:spacing w:val="6"/>
                <w:sz w:val="24"/>
                <w:highlight w:val="none"/>
                <w:u w:val="single" w:color="auto"/>
                <w:lang w:val="en-US" w:eastAsia="zh-CN"/>
              </w:rPr>
              <w:t>无遗留环境问题。现场勘查时，</w:t>
            </w:r>
            <w:r>
              <w:rPr>
                <w:rFonts w:hint="eastAsia" w:eastAsia="宋体" w:cs="Times New Roman"/>
                <w:bCs/>
                <w:color w:val="auto"/>
                <w:spacing w:val="6"/>
                <w:sz w:val="24"/>
                <w:highlight w:val="none"/>
                <w:u w:val="single" w:color="auto"/>
                <w:lang w:val="en-US" w:eastAsia="zh-CN"/>
              </w:rPr>
              <w:t>厂房无物料堆存，厂房处于空置状态，</w:t>
            </w:r>
            <w:r>
              <w:rPr>
                <w:rFonts w:hint="eastAsia" w:ascii="Times New Roman" w:hAnsi="Times New Roman" w:cs="Times New Roman"/>
                <w:bCs/>
                <w:color w:val="auto"/>
                <w:spacing w:val="6"/>
                <w:sz w:val="24"/>
                <w:highlight w:val="none"/>
                <w:u w:val="single" w:color="auto"/>
                <w:lang w:val="en-US" w:eastAsia="zh-CN"/>
              </w:rPr>
              <w:t>无</w:t>
            </w:r>
            <w:r>
              <w:rPr>
                <w:rFonts w:hint="default" w:ascii="Times New Roman" w:hAnsi="Times New Roman" w:cs="Times New Roman"/>
                <w:bCs/>
                <w:color w:val="auto"/>
                <w:spacing w:val="6"/>
                <w:sz w:val="24"/>
                <w:highlight w:val="none"/>
                <w:u w:val="single" w:color="auto"/>
                <w:lang w:val="en-US" w:eastAsia="zh-CN"/>
              </w:rPr>
              <w:t>与本项目有关的原有污染源。</w:t>
            </w:r>
          </w:p>
        </w:tc>
      </w:tr>
    </w:tbl>
    <w:p w14:paraId="4E7CBA66">
      <w:pPr>
        <w:jc w:val="center"/>
        <w:rPr>
          <w:rFonts w:hint="default" w:ascii="Times New Roman" w:hAnsi="Times New Roman" w:eastAsia="宋体" w:cs="Times New Roman"/>
          <w:snapToGrid w:val="0"/>
          <w:color w:val="auto"/>
          <w:kern w:val="0"/>
          <w:sz w:val="30"/>
          <w:szCs w:val="30"/>
          <w:highlight w:val="none"/>
          <w:lang w:val="en-US" w:eastAsia="zh-CN" w:bidi="ar-SA"/>
        </w:rPr>
      </w:pPr>
      <w:bookmarkStart w:id="10" w:name="_Toc11500"/>
      <w:bookmarkStart w:id="11" w:name="_Toc11317"/>
      <w:bookmarkStart w:id="12" w:name="_Toc23002"/>
    </w:p>
    <w:p w14:paraId="104D893F">
      <w:pPr>
        <w:widowControl/>
        <w:spacing w:before="100" w:beforeAutospacing="1" w:after="100" w:afterAutospacing="1"/>
        <w:ind w:firstLine="600" w:firstLineChars="200"/>
        <w:jc w:val="both"/>
        <w:outlineLvl w:val="0"/>
        <w:rPr>
          <w:rFonts w:hint="default" w:ascii="Times New Roman" w:hAnsi="Times New Roman" w:eastAsia="宋体" w:cs="Times New Roman"/>
          <w:snapToGrid w:val="0"/>
          <w:color w:val="auto"/>
          <w:kern w:val="0"/>
          <w:sz w:val="30"/>
          <w:szCs w:val="30"/>
          <w:highlight w:val="none"/>
          <w:lang w:val="en-US" w:eastAsia="zh-CN" w:bidi="ar-SA"/>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750E1F6F">
      <w:pPr>
        <w:widowControl/>
        <w:spacing w:before="100" w:beforeAutospacing="1" w:after="100" w:afterAutospacing="1"/>
        <w:ind w:firstLine="600" w:firstLineChars="200"/>
        <w:jc w:val="center"/>
        <w:outlineLvl w:val="0"/>
        <w:rPr>
          <w:rFonts w:hint="default" w:ascii="Times New Roman" w:hAnsi="Times New Roman" w:eastAsia="宋体" w:cs="Times New Roman"/>
          <w:snapToGrid w:val="0"/>
          <w:color w:val="auto"/>
          <w:kern w:val="0"/>
          <w:sz w:val="30"/>
          <w:szCs w:val="30"/>
          <w:highlight w:val="none"/>
          <w:lang w:val="en-US" w:eastAsia="zh-CN" w:bidi="ar-SA"/>
        </w:rPr>
      </w:pPr>
      <w:r>
        <w:rPr>
          <w:rFonts w:hint="default" w:ascii="Times New Roman" w:hAnsi="Times New Roman" w:eastAsia="宋体" w:cs="Times New Roman"/>
          <w:snapToGrid w:val="0"/>
          <w:color w:val="auto"/>
          <w:kern w:val="0"/>
          <w:sz w:val="30"/>
          <w:szCs w:val="30"/>
          <w:highlight w:val="none"/>
          <w:lang w:val="en-US" w:eastAsia="zh-CN" w:bidi="ar-SA"/>
        </w:rPr>
        <w:t>三、区域环境质量现状、环境保护目标及评价标准</w:t>
      </w:r>
    </w:p>
    <w:tbl>
      <w:tblPr>
        <w:tblStyle w:val="31"/>
        <w:tblW w:w="9099"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9"/>
        <w:gridCol w:w="8380"/>
      </w:tblGrid>
      <w:tr w14:paraId="4822AC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68" w:hRule="atLeast"/>
        </w:trPr>
        <w:tc>
          <w:tcPr>
            <w:tcW w:w="719" w:type="dxa"/>
            <w:noWrap w:val="0"/>
            <w:vAlign w:val="center"/>
          </w:tcPr>
          <w:p w14:paraId="72E509A9">
            <w:pPr>
              <w:adjustRightInd w:val="0"/>
              <w:snapToGrid w:val="0"/>
              <w:jc w:val="center"/>
              <w:rPr>
                <w:rFonts w:hint="default" w:ascii="Times New Roman" w:hAnsi="Times New Roman" w:eastAsia="宋体" w:cs="Times New Roman"/>
                <w:color w:val="auto"/>
                <w:kern w:val="0"/>
                <w:sz w:val="21"/>
                <w:szCs w:val="21"/>
                <w:highlight w:val="yellow"/>
                <w:u w:val="none" w:color="auto"/>
              </w:rPr>
            </w:pPr>
            <w:r>
              <w:rPr>
                <w:rFonts w:hint="default" w:ascii="Times New Roman" w:hAnsi="Times New Roman" w:eastAsia="宋体" w:cs="Times New Roman"/>
                <w:color w:val="auto"/>
                <w:kern w:val="0"/>
                <w:sz w:val="21"/>
                <w:szCs w:val="21"/>
                <w:highlight w:val="none"/>
                <w:u w:val="none" w:color="auto"/>
              </w:rPr>
              <w:t>区域环境质量现状</w:t>
            </w:r>
          </w:p>
        </w:tc>
        <w:tc>
          <w:tcPr>
            <w:tcW w:w="8380" w:type="dxa"/>
            <w:noWrap w:val="0"/>
            <w:vAlign w:val="center"/>
          </w:tcPr>
          <w:p w14:paraId="51DA054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3.1</w:t>
            </w:r>
            <w:r>
              <w:rPr>
                <w:rFonts w:hint="default" w:ascii="Times New Roman" w:hAnsi="Times New Roman" w:eastAsia="宋体" w:cs="Times New Roman"/>
                <w:b/>
                <w:bCs/>
                <w:color w:val="auto"/>
                <w:sz w:val="24"/>
                <w:szCs w:val="24"/>
                <w:highlight w:val="none"/>
                <w:u w:val="none" w:color="auto"/>
                <w:lang w:val="en-US" w:eastAsia="zh-CN"/>
              </w:rPr>
              <w:t>大气环境</w:t>
            </w:r>
          </w:p>
          <w:p w14:paraId="7A7E584B">
            <w:pPr>
              <w:keepNext w:val="0"/>
              <w:keepLines w:val="0"/>
              <w:pageBreakBefore w:val="0"/>
              <w:widowControl w:val="0"/>
              <w:kinsoku/>
              <w:wordWrap/>
              <w:overflowPunct/>
              <w:topLinePunct w:val="0"/>
              <w:autoSpaceDE/>
              <w:autoSpaceDN/>
              <w:bidi w:val="0"/>
              <w:adjustRightInd w:val="0"/>
              <w:snapToGrid w:val="0"/>
              <w:spacing w:line="420" w:lineRule="exact"/>
              <w:ind w:firstLine="482" w:firstLineChars="200"/>
              <w:jc w:val="left"/>
              <w:textAlignment w:val="auto"/>
              <w:outlineLvl w:val="9"/>
              <w:rPr>
                <w:rFonts w:hint="default" w:eastAsia="宋体"/>
                <w:b/>
                <w:bCs/>
                <w:color w:val="auto"/>
                <w:sz w:val="24"/>
                <w:szCs w:val="24"/>
                <w:highlight w:val="none"/>
                <w:u w:val="none" w:color="auto"/>
                <w:lang w:val="en-US" w:eastAsia="zh-CN"/>
              </w:rPr>
            </w:pPr>
            <w:r>
              <w:rPr>
                <w:rFonts w:hint="eastAsia" w:ascii="Calibri" w:eastAsia="宋体"/>
                <w:b/>
                <w:bCs/>
                <w:color w:val="auto"/>
                <w:sz w:val="24"/>
                <w:szCs w:val="24"/>
                <w:highlight w:val="none"/>
                <w:u w:val="none" w:color="auto"/>
                <w:lang w:val="en-US" w:eastAsia="zh-CN"/>
              </w:rPr>
              <w:t>1、基本污染物</w:t>
            </w:r>
          </w:p>
          <w:p w14:paraId="3EDB0EEF">
            <w:pPr>
              <w:widowControl w:val="0"/>
              <w:spacing w:before="0" w:after="0" w:line="360" w:lineRule="auto"/>
              <w:ind w:firstLine="480" w:firstLineChars="200"/>
              <w:jc w:val="both"/>
              <w:rPr>
                <w:rFonts w:hint="default" w:ascii="Times New Roman" w:hAnsi="Times New Roman" w:eastAsia="宋体" w:cs="Times New Roman"/>
                <w:color w:val="auto"/>
                <w:kern w:val="0"/>
                <w:sz w:val="24"/>
                <w:szCs w:val="24"/>
                <w:u w:val="single" w:color="auto"/>
                <w:lang w:val="en-US" w:eastAsia="zh-CN" w:bidi="ar-SA"/>
              </w:rPr>
            </w:pPr>
            <w:r>
              <w:rPr>
                <w:rFonts w:hint="default" w:ascii="Times New Roman" w:hAnsi="Times New Roman" w:eastAsia="宋体" w:cs="Times New Roman"/>
                <w:color w:val="auto"/>
                <w:kern w:val="0"/>
                <w:sz w:val="24"/>
                <w:szCs w:val="24"/>
                <w:u w:val="none" w:color="auto"/>
                <w:lang w:val="en-US" w:eastAsia="zh-CN" w:bidi="ar-SA"/>
              </w:rPr>
              <w:t>根据《建设项目环境影响报告表编制技术指南》（污染影响类）（试行）：</w:t>
            </w:r>
            <w:r>
              <w:rPr>
                <w:rFonts w:hint="eastAsia" w:ascii="Times New Roman" w:hAnsi="Times New Roman" w:eastAsia="宋体" w:cs="Times New Roman"/>
                <w:color w:val="auto"/>
                <w:kern w:val="0"/>
                <w:sz w:val="24"/>
                <w:szCs w:val="24"/>
                <w:u w:val="none" w:color="auto"/>
                <w:lang w:val="en-US" w:eastAsia="zh-CN" w:bidi="ar-SA"/>
              </w:rPr>
              <w:t>“</w:t>
            </w:r>
            <w:r>
              <w:rPr>
                <w:rFonts w:hint="default" w:ascii="Times New Roman" w:hAnsi="Times New Roman" w:eastAsia="宋体" w:cs="Times New Roman"/>
                <w:color w:val="auto"/>
                <w:kern w:val="0"/>
                <w:sz w:val="24"/>
                <w:szCs w:val="24"/>
                <w:u w:val="none" w:color="auto"/>
                <w:lang w:val="en-US" w:eastAsia="zh-CN" w:bidi="ar-SA"/>
              </w:rPr>
              <w:t>常规污染物引用与建设项目距离近的有效数据，包括近3年的规划环境影响评价的监测数据，国家、地方环境空气质量监测网数据或生态环境主管部门公开发布的质量数据等</w:t>
            </w:r>
            <w:r>
              <w:rPr>
                <w:rFonts w:hint="eastAsia" w:ascii="Times New Roman" w:hAnsi="Times New Roman" w:eastAsia="宋体" w:cs="Times New Roman"/>
                <w:color w:val="auto"/>
                <w:kern w:val="0"/>
                <w:sz w:val="24"/>
                <w:szCs w:val="24"/>
                <w:u w:val="none" w:color="auto"/>
                <w:lang w:val="en-US" w:eastAsia="zh-CN" w:bidi="ar-SA"/>
              </w:rPr>
              <w:t>”</w:t>
            </w:r>
            <w:r>
              <w:rPr>
                <w:rFonts w:hint="default" w:ascii="Times New Roman" w:hAnsi="Times New Roman" w:eastAsia="宋体" w:cs="Times New Roman"/>
                <w:color w:val="auto"/>
                <w:kern w:val="0"/>
                <w:sz w:val="24"/>
                <w:szCs w:val="24"/>
                <w:u w:val="none" w:color="auto"/>
                <w:lang w:val="en-US" w:eastAsia="zh-CN" w:bidi="ar-SA"/>
              </w:rPr>
              <w:t>，本项目引用数据可行。</w:t>
            </w:r>
            <w:r>
              <w:rPr>
                <w:rFonts w:hint="default" w:ascii="Times New Roman" w:hAnsi="Times New Roman" w:eastAsia="宋体" w:cs="Times New Roman"/>
                <w:color w:val="auto"/>
                <w:kern w:val="0"/>
                <w:sz w:val="24"/>
                <w:szCs w:val="24"/>
                <w:u w:val="single" w:color="auto"/>
                <w:lang w:val="en-US" w:eastAsia="zh-CN" w:bidi="ar-SA"/>
              </w:rPr>
              <w:t>本项目位于</w:t>
            </w:r>
            <w:r>
              <w:rPr>
                <w:rFonts w:hint="eastAsia" w:cs="Times New Roman"/>
                <w:color w:val="auto"/>
                <w:kern w:val="0"/>
                <w:sz w:val="24"/>
                <w:szCs w:val="24"/>
                <w:u w:val="single" w:color="auto"/>
                <w:lang w:val="en-US" w:eastAsia="zh-CN" w:bidi="ar-SA"/>
              </w:rPr>
              <w:t>湘潭县易俗河镇飞龙村龙大组</w:t>
            </w:r>
            <w:r>
              <w:rPr>
                <w:rFonts w:hint="default" w:ascii="Times New Roman" w:hAnsi="Times New Roman" w:eastAsia="宋体" w:cs="Times New Roman"/>
                <w:color w:val="auto"/>
                <w:kern w:val="0"/>
                <w:sz w:val="24"/>
                <w:szCs w:val="24"/>
                <w:u w:val="single" w:color="auto"/>
                <w:lang w:val="en-US" w:eastAsia="zh-CN" w:bidi="ar-SA"/>
              </w:rPr>
              <w:t>，为了解项目所在区域环境空气质量现状，本评价收集了湘潭县202</w:t>
            </w:r>
            <w:r>
              <w:rPr>
                <w:rFonts w:hint="eastAsia" w:cs="Times New Roman"/>
                <w:color w:val="auto"/>
                <w:kern w:val="0"/>
                <w:sz w:val="24"/>
                <w:szCs w:val="24"/>
                <w:u w:val="single" w:color="auto"/>
                <w:lang w:val="en-US" w:eastAsia="zh-CN" w:bidi="ar-SA"/>
              </w:rPr>
              <w:t>4</w:t>
            </w:r>
            <w:r>
              <w:rPr>
                <w:rFonts w:hint="default" w:ascii="Times New Roman" w:hAnsi="Times New Roman" w:eastAsia="宋体" w:cs="Times New Roman"/>
                <w:color w:val="auto"/>
                <w:kern w:val="0"/>
                <w:sz w:val="24"/>
                <w:szCs w:val="24"/>
                <w:u w:val="single" w:color="auto"/>
                <w:lang w:val="en-US" w:eastAsia="zh-CN" w:bidi="ar-SA"/>
              </w:rPr>
              <w:t>年环境空气监测数据（湘潭县环境监测站监测），并对湘潭县例行监测数据进行统计分析，具体见表3-1：</w:t>
            </w:r>
          </w:p>
          <w:p w14:paraId="5CC58BA6">
            <w:pPr>
              <w:pBdr>
                <w:top w:val="none" w:color="auto" w:sz="0" w:space="1"/>
                <w:left w:val="none" w:color="auto" w:sz="0" w:space="4"/>
                <w:bottom w:val="none" w:color="auto" w:sz="0" w:space="1"/>
                <w:right w:val="none" w:color="auto" w:sz="0" w:space="4"/>
                <w:between w:val="none" w:color="auto" w:sz="0" w:space="0"/>
              </w:pBdr>
              <w:spacing w:before="0" w:beforeLines="0" w:line="240" w:lineRule="auto"/>
              <w:ind w:firstLine="0" w:firstLineChars="0"/>
              <w:jc w:val="center"/>
              <w:outlineLvl w:val="9"/>
              <w:rPr>
                <w:rFonts w:hint="default" w:ascii="Times New Roman" w:hAnsi="Times New Roman" w:eastAsia="宋体" w:cs="Times New Roman"/>
                <w:b/>
                <w:bCs/>
                <w:color w:val="auto"/>
                <w:sz w:val="21"/>
                <w:szCs w:val="21"/>
                <w:highlight w:val="none"/>
                <w:u w:val="single" w:color="auto"/>
                <w:lang w:val="en-US" w:eastAsia="zh-CN"/>
              </w:rPr>
            </w:pPr>
            <w:r>
              <w:rPr>
                <w:rFonts w:hint="default" w:ascii="Times New Roman" w:hAnsi="Times New Roman" w:eastAsia="宋体" w:cs="Times New Roman"/>
                <w:b/>
                <w:bCs/>
                <w:color w:val="auto"/>
                <w:sz w:val="21"/>
                <w:szCs w:val="21"/>
                <w:highlight w:val="none"/>
                <w:u w:val="single" w:color="auto"/>
                <w:lang w:val="en-US" w:eastAsia="zh-CN"/>
              </w:rPr>
              <w:t>表3-1  湘潭县202</w:t>
            </w:r>
            <w:r>
              <w:rPr>
                <w:rFonts w:hint="eastAsia" w:cs="Times New Roman"/>
                <w:b/>
                <w:bCs/>
                <w:color w:val="auto"/>
                <w:sz w:val="21"/>
                <w:szCs w:val="21"/>
                <w:highlight w:val="none"/>
                <w:u w:val="single" w:color="auto"/>
                <w:lang w:val="en-US" w:eastAsia="zh-CN"/>
              </w:rPr>
              <w:t>4</w:t>
            </w:r>
            <w:r>
              <w:rPr>
                <w:rFonts w:hint="default" w:ascii="Times New Roman" w:hAnsi="Times New Roman" w:eastAsia="宋体" w:cs="Times New Roman"/>
                <w:b/>
                <w:bCs/>
                <w:color w:val="auto"/>
                <w:sz w:val="21"/>
                <w:szCs w:val="21"/>
                <w:highlight w:val="none"/>
                <w:u w:val="single" w:color="auto"/>
                <w:lang w:val="en-US" w:eastAsia="zh-CN"/>
              </w:rPr>
              <w:t>年大气常规监测点数据统计情况</w:t>
            </w:r>
          </w:p>
          <w:tbl>
            <w:tblPr>
              <w:tblStyle w:val="3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101"/>
              <w:gridCol w:w="1212"/>
              <w:gridCol w:w="1354"/>
              <w:gridCol w:w="795"/>
              <w:gridCol w:w="869"/>
            </w:tblGrid>
            <w:tr w14:paraId="25236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500" w:type="pct"/>
                  <w:tcBorders>
                    <w:tl2br w:val="nil"/>
                    <w:tr2bl w:val="nil"/>
                  </w:tcBorders>
                  <w:noWrap w:val="0"/>
                  <w:vAlign w:val="center"/>
                </w:tcPr>
                <w:p w14:paraId="5581A7BC">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污染物</w:t>
                  </w:r>
                </w:p>
              </w:tc>
              <w:tc>
                <w:tcPr>
                  <w:tcW w:w="1903" w:type="pct"/>
                  <w:tcBorders>
                    <w:tl2br w:val="nil"/>
                    <w:tr2bl w:val="nil"/>
                  </w:tcBorders>
                  <w:noWrap w:val="0"/>
                  <w:vAlign w:val="center"/>
                </w:tcPr>
                <w:p w14:paraId="2E53342F">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年评价指标</w:t>
                  </w:r>
                </w:p>
              </w:tc>
              <w:tc>
                <w:tcPr>
                  <w:tcW w:w="743" w:type="pct"/>
                  <w:tcBorders>
                    <w:tl2br w:val="nil"/>
                    <w:tr2bl w:val="nil"/>
                  </w:tcBorders>
                  <w:noWrap w:val="0"/>
                  <w:vAlign w:val="center"/>
                </w:tcPr>
                <w:p w14:paraId="54242297">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现状浓度</w:t>
                  </w:r>
                </w:p>
                <w:p w14:paraId="4114C56E">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（μg/m</w:t>
                  </w:r>
                  <w:r>
                    <w:rPr>
                      <w:rFonts w:hint="eastAsia" w:ascii="Times New Roman" w:hAnsi="Times New Roman" w:eastAsia="宋体" w:cs="Times New Roman"/>
                      <w:color w:val="auto"/>
                      <w:szCs w:val="21"/>
                      <w:u w:val="single" w:color="auto"/>
                      <w:vertAlign w:val="superscript"/>
                      <w:lang w:val="en-US" w:eastAsia="zh-CN"/>
                    </w:rPr>
                    <w:t>3</w:t>
                  </w:r>
                  <w:r>
                    <w:rPr>
                      <w:rFonts w:hint="default" w:ascii="Times New Roman" w:hAnsi="Times New Roman" w:eastAsia="宋体" w:cs="Times New Roman"/>
                      <w:color w:val="auto"/>
                      <w:szCs w:val="21"/>
                      <w:u w:val="single" w:color="auto"/>
                    </w:rPr>
                    <w:t>）</w:t>
                  </w:r>
                </w:p>
              </w:tc>
              <w:tc>
                <w:tcPr>
                  <w:tcW w:w="830" w:type="pct"/>
                  <w:tcBorders>
                    <w:tl2br w:val="nil"/>
                    <w:tr2bl w:val="nil"/>
                  </w:tcBorders>
                  <w:noWrap w:val="0"/>
                  <w:vAlign w:val="center"/>
                </w:tcPr>
                <w:p w14:paraId="1234314B">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二级标准值</w:t>
                  </w:r>
                </w:p>
                <w:p w14:paraId="24434E6F">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（μg/m</w:t>
                  </w:r>
                  <w:r>
                    <w:rPr>
                      <w:rFonts w:hint="eastAsia" w:ascii="Times New Roman" w:hAnsi="Times New Roman" w:eastAsia="宋体" w:cs="Times New Roman"/>
                      <w:color w:val="auto"/>
                      <w:szCs w:val="21"/>
                      <w:u w:val="single" w:color="auto"/>
                      <w:vertAlign w:val="superscript"/>
                      <w:lang w:val="en-US" w:eastAsia="zh-CN"/>
                    </w:rPr>
                    <w:t>3</w:t>
                  </w:r>
                  <w:r>
                    <w:rPr>
                      <w:rFonts w:hint="default" w:ascii="Times New Roman" w:hAnsi="Times New Roman" w:eastAsia="宋体" w:cs="Times New Roman"/>
                      <w:color w:val="auto"/>
                      <w:szCs w:val="21"/>
                      <w:u w:val="single" w:color="auto"/>
                    </w:rPr>
                    <w:t>）</w:t>
                  </w:r>
                </w:p>
              </w:tc>
              <w:tc>
                <w:tcPr>
                  <w:tcW w:w="487" w:type="pct"/>
                  <w:tcBorders>
                    <w:tl2br w:val="nil"/>
                    <w:tr2bl w:val="nil"/>
                  </w:tcBorders>
                  <w:noWrap w:val="0"/>
                  <w:vAlign w:val="center"/>
                </w:tcPr>
                <w:p w14:paraId="54EA39B2">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占标率</w:t>
                  </w:r>
                </w:p>
                <w:p w14:paraId="539EEB41">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w:t>
                  </w:r>
                </w:p>
              </w:tc>
              <w:tc>
                <w:tcPr>
                  <w:tcW w:w="533" w:type="pct"/>
                  <w:tcBorders>
                    <w:tl2br w:val="nil"/>
                    <w:tr2bl w:val="nil"/>
                  </w:tcBorders>
                  <w:noWrap w:val="0"/>
                  <w:vAlign w:val="center"/>
                </w:tcPr>
                <w:p w14:paraId="00CCE38E">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达标</w:t>
                  </w:r>
                </w:p>
                <w:p w14:paraId="5E9DD82E">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情况</w:t>
                  </w:r>
                </w:p>
              </w:tc>
            </w:tr>
            <w:tr w14:paraId="5A777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 w:type="pct"/>
                  <w:tcBorders>
                    <w:tl2br w:val="nil"/>
                    <w:tr2bl w:val="nil"/>
                  </w:tcBorders>
                  <w:noWrap w:val="0"/>
                  <w:vAlign w:val="center"/>
                </w:tcPr>
                <w:p w14:paraId="4BCB602C">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SO</w:t>
                  </w:r>
                  <w:r>
                    <w:rPr>
                      <w:rFonts w:hint="default" w:ascii="Times New Roman" w:hAnsi="Times New Roman" w:eastAsia="宋体" w:cs="Times New Roman"/>
                      <w:color w:val="auto"/>
                      <w:szCs w:val="21"/>
                      <w:u w:val="single" w:color="auto"/>
                      <w:vertAlign w:val="subscript"/>
                    </w:rPr>
                    <w:t>2</w:t>
                  </w:r>
                </w:p>
              </w:tc>
              <w:tc>
                <w:tcPr>
                  <w:tcW w:w="1903" w:type="pct"/>
                  <w:tcBorders>
                    <w:tl2br w:val="nil"/>
                    <w:tr2bl w:val="nil"/>
                  </w:tcBorders>
                  <w:noWrap w:val="0"/>
                  <w:vAlign w:val="center"/>
                </w:tcPr>
                <w:p w14:paraId="77097B95">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年平均质量浓度</w:t>
                  </w:r>
                </w:p>
              </w:tc>
              <w:tc>
                <w:tcPr>
                  <w:tcW w:w="743" w:type="pct"/>
                  <w:tcBorders>
                    <w:tl2br w:val="nil"/>
                    <w:tr2bl w:val="nil"/>
                  </w:tcBorders>
                  <w:noWrap w:val="0"/>
                  <w:vAlign w:val="center"/>
                </w:tcPr>
                <w:p w14:paraId="779D17C3">
                  <w:pPr>
                    <w:widowControl/>
                    <w:jc w:val="center"/>
                    <w:textAlignment w:val="center"/>
                    <w:rPr>
                      <w:rFonts w:hint="default" w:ascii="Times New Roman" w:hAnsi="Times New Roman" w:eastAsia="宋体" w:cs="Times New Roman"/>
                      <w:color w:val="auto"/>
                      <w:szCs w:val="21"/>
                      <w:u w:val="single" w:color="auto"/>
                      <w:lang w:val="en-US" w:eastAsia="zh-CN"/>
                    </w:rPr>
                  </w:pPr>
                  <w:r>
                    <w:rPr>
                      <w:rFonts w:hint="eastAsia" w:cs="Times New Roman"/>
                      <w:color w:val="auto"/>
                      <w:szCs w:val="21"/>
                      <w:u w:val="single" w:color="auto"/>
                      <w:lang w:val="en-US" w:eastAsia="zh-CN"/>
                    </w:rPr>
                    <w:t>6.33</w:t>
                  </w:r>
                </w:p>
              </w:tc>
              <w:tc>
                <w:tcPr>
                  <w:tcW w:w="830" w:type="pct"/>
                  <w:tcBorders>
                    <w:tl2br w:val="nil"/>
                    <w:tr2bl w:val="nil"/>
                  </w:tcBorders>
                  <w:noWrap w:val="0"/>
                  <w:vAlign w:val="center"/>
                </w:tcPr>
                <w:p w14:paraId="26998E48">
                  <w:pPr>
                    <w:widowControl/>
                    <w:jc w:val="center"/>
                    <w:textAlignment w:val="center"/>
                    <w:rPr>
                      <w:rFonts w:hint="default" w:cs="Times New Roman"/>
                      <w:color w:val="auto"/>
                      <w:szCs w:val="21"/>
                      <w:u w:val="single" w:color="auto"/>
                      <w:lang w:val="en-US" w:eastAsia="zh-CN"/>
                    </w:rPr>
                  </w:pPr>
                  <w:r>
                    <w:rPr>
                      <w:rFonts w:hint="default" w:cs="Times New Roman"/>
                      <w:color w:val="auto"/>
                      <w:szCs w:val="21"/>
                      <w:u w:val="single" w:color="auto"/>
                      <w:lang w:val="en-US" w:eastAsia="zh-CN"/>
                    </w:rPr>
                    <w:t>60</w:t>
                  </w:r>
                </w:p>
              </w:tc>
              <w:tc>
                <w:tcPr>
                  <w:tcW w:w="487" w:type="pct"/>
                  <w:tcBorders>
                    <w:tl2br w:val="nil"/>
                    <w:tr2bl w:val="nil"/>
                  </w:tcBorders>
                  <w:noWrap w:val="0"/>
                  <w:vAlign w:val="center"/>
                </w:tcPr>
                <w:p w14:paraId="704568CD">
                  <w:pPr>
                    <w:widowControl/>
                    <w:jc w:val="center"/>
                    <w:textAlignment w:val="center"/>
                    <w:rPr>
                      <w:rFonts w:hint="default" w:cs="Times New Roman"/>
                      <w:color w:val="auto"/>
                      <w:szCs w:val="21"/>
                      <w:u w:val="single" w:color="auto"/>
                      <w:lang w:val="en-US" w:eastAsia="zh-CN"/>
                    </w:rPr>
                  </w:pPr>
                  <w:r>
                    <w:rPr>
                      <w:rFonts w:hint="eastAsia" w:cs="Times New Roman"/>
                      <w:color w:val="auto"/>
                      <w:szCs w:val="21"/>
                      <w:u w:val="single" w:color="auto"/>
                      <w:lang w:val="en-US" w:eastAsia="zh-CN"/>
                    </w:rPr>
                    <w:t xml:space="preserve">10.55 </w:t>
                  </w:r>
                </w:p>
              </w:tc>
              <w:tc>
                <w:tcPr>
                  <w:tcW w:w="533" w:type="pct"/>
                  <w:tcBorders>
                    <w:tl2br w:val="nil"/>
                    <w:tr2bl w:val="nil"/>
                  </w:tcBorders>
                  <w:noWrap w:val="0"/>
                  <w:vAlign w:val="center"/>
                </w:tcPr>
                <w:p w14:paraId="1BF8ADC1">
                  <w:pPr>
                    <w:widowControl/>
                    <w:jc w:val="center"/>
                    <w:textAlignment w:val="center"/>
                    <w:rPr>
                      <w:rFonts w:hint="default" w:cs="Times New Roman"/>
                      <w:color w:val="auto"/>
                      <w:szCs w:val="21"/>
                      <w:u w:val="single" w:color="auto"/>
                      <w:lang w:val="en-US" w:eastAsia="zh-CN"/>
                    </w:rPr>
                  </w:pPr>
                  <w:r>
                    <w:rPr>
                      <w:rFonts w:hint="default" w:cs="Times New Roman"/>
                      <w:color w:val="auto"/>
                      <w:szCs w:val="21"/>
                      <w:u w:val="single" w:color="auto"/>
                      <w:lang w:val="en-US" w:eastAsia="zh-CN"/>
                    </w:rPr>
                    <w:t>达标</w:t>
                  </w:r>
                </w:p>
              </w:tc>
            </w:tr>
            <w:tr w14:paraId="77EE1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 w:type="pct"/>
                  <w:tcBorders>
                    <w:tl2br w:val="nil"/>
                    <w:tr2bl w:val="nil"/>
                  </w:tcBorders>
                  <w:noWrap w:val="0"/>
                  <w:vAlign w:val="center"/>
                </w:tcPr>
                <w:p w14:paraId="3F63D82D">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NO</w:t>
                  </w:r>
                  <w:r>
                    <w:rPr>
                      <w:rFonts w:hint="default" w:ascii="Times New Roman" w:hAnsi="Times New Roman" w:eastAsia="宋体" w:cs="Times New Roman"/>
                      <w:color w:val="auto"/>
                      <w:szCs w:val="21"/>
                      <w:u w:val="single" w:color="auto"/>
                      <w:vertAlign w:val="subscript"/>
                    </w:rPr>
                    <w:t>2</w:t>
                  </w:r>
                </w:p>
              </w:tc>
              <w:tc>
                <w:tcPr>
                  <w:tcW w:w="1903" w:type="pct"/>
                  <w:tcBorders>
                    <w:tl2br w:val="nil"/>
                    <w:tr2bl w:val="nil"/>
                  </w:tcBorders>
                  <w:noWrap w:val="0"/>
                  <w:vAlign w:val="center"/>
                </w:tcPr>
                <w:p w14:paraId="6306F003">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年平均质量浓度</w:t>
                  </w:r>
                </w:p>
              </w:tc>
              <w:tc>
                <w:tcPr>
                  <w:tcW w:w="743" w:type="pct"/>
                  <w:tcBorders>
                    <w:tl2br w:val="nil"/>
                    <w:tr2bl w:val="nil"/>
                  </w:tcBorders>
                  <w:noWrap w:val="0"/>
                  <w:vAlign w:val="center"/>
                </w:tcPr>
                <w:p w14:paraId="523E3B48">
                  <w:pPr>
                    <w:widowControl/>
                    <w:jc w:val="center"/>
                    <w:textAlignment w:val="center"/>
                    <w:rPr>
                      <w:rFonts w:hint="default" w:ascii="Times New Roman" w:hAnsi="Times New Roman" w:eastAsia="宋体" w:cs="Times New Roman"/>
                      <w:color w:val="auto"/>
                      <w:szCs w:val="21"/>
                      <w:u w:val="single" w:color="auto"/>
                      <w:lang w:val="en-US" w:eastAsia="zh-CN"/>
                    </w:rPr>
                  </w:pPr>
                  <w:r>
                    <w:rPr>
                      <w:rFonts w:hint="eastAsia" w:cs="Times New Roman"/>
                      <w:color w:val="auto"/>
                      <w:szCs w:val="21"/>
                      <w:u w:val="single" w:color="auto"/>
                      <w:lang w:val="en-US" w:eastAsia="zh-CN"/>
                    </w:rPr>
                    <w:t>13.33</w:t>
                  </w:r>
                </w:p>
              </w:tc>
              <w:tc>
                <w:tcPr>
                  <w:tcW w:w="830" w:type="pct"/>
                  <w:tcBorders>
                    <w:tl2br w:val="nil"/>
                    <w:tr2bl w:val="nil"/>
                  </w:tcBorders>
                  <w:noWrap w:val="0"/>
                  <w:vAlign w:val="center"/>
                </w:tcPr>
                <w:p w14:paraId="5DA14802">
                  <w:pPr>
                    <w:widowControl/>
                    <w:jc w:val="center"/>
                    <w:textAlignment w:val="center"/>
                    <w:rPr>
                      <w:rFonts w:hint="default" w:cs="Times New Roman"/>
                      <w:color w:val="auto"/>
                      <w:szCs w:val="21"/>
                      <w:u w:val="single" w:color="auto"/>
                      <w:lang w:val="en-US" w:eastAsia="zh-CN"/>
                    </w:rPr>
                  </w:pPr>
                  <w:r>
                    <w:rPr>
                      <w:rFonts w:hint="default" w:cs="Times New Roman"/>
                      <w:color w:val="auto"/>
                      <w:szCs w:val="21"/>
                      <w:u w:val="single" w:color="auto"/>
                      <w:lang w:val="en-US" w:eastAsia="zh-CN"/>
                    </w:rPr>
                    <w:t>40</w:t>
                  </w:r>
                </w:p>
              </w:tc>
              <w:tc>
                <w:tcPr>
                  <w:tcW w:w="487" w:type="pct"/>
                  <w:tcBorders>
                    <w:tl2br w:val="nil"/>
                    <w:tr2bl w:val="nil"/>
                  </w:tcBorders>
                  <w:noWrap w:val="0"/>
                  <w:vAlign w:val="center"/>
                </w:tcPr>
                <w:p w14:paraId="2328F84D">
                  <w:pPr>
                    <w:widowControl/>
                    <w:jc w:val="center"/>
                    <w:textAlignment w:val="center"/>
                    <w:rPr>
                      <w:rFonts w:hint="default" w:cs="Times New Roman"/>
                      <w:color w:val="auto"/>
                      <w:szCs w:val="21"/>
                      <w:u w:val="single" w:color="auto"/>
                      <w:lang w:val="en-US" w:eastAsia="zh-CN"/>
                    </w:rPr>
                  </w:pPr>
                  <w:r>
                    <w:rPr>
                      <w:rFonts w:hint="eastAsia" w:cs="Times New Roman"/>
                      <w:color w:val="auto"/>
                      <w:szCs w:val="21"/>
                      <w:u w:val="single" w:color="auto"/>
                      <w:lang w:val="en-US" w:eastAsia="zh-CN"/>
                    </w:rPr>
                    <w:t xml:space="preserve">33.33 </w:t>
                  </w:r>
                </w:p>
              </w:tc>
              <w:tc>
                <w:tcPr>
                  <w:tcW w:w="533" w:type="pct"/>
                  <w:tcBorders>
                    <w:tl2br w:val="nil"/>
                    <w:tr2bl w:val="nil"/>
                  </w:tcBorders>
                  <w:noWrap w:val="0"/>
                  <w:vAlign w:val="center"/>
                </w:tcPr>
                <w:p w14:paraId="548AF85E">
                  <w:pPr>
                    <w:widowControl/>
                    <w:jc w:val="center"/>
                    <w:textAlignment w:val="center"/>
                    <w:rPr>
                      <w:rFonts w:hint="default" w:cs="Times New Roman"/>
                      <w:color w:val="auto"/>
                      <w:szCs w:val="21"/>
                      <w:u w:val="single" w:color="auto"/>
                      <w:lang w:val="en-US" w:eastAsia="zh-CN"/>
                    </w:rPr>
                  </w:pPr>
                  <w:r>
                    <w:rPr>
                      <w:rFonts w:hint="default" w:cs="Times New Roman"/>
                      <w:color w:val="auto"/>
                      <w:szCs w:val="21"/>
                      <w:u w:val="single" w:color="auto"/>
                      <w:lang w:val="en-US" w:eastAsia="zh-CN"/>
                    </w:rPr>
                    <w:t>达标</w:t>
                  </w:r>
                </w:p>
              </w:tc>
            </w:tr>
            <w:tr w14:paraId="5B902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 w:type="pct"/>
                  <w:tcBorders>
                    <w:tl2br w:val="nil"/>
                    <w:tr2bl w:val="nil"/>
                  </w:tcBorders>
                  <w:noWrap w:val="0"/>
                  <w:vAlign w:val="center"/>
                </w:tcPr>
                <w:p w14:paraId="77FEE84C">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PM</w:t>
                  </w:r>
                  <w:r>
                    <w:rPr>
                      <w:rFonts w:hint="default" w:ascii="Times New Roman" w:hAnsi="Times New Roman" w:eastAsia="宋体" w:cs="Times New Roman"/>
                      <w:color w:val="auto"/>
                      <w:szCs w:val="21"/>
                      <w:u w:val="single" w:color="auto"/>
                      <w:vertAlign w:val="subscript"/>
                    </w:rPr>
                    <w:t>10</w:t>
                  </w:r>
                </w:p>
              </w:tc>
              <w:tc>
                <w:tcPr>
                  <w:tcW w:w="1903" w:type="pct"/>
                  <w:tcBorders>
                    <w:tl2br w:val="nil"/>
                    <w:tr2bl w:val="nil"/>
                  </w:tcBorders>
                  <w:noWrap w:val="0"/>
                  <w:vAlign w:val="center"/>
                </w:tcPr>
                <w:p w14:paraId="6ABCD986">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年平均质量浓度</w:t>
                  </w:r>
                </w:p>
              </w:tc>
              <w:tc>
                <w:tcPr>
                  <w:tcW w:w="743" w:type="pct"/>
                  <w:tcBorders>
                    <w:tl2br w:val="nil"/>
                    <w:tr2bl w:val="nil"/>
                  </w:tcBorders>
                  <w:noWrap w:val="0"/>
                  <w:vAlign w:val="center"/>
                </w:tcPr>
                <w:p w14:paraId="2FC44717">
                  <w:pPr>
                    <w:widowControl/>
                    <w:jc w:val="center"/>
                    <w:textAlignment w:val="center"/>
                    <w:rPr>
                      <w:rFonts w:hint="default" w:ascii="Times New Roman" w:hAnsi="Times New Roman" w:eastAsia="宋体" w:cs="Times New Roman"/>
                      <w:color w:val="auto"/>
                      <w:szCs w:val="21"/>
                      <w:u w:val="single" w:color="auto"/>
                      <w:lang w:val="en-US" w:eastAsia="zh-CN"/>
                    </w:rPr>
                  </w:pPr>
                  <w:r>
                    <w:rPr>
                      <w:rFonts w:hint="eastAsia" w:cs="Times New Roman"/>
                      <w:color w:val="auto"/>
                      <w:szCs w:val="21"/>
                      <w:u w:val="single" w:color="auto"/>
                      <w:lang w:val="en-US" w:eastAsia="zh-CN"/>
                    </w:rPr>
                    <w:t>50.33</w:t>
                  </w:r>
                </w:p>
              </w:tc>
              <w:tc>
                <w:tcPr>
                  <w:tcW w:w="830" w:type="pct"/>
                  <w:tcBorders>
                    <w:tl2br w:val="nil"/>
                    <w:tr2bl w:val="nil"/>
                  </w:tcBorders>
                  <w:noWrap w:val="0"/>
                  <w:vAlign w:val="center"/>
                </w:tcPr>
                <w:p w14:paraId="5B8C3C03">
                  <w:pPr>
                    <w:widowControl/>
                    <w:jc w:val="center"/>
                    <w:textAlignment w:val="center"/>
                    <w:rPr>
                      <w:rFonts w:hint="default" w:cs="Times New Roman"/>
                      <w:color w:val="auto"/>
                      <w:szCs w:val="21"/>
                      <w:u w:val="single" w:color="auto"/>
                      <w:lang w:val="en-US" w:eastAsia="zh-CN"/>
                    </w:rPr>
                  </w:pPr>
                  <w:r>
                    <w:rPr>
                      <w:rFonts w:hint="default" w:cs="Times New Roman"/>
                      <w:color w:val="auto"/>
                      <w:szCs w:val="21"/>
                      <w:u w:val="single" w:color="auto"/>
                      <w:lang w:val="en-US" w:eastAsia="zh-CN"/>
                    </w:rPr>
                    <w:t>70</w:t>
                  </w:r>
                </w:p>
              </w:tc>
              <w:tc>
                <w:tcPr>
                  <w:tcW w:w="487" w:type="pct"/>
                  <w:tcBorders>
                    <w:tl2br w:val="nil"/>
                    <w:tr2bl w:val="nil"/>
                  </w:tcBorders>
                  <w:noWrap w:val="0"/>
                  <w:vAlign w:val="center"/>
                </w:tcPr>
                <w:p w14:paraId="01677010">
                  <w:pPr>
                    <w:widowControl/>
                    <w:jc w:val="center"/>
                    <w:textAlignment w:val="center"/>
                    <w:rPr>
                      <w:rFonts w:hint="default" w:cs="Times New Roman"/>
                      <w:color w:val="auto"/>
                      <w:szCs w:val="21"/>
                      <w:u w:val="single" w:color="auto"/>
                      <w:lang w:val="en-US" w:eastAsia="zh-CN"/>
                    </w:rPr>
                  </w:pPr>
                  <w:r>
                    <w:rPr>
                      <w:rFonts w:hint="eastAsia" w:cs="Times New Roman"/>
                      <w:color w:val="auto"/>
                      <w:szCs w:val="21"/>
                      <w:u w:val="single" w:color="auto"/>
                      <w:lang w:val="en-US" w:eastAsia="zh-CN"/>
                    </w:rPr>
                    <w:t xml:space="preserve">71.90 </w:t>
                  </w:r>
                </w:p>
              </w:tc>
              <w:tc>
                <w:tcPr>
                  <w:tcW w:w="533" w:type="pct"/>
                  <w:tcBorders>
                    <w:tl2br w:val="nil"/>
                    <w:tr2bl w:val="nil"/>
                  </w:tcBorders>
                  <w:noWrap w:val="0"/>
                  <w:vAlign w:val="center"/>
                </w:tcPr>
                <w:p w14:paraId="59E304E2">
                  <w:pPr>
                    <w:widowControl/>
                    <w:jc w:val="center"/>
                    <w:textAlignment w:val="center"/>
                    <w:rPr>
                      <w:rFonts w:hint="default" w:cs="Times New Roman"/>
                      <w:color w:val="auto"/>
                      <w:szCs w:val="21"/>
                      <w:u w:val="single" w:color="auto"/>
                      <w:lang w:val="en-US" w:eastAsia="zh-CN"/>
                    </w:rPr>
                  </w:pPr>
                  <w:r>
                    <w:rPr>
                      <w:rFonts w:hint="default" w:cs="Times New Roman"/>
                      <w:color w:val="auto"/>
                      <w:szCs w:val="21"/>
                      <w:u w:val="single" w:color="auto"/>
                      <w:lang w:val="en-US" w:eastAsia="zh-CN"/>
                    </w:rPr>
                    <w:t>达标</w:t>
                  </w:r>
                </w:p>
              </w:tc>
            </w:tr>
            <w:tr w14:paraId="5C3AF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 w:type="pct"/>
                  <w:tcBorders>
                    <w:tl2br w:val="nil"/>
                    <w:tr2bl w:val="nil"/>
                  </w:tcBorders>
                  <w:noWrap w:val="0"/>
                  <w:vAlign w:val="center"/>
                </w:tcPr>
                <w:p w14:paraId="10EA47A3">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PM</w:t>
                  </w:r>
                  <w:r>
                    <w:rPr>
                      <w:rFonts w:hint="default" w:ascii="Times New Roman" w:hAnsi="Times New Roman" w:eastAsia="宋体" w:cs="Times New Roman"/>
                      <w:color w:val="auto"/>
                      <w:szCs w:val="21"/>
                      <w:u w:val="single" w:color="auto"/>
                      <w:vertAlign w:val="subscript"/>
                    </w:rPr>
                    <w:t>2.5</w:t>
                  </w:r>
                </w:p>
              </w:tc>
              <w:tc>
                <w:tcPr>
                  <w:tcW w:w="1903" w:type="pct"/>
                  <w:tcBorders>
                    <w:tl2br w:val="nil"/>
                    <w:tr2bl w:val="nil"/>
                  </w:tcBorders>
                  <w:noWrap w:val="0"/>
                  <w:vAlign w:val="center"/>
                </w:tcPr>
                <w:p w14:paraId="76F65B8C">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年平均质量浓度</w:t>
                  </w:r>
                </w:p>
              </w:tc>
              <w:tc>
                <w:tcPr>
                  <w:tcW w:w="743" w:type="pct"/>
                  <w:tcBorders>
                    <w:tl2br w:val="nil"/>
                    <w:tr2bl w:val="nil"/>
                  </w:tcBorders>
                  <w:noWrap w:val="0"/>
                  <w:vAlign w:val="center"/>
                </w:tcPr>
                <w:p w14:paraId="38BC942A">
                  <w:pPr>
                    <w:widowControl/>
                    <w:jc w:val="center"/>
                    <w:textAlignment w:val="center"/>
                    <w:rPr>
                      <w:rFonts w:hint="default" w:ascii="Times New Roman" w:hAnsi="Times New Roman" w:eastAsia="宋体" w:cs="Times New Roman"/>
                      <w:color w:val="auto"/>
                      <w:szCs w:val="21"/>
                      <w:u w:val="single" w:color="auto"/>
                      <w:lang w:val="en-US" w:eastAsia="zh-CN"/>
                    </w:rPr>
                  </w:pPr>
                  <w:r>
                    <w:rPr>
                      <w:rFonts w:hint="eastAsia" w:cs="Times New Roman"/>
                      <w:color w:val="auto"/>
                      <w:szCs w:val="21"/>
                      <w:u w:val="single" w:color="auto"/>
                      <w:lang w:val="en-US" w:eastAsia="zh-CN"/>
                    </w:rPr>
                    <w:t>33.33</w:t>
                  </w:r>
                </w:p>
              </w:tc>
              <w:tc>
                <w:tcPr>
                  <w:tcW w:w="830" w:type="pct"/>
                  <w:tcBorders>
                    <w:tl2br w:val="nil"/>
                    <w:tr2bl w:val="nil"/>
                  </w:tcBorders>
                  <w:noWrap w:val="0"/>
                  <w:vAlign w:val="center"/>
                </w:tcPr>
                <w:p w14:paraId="57A3D9B9">
                  <w:pPr>
                    <w:widowControl/>
                    <w:jc w:val="center"/>
                    <w:textAlignment w:val="center"/>
                    <w:rPr>
                      <w:rFonts w:hint="default" w:cs="Times New Roman"/>
                      <w:color w:val="auto"/>
                      <w:szCs w:val="21"/>
                      <w:u w:val="single" w:color="auto"/>
                      <w:lang w:val="en-US" w:eastAsia="zh-CN"/>
                    </w:rPr>
                  </w:pPr>
                  <w:r>
                    <w:rPr>
                      <w:rFonts w:hint="default" w:cs="Times New Roman"/>
                      <w:color w:val="auto"/>
                      <w:szCs w:val="21"/>
                      <w:u w:val="single" w:color="auto"/>
                      <w:lang w:val="en-US" w:eastAsia="zh-CN"/>
                    </w:rPr>
                    <w:t>35</w:t>
                  </w:r>
                </w:p>
              </w:tc>
              <w:tc>
                <w:tcPr>
                  <w:tcW w:w="487" w:type="pct"/>
                  <w:tcBorders>
                    <w:tl2br w:val="nil"/>
                    <w:tr2bl w:val="nil"/>
                  </w:tcBorders>
                  <w:noWrap w:val="0"/>
                  <w:vAlign w:val="center"/>
                </w:tcPr>
                <w:p w14:paraId="388A1B7E">
                  <w:pPr>
                    <w:widowControl/>
                    <w:jc w:val="center"/>
                    <w:textAlignment w:val="center"/>
                    <w:rPr>
                      <w:rFonts w:hint="default" w:cs="Times New Roman"/>
                      <w:color w:val="auto"/>
                      <w:szCs w:val="21"/>
                      <w:u w:val="single" w:color="auto"/>
                      <w:lang w:val="en-US" w:eastAsia="zh-CN"/>
                    </w:rPr>
                  </w:pPr>
                  <w:r>
                    <w:rPr>
                      <w:rFonts w:hint="eastAsia" w:cs="Times New Roman"/>
                      <w:color w:val="auto"/>
                      <w:szCs w:val="21"/>
                      <w:u w:val="single" w:color="auto"/>
                      <w:lang w:val="en-US" w:eastAsia="zh-CN"/>
                    </w:rPr>
                    <w:t xml:space="preserve">95.23 </w:t>
                  </w:r>
                </w:p>
              </w:tc>
              <w:tc>
                <w:tcPr>
                  <w:tcW w:w="533" w:type="pct"/>
                  <w:tcBorders>
                    <w:tl2br w:val="nil"/>
                    <w:tr2bl w:val="nil"/>
                  </w:tcBorders>
                  <w:noWrap w:val="0"/>
                  <w:vAlign w:val="center"/>
                </w:tcPr>
                <w:p w14:paraId="75E87FBE">
                  <w:pPr>
                    <w:widowControl/>
                    <w:jc w:val="center"/>
                    <w:textAlignment w:val="center"/>
                    <w:rPr>
                      <w:rFonts w:hint="default" w:cs="Times New Roman"/>
                      <w:color w:val="auto"/>
                      <w:szCs w:val="21"/>
                      <w:u w:val="single" w:color="auto"/>
                      <w:lang w:val="en-US" w:eastAsia="zh-CN"/>
                    </w:rPr>
                  </w:pPr>
                  <w:r>
                    <w:rPr>
                      <w:rFonts w:hint="default" w:cs="Times New Roman"/>
                      <w:color w:val="auto"/>
                      <w:szCs w:val="21"/>
                      <w:u w:val="single" w:color="auto"/>
                      <w:lang w:val="en-US" w:eastAsia="zh-CN"/>
                    </w:rPr>
                    <w:t>达标</w:t>
                  </w:r>
                </w:p>
              </w:tc>
            </w:tr>
            <w:tr w14:paraId="266B2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 w:type="pct"/>
                  <w:tcBorders>
                    <w:tl2br w:val="nil"/>
                    <w:tr2bl w:val="nil"/>
                  </w:tcBorders>
                  <w:noWrap w:val="0"/>
                  <w:vAlign w:val="center"/>
                </w:tcPr>
                <w:p w14:paraId="2823175B">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CO</w:t>
                  </w:r>
                </w:p>
              </w:tc>
              <w:tc>
                <w:tcPr>
                  <w:tcW w:w="1903" w:type="pct"/>
                  <w:tcBorders>
                    <w:tl2br w:val="nil"/>
                    <w:tr2bl w:val="nil"/>
                  </w:tcBorders>
                  <w:noWrap w:val="0"/>
                  <w:vAlign w:val="center"/>
                </w:tcPr>
                <w:p w14:paraId="68CDBC12">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24小时平均第95百分位数浓度</w:t>
                  </w:r>
                </w:p>
              </w:tc>
              <w:tc>
                <w:tcPr>
                  <w:tcW w:w="743" w:type="pct"/>
                  <w:tcBorders>
                    <w:tl2br w:val="nil"/>
                    <w:tr2bl w:val="nil"/>
                  </w:tcBorders>
                  <w:noWrap w:val="0"/>
                  <w:vAlign w:val="center"/>
                </w:tcPr>
                <w:p w14:paraId="3106BFB3">
                  <w:pPr>
                    <w:widowControl/>
                    <w:jc w:val="center"/>
                    <w:textAlignment w:val="center"/>
                    <w:rPr>
                      <w:rFonts w:hint="default" w:ascii="Times New Roman" w:hAnsi="Times New Roman" w:eastAsia="宋体" w:cs="Times New Roman"/>
                      <w:color w:val="auto"/>
                      <w:szCs w:val="21"/>
                      <w:u w:val="single" w:color="auto"/>
                      <w:lang w:val="en-US" w:eastAsia="zh-CN"/>
                    </w:rPr>
                  </w:pPr>
                  <w:r>
                    <w:rPr>
                      <w:rFonts w:hint="eastAsia" w:cs="Times New Roman"/>
                      <w:color w:val="auto"/>
                      <w:szCs w:val="21"/>
                      <w:u w:val="single" w:color="auto"/>
                      <w:lang w:val="en-US" w:eastAsia="zh-CN"/>
                    </w:rPr>
                    <w:t>870</w:t>
                  </w:r>
                </w:p>
              </w:tc>
              <w:tc>
                <w:tcPr>
                  <w:tcW w:w="830" w:type="pct"/>
                  <w:tcBorders>
                    <w:tl2br w:val="nil"/>
                    <w:tr2bl w:val="nil"/>
                  </w:tcBorders>
                  <w:noWrap w:val="0"/>
                  <w:vAlign w:val="center"/>
                </w:tcPr>
                <w:p w14:paraId="59BA4349">
                  <w:pPr>
                    <w:widowControl/>
                    <w:jc w:val="center"/>
                    <w:textAlignment w:val="center"/>
                    <w:rPr>
                      <w:rFonts w:hint="default" w:cs="Times New Roman"/>
                      <w:color w:val="auto"/>
                      <w:szCs w:val="21"/>
                      <w:u w:val="single" w:color="auto"/>
                      <w:lang w:val="en-US" w:eastAsia="zh-CN"/>
                    </w:rPr>
                  </w:pPr>
                  <w:r>
                    <w:rPr>
                      <w:rFonts w:hint="default" w:cs="Times New Roman"/>
                      <w:color w:val="auto"/>
                      <w:szCs w:val="21"/>
                      <w:u w:val="single" w:color="auto"/>
                      <w:lang w:val="en-US" w:eastAsia="zh-CN"/>
                    </w:rPr>
                    <w:t>4000</w:t>
                  </w:r>
                </w:p>
              </w:tc>
              <w:tc>
                <w:tcPr>
                  <w:tcW w:w="487" w:type="pct"/>
                  <w:tcBorders>
                    <w:tl2br w:val="nil"/>
                    <w:tr2bl w:val="nil"/>
                  </w:tcBorders>
                  <w:shd w:val="clear" w:color="auto" w:fill="auto"/>
                  <w:noWrap w:val="0"/>
                  <w:vAlign w:val="center"/>
                </w:tcPr>
                <w:p w14:paraId="49D64CB5">
                  <w:pPr>
                    <w:widowControl/>
                    <w:jc w:val="center"/>
                    <w:textAlignment w:val="center"/>
                    <w:rPr>
                      <w:rFonts w:hint="default" w:cs="Times New Roman"/>
                      <w:color w:val="auto"/>
                      <w:szCs w:val="21"/>
                      <w:u w:val="single" w:color="auto"/>
                      <w:lang w:val="en-US" w:eastAsia="zh-CN"/>
                    </w:rPr>
                  </w:pPr>
                  <w:r>
                    <w:rPr>
                      <w:rFonts w:hint="eastAsia" w:cs="Times New Roman"/>
                      <w:color w:val="auto"/>
                      <w:szCs w:val="21"/>
                      <w:u w:val="single" w:color="auto"/>
                      <w:lang w:val="en-US" w:eastAsia="zh-CN"/>
                    </w:rPr>
                    <w:t xml:space="preserve">21.75 </w:t>
                  </w:r>
                </w:p>
              </w:tc>
              <w:tc>
                <w:tcPr>
                  <w:tcW w:w="533" w:type="pct"/>
                  <w:tcBorders>
                    <w:tl2br w:val="nil"/>
                    <w:tr2bl w:val="nil"/>
                  </w:tcBorders>
                  <w:noWrap w:val="0"/>
                  <w:vAlign w:val="center"/>
                </w:tcPr>
                <w:p w14:paraId="4B8F544C">
                  <w:pPr>
                    <w:widowControl/>
                    <w:jc w:val="center"/>
                    <w:textAlignment w:val="center"/>
                    <w:rPr>
                      <w:rFonts w:hint="default" w:cs="Times New Roman"/>
                      <w:color w:val="auto"/>
                      <w:szCs w:val="21"/>
                      <w:u w:val="single" w:color="auto"/>
                      <w:lang w:val="en-US" w:eastAsia="zh-CN"/>
                    </w:rPr>
                  </w:pPr>
                  <w:r>
                    <w:rPr>
                      <w:rFonts w:hint="default" w:cs="Times New Roman"/>
                      <w:color w:val="auto"/>
                      <w:szCs w:val="21"/>
                      <w:u w:val="single" w:color="auto"/>
                      <w:lang w:val="en-US" w:eastAsia="zh-CN"/>
                    </w:rPr>
                    <w:t>达标</w:t>
                  </w:r>
                </w:p>
              </w:tc>
            </w:tr>
            <w:tr w14:paraId="46650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 w:type="pct"/>
                  <w:tcBorders>
                    <w:tl2br w:val="nil"/>
                    <w:tr2bl w:val="nil"/>
                  </w:tcBorders>
                  <w:noWrap w:val="0"/>
                  <w:vAlign w:val="center"/>
                </w:tcPr>
                <w:p w14:paraId="4166512B">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O</w:t>
                  </w:r>
                  <w:r>
                    <w:rPr>
                      <w:rFonts w:hint="default" w:ascii="Times New Roman" w:hAnsi="Times New Roman" w:eastAsia="宋体" w:cs="Times New Roman"/>
                      <w:color w:val="auto"/>
                      <w:szCs w:val="21"/>
                      <w:u w:val="single" w:color="auto"/>
                      <w:vertAlign w:val="subscript"/>
                    </w:rPr>
                    <w:t>3</w:t>
                  </w:r>
                </w:p>
              </w:tc>
              <w:tc>
                <w:tcPr>
                  <w:tcW w:w="1903" w:type="pct"/>
                  <w:tcBorders>
                    <w:tl2br w:val="nil"/>
                    <w:tr2bl w:val="nil"/>
                  </w:tcBorders>
                  <w:noWrap w:val="0"/>
                  <w:vAlign w:val="center"/>
                </w:tcPr>
                <w:p w14:paraId="7A591E06">
                  <w:pPr>
                    <w:widowControl/>
                    <w:jc w:val="center"/>
                    <w:textAlignment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8h平均质量浓度</w:t>
                  </w:r>
                </w:p>
              </w:tc>
              <w:tc>
                <w:tcPr>
                  <w:tcW w:w="743" w:type="pct"/>
                  <w:tcBorders>
                    <w:tl2br w:val="nil"/>
                    <w:tr2bl w:val="nil"/>
                  </w:tcBorders>
                  <w:noWrap w:val="0"/>
                  <w:vAlign w:val="center"/>
                </w:tcPr>
                <w:p w14:paraId="3CED9279">
                  <w:pPr>
                    <w:widowControl/>
                    <w:jc w:val="center"/>
                    <w:textAlignment w:val="center"/>
                    <w:rPr>
                      <w:rFonts w:hint="default" w:ascii="Times New Roman" w:hAnsi="Times New Roman" w:eastAsia="宋体" w:cs="Times New Roman"/>
                      <w:color w:val="auto"/>
                      <w:szCs w:val="21"/>
                      <w:u w:val="single" w:color="auto"/>
                      <w:lang w:val="en-US" w:eastAsia="zh-CN"/>
                    </w:rPr>
                  </w:pPr>
                  <w:r>
                    <w:rPr>
                      <w:rFonts w:hint="eastAsia" w:cs="Times New Roman"/>
                      <w:color w:val="auto"/>
                      <w:szCs w:val="21"/>
                      <w:u w:val="single" w:color="auto"/>
                      <w:lang w:val="en-US" w:eastAsia="zh-CN"/>
                    </w:rPr>
                    <w:t>122.58</w:t>
                  </w:r>
                </w:p>
              </w:tc>
              <w:tc>
                <w:tcPr>
                  <w:tcW w:w="830" w:type="pct"/>
                  <w:tcBorders>
                    <w:tl2br w:val="nil"/>
                    <w:tr2bl w:val="nil"/>
                  </w:tcBorders>
                  <w:noWrap w:val="0"/>
                  <w:vAlign w:val="center"/>
                </w:tcPr>
                <w:p w14:paraId="37880410">
                  <w:pPr>
                    <w:widowControl/>
                    <w:jc w:val="center"/>
                    <w:textAlignment w:val="center"/>
                    <w:rPr>
                      <w:rFonts w:hint="default" w:cs="Times New Roman"/>
                      <w:color w:val="auto"/>
                      <w:szCs w:val="21"/>
                      <w:u w:val="single" w:color="auto"/>
                      <w:lang w:val="en-US" w:eastAsia="zh-CN"/>
                    </w:rPr>
                  </w:pPr>
                  <w:r>
                    <w:rPr>
                      <w:rFonts w:hint="default" w:cs="Times New Roman"/>
                      <w:color w:val="auto"/>
                      <w:szCs w:val="21"/>
                      <w:u w:val="single" w:color="auto"/>
                      <w:lang w:val="en-US" w:eastAsia="zh-CN"/>
                    </w:rPr>
                    <w:t>160</w:t>
                  </w:r>
                </w:p>
              </w:tc>
              <w:tc>
                <w:tcPr>
                  <w:tcW w:w="487" w:type="pct"/>
                  <w:tcBorders>
                    <w:tl2br w:val="nil"/>
                    <w:tr2bl w:val="nil"/>
                  </w:tcBorders>
                  <w:noWrap w:val="0"/>
                  <w:vAlign w:val="center"/>
                </w:tcPr>
                <w:p w14:paraId="45E148A4">
                  <w:pPr>
                    <w:widowControl/>
                    <w:jc w:val="center"/>
                    <w:textAlignment w:val="center"/>
                    <w:rPr>
                      <w:rFonts w:hint="default" w:cs="Times New Roman"/>
                      <w:color w:val="auto"/>
                      <w:szCs w:val="21"/>
                      <w:u w:val="single" w:color="auto"/>
                      <w:lang w:val="en-US" w:eastAsia="zh-CN"/>
                    </w:rPr>
                  </w:pPr>
                  <w:r>
                    <w:rPr>
                      <w:rFonts w:hint="eastAsia" w:cs="Times New Roman"/>
                      <w:color w:val="auto"/>
                      <w:szCs w:val="21"/>
                      <w:u w:val="single" w:color="auto"/>
                      <w:lang w:val="en-US" w:eastAsia="zh-CN"/>
                    </w:rPr>
                    <w:t xml:space="preserve">76.61 </w:t>
                  </w:r>
                </w:p>
              </w:tc>
              <w:tc>
                <w:tcPr>
                  <w:tcW w:w="533" w:type="pct"/>
                  <w:tcBorders>
                    <w:tl2br w:val="nil"/>
                    <w:tr2bl w:val="nil"/>
                  </w:tcBorders>
                  <w:noWrap w:val="0"/>
                  <w:vAlign w:val="center"/>
                </w:tcPr>
                <w:p w14:paraId="13E25ABE">
                  <w:pPr>
                    <w:widowControl/>
                    <w:jc w:val="center"/>
                    <w:textAlignment w:val="center"/>
                    <w:rPr>
                      <w:rFonts w:hint="default" w:cs="Times New Roman"/>
                      <w:color w:val="auto"/>
                      <w:szCs w:val="21"/>
                      <w:u w:val="single" w:color="auto"/>
                      <w:lang w:val="en-US" w:eastAsia="zh-CN"/>
                    </w:rPr>
                  </w:pPr>
                  <w:r>
                    <w:rPr>
                      <w:rFonts w:hint="default" w:cs="Times New Roman"/>
                      <w:color w:val="auto"/>
                      <w:szCs w:val="21"/>
                      <w:u w:val="single" w:color="auto"/>
                      <w:lang w:val="en-US" w:eastAsia="zh-CN"/>
                    </w:rPr>
                    <w:t>达标</w:t>
                  </w:r>
                </w:p>
              </w:tc>
            </w:tr>
          </w:tbl>
          <w:p w14:paraId="26E57892">
            <w:pPr>
              <w:widowControl w:val="0"/>
              <w:spacing w:before="0" w:after="0" w:line="360" w:lineRule="auto"/>
              <w:ind w:firstLine="480" w:firstLineChars="200"/>
              <w:jc w:val="both"/>
              <w:rPr>
                <w:rFonts w:hint="default" w:ascii="Times New Roman" w:hAnsi="Times New Roman" w:eastAsia="宋体" w:cs="Times New Roman"/>
                <w:color w:val="auto"/>
                <w:kern w:val="0"/>
                <w:sz w:val="24"/>
                <w:szCs w:val="24"/>
                <w:u w:val="single" w:color="auto"/>
                <w:lang w:val="en-US" w:eastAsia="zh-CN" w:bidi="ar-SA"/>
              </w:rPr>
            </w:pPr>
            <w:r>
              <w:rPr>
                <w:rFonts w:hint="default" w:ascii="Times New Roman" w:hAnsi="Times New Roman" w:eastAsia="宋体" w:cs="Times New Roman"/>
                <w:color w:val="auto"/>
                <w:kern w:val="0"/>
                <w:sz w:val="24"/>
                <w:szCs w:val="24"/>
                <w:u w:val="single" w:color="auto"/>
                <w:lang w:val="en-US" w:eastAsia="zh-CN" w:bidi="ar-SA"/>
              </w:rPr>
              <w:t>根据监测结果可知，项目所在区域2024年环境空气质量SO</w:t>
            </w:r>
            <w:r>
              <w:rPr>
                <w:rFonts w:hint="default" w:ascii="Times New Roman" w:hAnsi="Times New Roman" w:eastAsia="宋体" w:cs="Times New Roman"/>
                <w:color w:val="auto"/>
                <w:kern w:val="0"/>
                <w:sz w:val="24"/>
                <w:szCs w:val="24"/>
                <w:u w:val="single" w:color="auto"/>
                <w:vertAlign w:val="subscript"/>
                <w:lang w:val="en-US" w:eastAsia="zh-CN" w:bidi="ar-SA"/>
              </w:rPr>
              <w:t>2</w:t>
            </w:r>
            <w:r>
              <w:rPr>
                <w:rFonts w:hint="default" w:ascii="Times New Roman" w:hAnsi="Times New Roman" w:eastAsia="宋体" w:cs="Times New Roman"/>
                <w:color w:val="auto"/>
                <w:kern w:val="0"/>
                <w:sz w:val="24"/>
                <w:szCs w:val="24"/>
                <w:u w:val="single" w:color="auto"/>
                <w:lang w:val="en-US" w:eastAsia="zh-CN" w:bidi="ar-SA"/>
              </w:rPr>
              <w:t>、NO</w:t>
            </w:r>
            <w:r>
              <w:rPr>
                <w:rFonts w:hint="default" w:ascii="Times New Roman" w:hAnsi="Times New Roman" w:eastAsia="宋体" w:cs="Times New Roman"/>
                <w:color w:val="auto"/>
                <w:kern w:val="0"/>
                <w:sz w:val="24"/>
                <w:szCs w:val="24"/>
                <w:u w:val="single" w:color="auto"/>
                <w:vertAlign w:val="subscript"/>
                <w:lang w:val="en-US" w:eastAsia="zh-CN" w:bidi="ar-SA"/>
              </w:rPr>
              <w:t>2</w:t>
            </w:r>
            <w:r>
              <w:rPr>
                <w:rFonts w:hint="default" w:ascii="Times New Roman" w:hAnsi="Times New Roman" w:eastAsia="宋体" w:cs="Times New Roman"/>
                <w:color w:val="auto"/>
                <w:kern w:val="0"/>
                <w:sz w:val="24"/>
                <w:szCs w:val="24"/>
                <w:u w:val="single" w:color="auto"/>
                <w:lang w:val="en-US" w:eastAsia="zh-CN" w:bidi="ar-SA"/>
              </w:rPr>
              <w:t>、PM</w:t>
            </w:r>
            <w:r>
              <w:rPr>
                <w:rFonts w:hint="default" w:ascii="Times New Roman" w:hAnsi="Times New Roman" w:eastAsia="宋体" w:cs="Times New Roman"/>
                <w:color w:val="auto"/>
                <w:kern w:val="0"/>
                <w:sz w:val="24"/>
                <w:szCs w:val="24"/>
                <w:u w:val="single" w:color="auto"/>
                <w:vertAlign w:val="subscript"/>
                <w:lang w:val="en-US" w:eastAsia="zh-CN" w:bidi="ar-SA"/>
              </w:rPr>
              <w:t>10</w:t>
            </w:r>
            <w:r>
              <w:rPr>
                <w:rFonts w:hint="default" w:ascii="Times New Roman" w:hAnsi="Times New Roman" w:eastAsia="宋体" w:cs="Times New Roman"/>
                <w:color w:val="auto"/>
                <w:kern w:val="0"/>
                <w:sz w:val="24"/>
                <w:szCs w:val="24"/>
                <w:u w:val="single" w:color="auto"/>
                <w:lang w:val="en-US" w:eastAsia="zh-CN" w:bidi="ar-SA"/>
              </w:rPr>
              <w:t>、PM</w:t>
            </w:r>
            <w:r>
              <w:rPr>
                <w:rFonts w:hint="eastAsia" w:cs="Times New Roman"/>
                <w:color w:val="auto"/>
                <w:kern w:val="0"/>
                <w:sz w:val="24"/>
                <w:szCs w:val="24"/>
                <w:u w:val="single" w:color="auto"/>
                <w:vertAlign w:val="subscript"/>
                <w:lang w:val="en-US" w:eastAsia="zh-CN" w:bidi="ar-SA"/>
              </w:rPr>
              <w:t>2.5</w:t>
            </w:r>
            <w:r>
              <w:rPr>
                <w:rFonts w:hint="default" w:ascii="Times New Roman" w:hAnsi="Times New Roman" w:eastAsia="宋体" w:cs="Times New Roman"/>
                <w:color w:val="auto"/>
                <w:kern w:val="0"/>
                <w:sz w:val="24"/>
                <w:szCs w:val="24"/>
                <w:u w:val="single" w:color="auto"/>
                <w:lang w:val="en-US" w:eastAsia="zh-CN" w:bidi="ar-SA"/>
              </w:rPr>
              <w:t>的年平均浓度、CO的95百分位数日平均质量浓度、O3的90百分位数最大8小时平均质量浓度均可达到《环境空气质量标准》（GB3095-2012）中二级标准限值要求区域湘潭县环境空气质量满足《环境空气质量标准》（GB3095-2012）及2018年修改单二级标准。</w:t>
            </w:r>
          </w:p>
          <w:p w14:paraId="7BBCF2F1">
            <w:pPr>
              <w:keepNext w:val="0"/>
              <w:keepLines w:val="0"/>
              <w:pageBreakBefore w:val="0"/>
              <w:widowControl w:val="0"/>
              <w:kinsoku/>
              <w:wordWrap/>
              <w:overflowPunct/>
              <w:topLinePunct w:val="0"/>
              <w:autoSpaceDE/>
              <w:autoSpaceDN/>
              <w:bidi w:val="0"/>
              <w:adjustRightInd w:val="0"/>
              <w:snapToGrid w:val="0"/>
              <w:spacing w:line="420" w:lineRule="exact"/>
              <w:ind w:firstLine="482" w:firstLineChars="200"/>
              <w:jc w:val="left"/>
              <w:textAlignment w:val="auto"/>
              <w:outlineLvl w:val="9"/>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w:t>
            </w:r>
            <w:r>
              <w:rPr>
                <w:rFonts w:hint="default" w:ascii="Times New Roman" w:hAnsi="Times New Roman" w:eastAsia="宋体" w:cs="Times New Roman"/>
                <w:b/>
                <w:bCs/>
                <w:color w:val="auto"/>
                <w:sz w:val="24"/>
                <w:szCs w:val="24"/>
                <w:highlight w:val="none"/>
                <w:u w:val="none" w:color="auto"/>
                <w:lang w:val="en-US" w:eastAsia="zh-CN"/>
              </w:rPr>
              <w:t>特征污染物</w:t>
            </w:r>
          </w:p>
          <w:p w14:paraId="6228D272">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spacing w:before="0" w:line="420" w:lineRule="exact"/>
              <w:ind w:firstLine="480" w:firstLineChars="200"/>
              <w:textAlignment w:val="auto"/>
              <w:outlineLvl w:val="9"/>
              <w:rPr>
                <w:rFonts w:hint="eastAsia" w:ascii="Times New Roman" w:hAnsi="Times New Roman" w:eastAsia="宋体" w:cs="Times New Roman"/>
                <w:color w:val="auto"/>
                <w:sz w:val="24"/>
                <w:szCs w:val="24"/>
                <w:highlight w:val="yellow"/>
                <w:u w:val="single" w:color="auto"/>
                <w:lang w:val="en-US" w:eastAsia="zh-CN"/>
              </w:rPr>
            </w:pPr>
            <w:r>
              <w:rPr>
                <w:rFonts w:hint="default" w:ascii="Times New Roman" w:hAnsi="Times New Roman" w:eastAsia="宋体" w:cs="Times New Roman"/>
                <w:color w:val="auto"/>
                <w:sz w:val="24"/>
                <w:szCs w:val="24"/>
                <w:highlight w:val="none"/>
                <w:u w:val="single" w:color="auto"/>
              </w:rPr>
              <w:t>为进一步了解本项目所在区域的环境空气质量现状情况</w:t>
            </w:r>
            <w:r>
              <w:rPr>
                <w:rFonts w:hint="eastAsia" w:ascii="Times New Roman" w:hAnsi="Times New Roman" w:eastAsia="宋体" w:cs="Times New Roman"/>
                <w:color w:val="auto"/>
                <w:sz w:val="24"/>
                <w:szCs w:val="24"/>
                <w:highlight w:val="none"/>
                <w:u w:val="single" w:color="auto"/>
                <w:lang w:eastAsia="zh-CN"/>
              </w:rPr>
              <w:t>，</w:t>
            </w:r>
            <w:r>
              <w:rPr>
                <w:rFonts w:hint="default" w:ascii="Times New Roman" w:hAnsi="Times New Roman" w:eastAsia="宋体" w:cs="Times New Roman"/>
                <w:color w:val="auto"/>
                <w:sz w:val="24"/>
                <w:szCs w:val="24"/>
                <w:highlight w:val="none"/>
                <w:u w:val="single" w:color="auto"/>
              </w:rPr>
              <w:t>本次评价收集了</w:t>
            </w:r>
            <w:r>
              <w:rPr>
                <w:rFonts w:hint="eastAsia" w:ascii="Times New Roman" w:hAnsi="Times New Roman" w:eastAsia="宋体" w:cs="Times New Roman"/>
                <w:color w:val="auto"/>
                <w:sz w:val="24"/>
                <w:szCs w:val="24"/>
                <w:highlight w:val="none"/>
                <w:u w:val="single" w:color="auto"/>
                <w:lang w:val="en-US" w:eastAsia="zh-CN"/>
              </w:rPr>
              <w:t>《湖南湘潭天易经济开发区总体规划环境影响报告书》中</w:t>
            </w:r>
            <w:r>
              <w:rPr>
                <w:rFonts w:hint="default" w:ascii="Times New Roman" w:hAnsi="Times New Roman" w:eastAsia="宋体" w:cs="Times New Roman"/>
                <w:color w:val="auto"/>
                <w:sz w:val="24"/>
                <w:highlight w:val="none"/>
                <w:u w:val="single" w:color="auto"/>
              </w:rPr>
              <w:t>委托湖南中测湘源检测有限公司</w:t>
            </w:r>
            <w:r>
              <w:rPr>
                <w:rFonts w:hint="default" w:ascii="Times New Roman" w:hAnsi="Times New Roman" w:eastAsia="宋体" w:cs="Times New Roman"/>
                <w:color w:val="auto"/>
                <w:sz w:val="24"/>
                <w:highlight w:val="none"/>
                <w:u w:val="single" w:color="auto"/>
                <w:lang w:val="en-US" w:eastAsia="zh-CN"/>
              </w:rPr>
              <w:t>于</w:t>
            </w:r>
            <w:r>
              <w:rPr>
                <w:rFonts w:hint="default" w:ascii="Times New Roman" w:hAnsi="Times New Roman" w:eastAsia="宋体" w:cs="Times New Roman"/>
                <w:color w:val="auto"/>
                <w:sz w:val="24"/>
                <w:highlight w:val="none"/>
                <w:u w:val="single" w:color="auto"/>
              </w:rPr>
              <w:t>2024年10月10日至10月16日对</w:t>
            </w:r>
            <w:r>
              <w:rPr>
                <w:rFonts w:hint="eastAsia" w:cs="Times New Roman"/>
                <w:color w:val="auto"/>
                <w:sz w:val="24"/>
                <w:highlight w:val="none"/>
                <w:u w:val="single" w:color="auto"/>
                <w:lang w:val="en-US" w:eastAsia="zh-CN"/>
              </w:rPr>
              <w:t>青光村</w:t>
            </w:r>
            <w:r>
              <w:rPr>
                <w:rFonts w:hint="eastAsia" w:ascii="Times New Roman" w:hAnsi="Times New Roman" w:eastAsia="宋体" w:cs="Times New Roman"/>
                <w:color w:val="auto"/>
                <w:sz w:val="24"/>
                <w:szCs w:val="24"/>
                <w:highlight w:val="none"/>
                <w:u w:val="single" w:color="auto"/>
              </w:rPr>
              <w:t>总悬浮颗粒物</w:t>
            </w:r>
            <w:r>
              <w:rPr>
                <w:rFonts w:hint="eastAsia" w:cs="Times New Roman"/>
                <w:color w:val="auto"/>
                <w:sz w:val="24"/>
                <w:szCs w:val="24"/>
                <w:highlight w:val="none"/>
                <w:u w:val="single" w:color="auto"/>
                <w:lang w:eastAsia="zh-CN"/>
              </w:rPr>
              <w:t>、</w:t>
            </w:r>
            <w:r>
              <w:rPr>
                <w:rFonts w:hint="eastAsia" w:ascii="Times New Roman" w:hAnsi="Times New Roman" w:cs="Times New Roman"/>
                <w:color w:val="auto"/>
                <w:sz w:val="24"/>
                <w:szCs w:val="24"/>
                <w:u w:val="single" w:color="auto"/>
                <w:lang w:eastAsia="zh-CN"/>
              </w:rPr>
              <w:t>总挥发性有机物</w:t>
            </w:r>
            <w:r>
              <w:rPr>
                <w:rFonts w:hint="eastAsia" w:cs="Times New Roman"/>
                <w:color w:val="auto"/>
                <w:sz w:val="24"/>
                <w:szCs w:val="24"/>
                <w:u w:val="single" w:color="auto"/>
                <w:lang w:eastAsia="zh-CN"/>
              </w:rPr>
              <w:t>、二甲苯及</w:t>
            </w:r>
            <w:r>
              <w:rPr>
                <w:rFonts w:hint="eastAsia" w:cs="Times New Roman"/>
                <w:color w:val="auto"/>
                <w:sz w:val="24"/>
                <w:szCs w:val="24"/>
                <w:u w:val="single" w:color="auto"/>
                <w:lang w:val="en-US" w:eastAsia="zh-CN"/>
              </w:rPr>
              <w:t>甲苯进行的</w:t>
            </w:r>
            <w:r>
              <w:rPr>
                <w:rFonts w:hint="eastAsia" w:cs="Times New Roman"/>
                <w:color w:val="auto"/>
                <w:kern w:val="0"/>
                <w:sz w:val="24"/>
                <w:szCs w:val="20"/>
                <w:highlight w:val="none"/>
                <w:u w:val="single" w:color="auto"/>
                <w:lang w:val="en-US" w:eastAsia="zh-CN"/>
              </w:rPr>
              <w:t>现状监测</w:t>
            </w:r>
            <w:r>
              <w:rPr>
                <w:rFonts w:hint="eastAsia" w:ascii="Times New Roman" w:hAnsi="Times New Roman" w:eastAsia="宋体" w:cs="Times New Roman"/>
                <w:color w:val="auto"/>
                <w:sz w:val="24"/>
                <w:highlight w:val="none"/>
                <w:u w:val="single" w:color="auto"/>
                <w:lang w:val="en-US" w:eastAsia="zh-CN"/>
              </w:rPr>
              <w:t>数据（</w:t>
            </w:r>
            <w:r>
              <w:rPr>
                <w:rFonts w:hint="default" w:ascii="Times New Roman" w:hAnsi="Times New Roman" w:eastAsia="宋体" w:cs="Times New Roman"/>
                <w:color w:val="auto"/>
                <w:sz w:val="24"/>
                <w:szCs w:val="24"/>
                <w:highlight w:val="none"/>
                <w:u w:val="single" w:color="auto"/>
              </w:rPr>
              <w:t>该监测点位于本项目</w:t>
            </w:r>
            <w:r>
              <w:rPr>
                <w:rFonts w:hint="eastAsia" w:cs="Times New Roman"/>
                <w:color w:val="auto"/>
                <w:sz w:val="24"/>
                <w:szCs w:val="24"/>
                <w:highlight w:val="none"/>
                <w:u w:val="single" w:color="auto"/>
                <w:lang w:val="en-US" w:eastAsia="zh-CN"/>
              </w:rPr>
              <w:t>东侧2.8km</w:t>
            </w:r>
            <w:r>
              <w:rPr>
                <w:rFonts w:hint="default" w:ascii="Times New Roman" w:hAnsi="Times New Roman" w:eastAsia="宋体" w:cs="Times New Roman"/>
                <w:color w:val="auto"/>
                <w:sz w:val="24"/>
                <w:szCs w:val="24"/>
                <w:highlight w:val="none"/>
                <w:u w:val="single" w:color="auto"/>
              </w:rPr>
              <w:t>处</w:t>
            </w:r>
            <w:r>
              <w:rPr>
                <w:rFonts w:hint="eastAsia" w:ascii="Times New Roman" w:hAnsi="Times New Roman" w:eastAsia="宋体" w:cs="Times New Roman"/>
                <w:color w:val="auto"/>
                <w:sz w:val="24"/>
                <w:highlight w:val="none"/>
                <w:u w:val="single" w:color="auto"/>
                <w:lang w:val="en-US" w:eastAsia="zh-CN"/>
              </w:rPr>
              <w:t>）</w:t>
            </w:r>
            <w:r>
              <w:rPr>
                <w:rFonts w:hint="eastAsia" w:ascii="Times New Roman" w:hAnsi="Times New Roman" w:eastAsia="宋体" w:cs="Times New Roman"/>
                <w:color w:val="auto"/>
                <w:sz w:val="24"/>
                <w:szCs w:val="24"/>
                <w:highlight w:val="none"/>
                <w:u w:val="single" w:color="auto"/>
                <w:lang w:val="en-US" w:eastAsia="zh-CN"/>
              </w:rPr>
              <w:t>，上述引用的环境空气质量现状监测点位满足《</w:t>
            </w:r>
            <w:r>
              <w:rPr>
                <w:rFonts w:hint="default" w:ascii="Times New Roman" w:hAnsi="Times New Roman" w:eastAsia="宋体" w:cs="Times New Roman"/>
                <w:color w:val="auto"/>
                <w:sz w:val="24"/>
                <w:szCs w:val="24"/>
                <w:highlight w:val="none"/>
                <w:u w:val="single" w:color="auto"/>
                <w:lang w:eastAsia="zh-CN"/>
              </w:rPr>
              <w:t>建设项目环境影响报告表编制技术指南（污染影响类）</w:t>
            </w:r>
            <w:r>
              <w:rPr>
                <w:rFonts w:hint="eastAsia" w:ascii="Times New Roman" w:hAnsi="Times New Roman" w:eastAsia="宋体" w:cs="Times New Roman"/>
                <w:color w:val="auto"/>
                <w:sz w:val="24"/>
                <w:szCs w:val="24"/>
                <w:highlight w:val="none"/>
                <w:u w:val="single" w:color="auto"/>
                <w:lang w:eastAsia="zh-CN"/>
              </w:rPr>
              <w:t>（</w:t>
            </w:r>
            <w:r>
              <w:rPr>
                <w:rFonts w:hint="eastAsia" w:ascii="Times New Roman" w:hAnsi="Times New Roman" w:eastAsia="宋体" w:cs="Times New Roman"/>
                <w:color w:val="auto"/>
                <w:sz w:val="24"/>
                <w:szCs w:val="24"/>
                <w:highlight w:val="none"/>
                <w:u w:val="single" w:color="auto"/>
                <w:lang w:val="en-US" w:eastAsia="zh-CN"/>
              </w:rPr>
              <w:t>试行</w:t>
            </w:r>
            <w:r>
              <w:rPr>
                <w:rFonts w:hint="eastAsia" w:ascii="Times New Roman" w:hAnsi="Times New Roman" w:eastAsia="宋体" w:cs="Times New Roman"/>
                <w:color w:val="auto"/>
                <w:sz w:val="24"/>
                <w:szCs w:val="24"/>
                <w:highlight w:val="none"/>
                <w:u w:val="single" w:color="auto"/>
                <w:lang w:eastAsia="zh-CN"/>
              </w:rPr>
              <w:t>）</w:t>
            </w:r>
            <w:r>
              <w:rPr>
                <w:rFonts w:hint="default" w:ascii="Times New Roman" w:hAnsi="Times New Roman" w:eastAsia="宋体" w:cs="Times New Roman"/>
                <w:color w:val="auto"/>
                <w:sz w:val="24"/>
                <w:szCs w:val="24"/>
                <w:highlight w:val="none"/>
                <w:u w:val="single" w:color="auto"/>
                <w:lang w:eastAsia="zh-CN"/>
              </w:rPr>
              <w:t>》</w:t>
            </w:r>
            <w:r>
              <w:rPr>
                <w:rFonts w:hint="eastAsia" w:ascii="Times New Roman" w:hAnsi="Times New Roman" w:eastAsia="宋体" w:cs="Times New Roman"/>
                <w:color w:val="auto"/>
                <w:sz w:val="24"/>
                <w:szCs w:val="24"/>
                <w:highlight w:val="none"/>
                <w:u w:val="single" w:color="auto"/>
                <w:lang w:val="en-US" w:eastAsia="zh-CN"/>
              </w:rPr>
              <w:t>中“国家、地方环境空气质量标准中有标准限值要求的特征污染物时，引用建设项目周边5千米范围内近3年的现有监测数据”的要求，因此，本项目引用的环境空气监测数据有效。监测结果见表3-2。</w:t>
            </w:r>
          </w:p>
          <w:p w14:paraId="34B6AE27">
            <w:pPr>
              <w:pBdr>
                <w:top w:val="none" w:color="auto" w:sz="0" w:space="1"/>
                <w:left w:val="none" w:color="auto" w:sz="0" w:space="4"/>
                <w:bottom w:val="none" w:color="auto" w:sz="0" w:space="1"/>
                <w:right w:val="none" w:color="auto" w:sz="0" w:space="4"/>
                <w:between w:val="none" w:color="auto" w:sz="0" w:space="0"/>
              </w:pBdr>
              <w:spacing w:before="0" w:beforeLines="0" w:line="240" w:lineRule="auto"/>
              <w:ind w:firstLine="0" w:firstLineChars="0"/>
              <w:jc w:val="center"/>
              <w:outlineLvl w:val="9"/>
              <w:rPr>
                <w:rFonts w:hint="default" w:ascii="Times New Roman" w:hAnsi="Times New Roman" w:eastAsia="宋体" w:cs="Times New Roman"/>
                <w:b/>
                <w:bCs/>
                <w:color w:val="auto"/>
                <w:sz w:val="21"/>
                <w:szCs w:val="21"/>
                <w:highlight w:val="none"/>
                <w:u w:val="single" w:color="auto"/>
                <w:lang w:val="en-US" w:eastAsia="zh-CN"/>
              </w:rPr>
            </w:pPr>
            <w:r>
              <w:rPr>
                <w:rFonts w:hint="default" w:ascii="Times New Roman" w:hAnsi="Times New Roman" w:eastAsia="宋体" w:cs="Times New Roman"/>
                <w:b/>
                <w:bCs/>
                <w:color w:val="auto"/>
                <w:sz w:val="21"/>
                <w:szCs w:val="21"/>
                <w:highlight w:val="none"/>
                <w:u w:val="single" w:color="auto"/>
                <w:lang w:val="en-US" w:eastAsia="zh-CN"/>
              </w:rPr>
              <w:t>表3-</w:t>
            </w:r>
            <w:r>
              <w:rPr>
                <w:rFonts w:hint="eastAsia" w:ascii="Times New Roman" w:hAnsi="Times New Roman" w:eastAsia="宋体" w:cs="Times New Roman"/>
                <w:b/>
                <w:bCs/>
                <w:color w:val="auto"/>
                <w:sz w:val="21"/>
                <w:szCs w:val="21"/>
                <w:highlight w:val="none"/>
                <w:u w:val="single" w:color="auto"/>
                <w:lang w:val="en-US" w:eastAsia="zh-CN"/>
              </w:rPr>
              <w:t>2</w:t>
            </w:r>
            <w:r>
              <w:rPr>
                <w:rFonts w:hint="default" w:ascii="Times New Roman" w:hAnsi="Times New Roman" w:eastAsia="宋体" w:cs="Times New Roman"/>
                <w:b/>
                <w:bCs/>
                <w:color w:val="auto"/>
                <w:sz w:val="21"/>
                <w:szCs w:val="21"/>
                <w:highlight w:val="none"/>
                <w:u w:val="single" w:color="auto"/>
                <w:lang w:val="en-US" w:eastAsia="zh-CN"/>
              </w:rPr>
              <w:t xml:space="preserve">  现状</w:t>
            </w:r>
            <w:r>
              <w:rPr>
                <w:rFonts w:hint="eastAsia" w:ascii="Times New Roman" w:hAnsi="Times New Roman" w:eastAsia="宋体" w:cs="Times New Roman"/>
                <w:b/>
                <w:bCs/>
                <w:color w:val="auto"/>
                <w:sz w:val="21"/>
                <w:szCs w:val="21"/>
                <w:highlight w:val="none"/>
                <w:u w:val="single" w:color="auto"/>
                <w:lang w:val="en-US" w:eastAsia="zh-CN"/>
              </w:rPr>
              <w:t>监测</w:t>
            </w:r>
            <w:r>
              <w:rPr>
                <w:rFonts w:hint="default" w:ascii="Times New Roman" w:hAnsi="Times New Roman" w:eastAsia="宋体" w:cs="Times New Roman"/>
                <w:b/>
                <w:bCs/>
                <w:color w:val="auto"/>
                <w:sz w:val="21"/>
                <w:szCs w:val="21"/>
                <w:highlight w:val="none"/>
                <w:u w:val="single" w:color="auto"/>
                <w:lang w:val="en-US" w:eastAsia="zh-CN"/>
              </w:rPr>
              <w:t>结果</w:t>
            </w:r>
            <w:r>
              <w:rPr>
                <w:rFonts w:hint="eastAsia" w:ascii="Times New Roman" w:hAnsi="Times New Roman" w:eastAsia="宋体" w:cs="Times New Roman"/>
                <w:b/>
                <w:bCs/>
                <w:color w:val="auto"/>
                <w:sz w:val="21"/>
                <w:szCs w:val="21"/>
                <w:highlight w:val="none"/>
                <w:u w:val="single" w:color="auto"/>
                <w:lang w:val="en-US" w:eastAsia="zh-CN"/>
              </w:rPr>
              <w:t xml:space="preserve">  </w:t>
            </w:r>
            <w:r>
              <w:rPr>
                <w:rFonts w:hint="default" w:ascii="Times New Roman" w:hAnsi="Times New Roman" w:eastAsia="宋体" w:cs="Times New Roman"/>
                <w:b/>
                <w:bCs/>
                <w:color w:val="auto"/>
                <w:sz w:val="21"/>
                <w:szCs w:val="21"/>
                <w:highlight w:val="none"/>
                <w:u w:val="single" w:color="auto"/>
                <w:lang w:val="en-US" w:eastAsia="zh-CN"/>
              </w:rPr>
              <w:t xml:space="preserve">   单位：mg/m³</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2544"/>
              <w:gridCol w:w="1664"/>
              <w:gridCol w:w="898"/>
              <w:gridCol w:w="800"/>
              <w:gridCol w:w="801"/>
              <w:gridCol w:w="903"/>
            </w:tblGrid>
            <w:tr w14:paraId="7840F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 w:type="pct"/>
                  <w:vAlign w:val="center"/>
                </w:tcPr>
                <w:p w14:paraId="6267AB89">
                  <w:pPr>
                    <w:spacing w:line="240" w:lineRule="atLeast"/>
                    <w:ind w:firstLine="0" w:firstLineChars="0"/>
                    <w:jc w:val="center"/>
                    <w:rPr>
                      <w:sz w:val="21"/>
                      <w:szCs w:val="22"/>
                      <w:u w:val="single" w:color="auto"/>
                    </w:rPr>
                  </w:pPr>
                  <w:r>
                    <w:rPr>
                      <w:sz w:val="21"/>
                      <w:szCs w:val="22"/>
                      <w:u w:val="single" w:color="auto"/>
                    </w:rPr>
                    <w:t>监测点位</w:t>
                  </w:r>
                </w:p>
              </w:tc>
              <w:tc>
                <w:tcPr>
                  <w:tcW w:w="1560" w:type="pct"/>
                  <w:vAlign w:val="center"/>
                </w:tcPr>
                <w:p w14:paraId="5975D2BE">
                  <w:pPr>
                    <w:spacing w:line="240" w:lineRule="atLeast"/>
                    <w:ind w:firstLine="0" w:firstLineChars="0"/>
                    <w:jc w:val="center"/>
                    <w:rPr>
                      <w:sz w:val="21"/>
                      <w:szCs w:val="22"/>
                      <w:u w:val="single" w:color="auto"/>
                    </w:rPr>
                  </w:pPr>
                  <w:r>
                    <w:rPr>
                      <w:sz w:val="21"/>
                      <w:szCs w:val="22"/>
                      <w:u w:val="single" w:color="auto"/>
                    </w:rPr>
                    <w:t>污染物</w:t>
                  </w:r>
                </w:p>
              </w:tc>
              <w:tc>
                <w:tcPr>
                  <w:tcW w:w="1020" w:type="pct"/>
                  <w:noWrap/>
                  <w:vAlign w:val="center"/>
                </w:tcPr>
                <w:p w14:paraId="75FA6166">
                  <w:pPr>
                    <w:spacing w:line="240" w:lineRule="atLeast"/>
                    <w:ind w:firstLine="0" w:firstLineChars="0"/>
                    <w:jc w:val="center"/>
                    <w:rPr>
                      <w:sz w:val="21"/>
                      <w:szCs w:val="22"/>
                      <w:u w:val="single" w:color="auto"/>
                    </w:rPr>
                  </w:pPr>
                  <w:r>
                    <w:rPr>
                      <w:sz w:val="21"/>
                      <w:szCs w:val="22"/>
                      <w:u w:val="single" w:color="auto"/>
                    </w:rPr>
                    <w:t>浓度范围</w:t>
                  </w:r>
                </w:p>
              </w:tc>
              <w:tc>
                <w:tcPr>
                  <w:tcW w:w="550" w:type="pct"/>
                  <w:noWrap/>
                  <w:vAlign w:val="center"/>
                </w:tcPr>
                <w:p w14:paraId="29E8AA66">
                  <w:pPr>
                    <w:spacing w:line="240" w:lineRule="atLeast"/>
                    <w:ind w:firstLine="0" w:firstLineChars="0"/>
                    <w:jc w:val="center"/>
                    <w:rPr>
                      <w:sz w:val="21"/>
                      <w:szCs w:val="22"/>
                      <w:u w:val="single" w:color="auto"/>
                    </w:rPr>
                  </w:pPr>
                  <w:r>
                    <w:rPr>
                      <w:sz w:val="21"/>
                      <w:szCs w:val="22"/>
                      <w:u w:val="single" w:color="auto"/>
                    </w:rPr>
                    <w:t>平均值</w:t>
                  </w:r>
                </w:p>
              </w:tc>
              <w:tc>
                <w:tcPr>
                  <w:tcW w:w="490" w:type="pct"/>
                  <w:vAlign w:val="center"/>
                </w:tcPr>
                <w:p w14:paraId="26D4B455">
                  <w:pPr>
                    <w:spacing w:line="240" w:lineRule="atLeast"/>
                    <w:ind w:firstLine="0" w:firstLineChars="0"/>
                    <w:jc w:val="center"/>
                    <w:rPr>
                      <w:sz w:val="21"/>
                      <w:szCs w:val="22"/>
                      <w:u w:val="single" w:color="auto"/>
                    </w:rPr>
                  </w:pPr>
                  <w:r>
                    <w:rPr>
                      <w:sz w:val="21"/>
                      <w:szCs w:val="22"/>
                      <w:u w:val="single" w:color="auto"/>
                    </w:rPr>
                    <w:t>最大占标率</w:t>
                  </w:r>
                  <w:r>
                    <w:rPr>
                      <w:rFonts w:hint="eastAsia"/>
                      <w:sz w:val="21"/>
                      <w:szCs w:val="22"/>
                      <w:u w:val="single" w:color="auto"/>
                    </w:rPr>
                    <w:t>%</w:t>
                  </w:r>
                </w:p>
              </w:tc>
              <w:tc>
                <w:tcPr>
                  <w:tcW w:w="491" w:type="pct"/>
                  <w:vAlign w:val="center"/>
                </w:tcPr>
                <w:p w14:paraId="52FA639B">
                  <w:pPr>
                    <w:spacing w:line="240" w:lineRule="atLeast"/>
                    <w:ind w:firstLine="0" w:firstLineChars="0"/>
                    <w:jc w:val="center"/>
                    <w:rPr>
                      <w:sz w:val="21"/>
                      <w:szCs w:val="22"/>
                      <w:u w:val="single" w:color="auto"/>
                    </w:rPr>
                  </w:pPr>
                  <w:r>
                    <w:rPr>
                      <w:sz w:val="21"/>
                      <w:szCs w:val="22"/>
                      <w:u w:val="single" w:color="auto"/>
                    </w:rPr>
                    <w:t>达标情况</w:t>
                  </w:r>
                </w:p>
              </w:tc>
              <w:tc>
                <w:tcPr>
                  <w:tcW w:w="553" w:type="pct"/>
                  <w:noWrap/>
                  <w:vAlign w:val="center"/>
                </w:tcPr>
                <w:p w14:paraId="507D6136">
                  <w:pPr>
                    <w:spacing w:line="240" w:lineRule="atLeast"/>
                    <w:ind w:firstLine="0" w:firstLineChars="0"/>
                    <w:jc w:val="center"/>
                    <w:rPr>
                      <w:sz w:val="21"/>
                      <w:szCs w:val="22"/>
                      <w:u w:val="single" w:color="auto"/>
                    </w:rPr>
                  </w:pPr>
                  <w:r>
                    <w:rPr>
                      <w:sz w:val="21"/>
                      <w:szCs w:val="22"/>
                      <w:u w:val="single" w:color="auto"/>
                    </w:rPr>
                    <w:t>标准值</w:t>
                  </w:r>
                </w:p>
              </w:tc>
            </w:tr>
            <w:tr w14:paraId="7D33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 w:type="pct"/>
                  <w:vMerge w:val="restart"/>
                  <w:vAlign w:val="center"/>
                </w:tcPr>
                <w:p w14:paraId="239CD147">
                  <w:pPr>
                    <w:spacing w:line="240" w:lineRule="atLeast"/>
                    <w:ind w:firstLine="0" w:firstLineChars="0"/>
                    <w:jc w:val="center"/>
                    <w:rPr>
                      <w:sz w:val="21"/>
                      <w:szCs w:val="22"/>
                      <w:u w:val="single" w:color="auto"/>
                    </w:rPr>
                  </w:pPr>
                  <w:r>
                    <w:rPr>
                      <w:sz w:val="21"/>
                      <w:szCs w:val="22"/>
                      <w:u w:val="single" w:color="auto"/>
                    </w:rPr>
                    <w:t>A1</w:t>
                  </w:r>
                  <w:r>
                    <w:rPr>
                      <w:rFonts w:hint="eastAsia"/>
                      <w:sz w:val="21"/>
                      <w:szCs w:val="22"/>
                      <w:u w:val="single" w:color="auto"/>
                    </w:rPr>
                    <w:t>青光村</w:t>
                  </w:r>
                </w:p>
              </w:tc>
              <w:tc>
                <w:tcPr>
                  <w:tcW w:w="1560" w:type="pct"/>
                  <w:vAlign w:val="center"/>
                </w:tcPr>
                <w:p w14:paraId="33DAAFDC">
                  <w:pPr>
                    <w:spacing w:line="240" w:lineRule="atLeast"/>
                    <w:ind w:firstLine="0" w:firstLineChars="0"/>
                    <w:jc w:val="center"/>
                    <w:rPr>
                      <w:sz w:val="21"/>
                      <w:szCs w:val="22"/>
                      <w:u w:val="single" w:color="auto"/>
                    </w:rPr>
                  </w:pPr>
                  <w:r>
                    <w:rPr>
                      <w:sz w:val="21"/>
                      <w:szCs w:val="22"/>
                      <w:u w:val="single" w:color="auto"/>
                    </w:rPr>
                    <w:t>甲苯（小时均值）</w:t>
                  </w:r>
                </w:p>
              </w:tc>
              <w:tc>
                <w:tcPr>
                  <w:tcW w:w="1020" w:type="pct"/>
                  <w:noWrap/>
                  <w:vAlign w:val="center"/>
                </w:tcPr>
                <w:p w14:paraId="7BA4D0C6">
                  <w:pPr>
                    <w:spacing w:line="240" w:lineRule="atLeast"/>
                    <w:ind w:firstLine="0" w:firstLineChars="0"/>
                    <w:jc w:val="center"/>
                    <w:rPr>
                      <w:sz w:val="21"/>
                      <w:szCs w:val="22"/>
                      <w:u w:val="single" w:color="auto"/>
                    </w:rPr>
                  </w:pPr>
                  <w:r>
                    <w:rPr>
                      <w:sz w:val="21"/>
                      <w:szCs w:val="22"/>
                      <w:u w:val="single" w:color="auto"/>
                    </w:rPr>
                    <w:t>ND</w:t>
                  </w:r>
                </w:p>
              </w:tc>
              <w:tc>
                <w:tcPr>
                  <w:tcW w:w="550" w:type="pct"/>
                  <w:noWrap/>
                  <w:vAlign w:val="center"/>
                </w:tcPr>
                <w:p w14:paraId="6DA4B1AB">
                  <w:pPr>
                    <w:spacing w:line="240" w:lineRule="atLeast"/>
                    <w:ind w:firstLine="0" w:firstLineChars="0"/>
                    <w:jc w:val="center"/>
                    <w:rPr>
                      <w:sz w:val="21"/>
                      <w:szCs w:val="22"/>
                      <w:u w:val="single" w:color="auto"/>
                    </w:rPr>
                  </w:pPr>
                  <w:r>
                    <w:rPr>
                      <w:sz w:val="21"/>
                      <w:szCs w:val="22"/>
                      <w:u w:val="single" w:color="auto"/>
                    </w:rPr>
                    <w:t>/</w:t>
                  </w:r>
                </w:p>
              </w:tc>
              <w:tc>
                <w:tcPr>
                  <w:tcW w:w="490" w:type="pct"/>
                  <w:vAlign w:val="center"/>
                </w:tcPr>
                <w:p w14:paraId="08DD0FFB">
                  <w:pPr>
                    <w:spacing w:line="240" w:lineRule="atLeast"/>
                    <w:ind w:firstLine="0" w:firstLineChars="0"/>
                    <w:jc w:val="center"/>
                    <w:rPr>
                      <w:sz w:val="21"/>
                      <w:szCs w:val="22"/>
                      <w:u w:val="single" w:color="auto"/>
                    </w:rPr>
                  </w:pPr>
                  <w:r>
                    <w:rPr>
                      <w:sz w:val="21"/>
                      <w:szCs w:val="22"/>
                      <w:u w:val="single" w:color="auto"/>
                    </w:rPr>
                    <w:t>/</w:t>
                  </w:r>
                </w:p>
              </w:tc>
              <w:tc>
                <w:tcPr>
                  <w:tcW w:w="491" w:type="pct"/>
                  <w:vAlign w:val="center"/>
                </w:tcPr>
                <w:p w14:paraId="6C0461B8">
                  <w:pPr>
                    <w:spacing w:line="240" w:lineRule="atLeast"/>
                    <w:ind w:firstLine="0" w:firstLineChars="0"/>
                    <w:jc w:val="center"/>
                    <w:rPr>
                      <w:sz w:val="21"/>
                      <w:szCs w:val="22"/>
                      <w:u w:val="single" w:color="auto"/>
                    </w:rPr>
                  </w:pPr>
                  <w:r>
                    <w:rPr>
                      <w:sz w:val="21"/>
                      <w:szCs w:val="22"/>
                      <w:u w:val="single" w:color="auto"/>
                    </w:rPr>
                    <w:t>达标</w:t>
                  </w:r>
                </w:p>
              </w:tc>
              <w:tc>
                <w:tcPr>
                  <w:tcW w:w="553" w:type="pct"/>
                  <w:noWrap/>
                  <w:vAlign w:val="center"/>
                </w:tcPr>
                <w:p w14:paraId="1C5ED231">
                  <w:pPr>
                    <w:spacing w:line="240" w:lineRule="atLeast"/>
                    <w:ind w:firstLine="0" w:firstLineChars="0"/>
                    <w:jc w:val="center"/>
                    <w:rPr>
                      <w:sz w:val="21"/>
                      <w:szCs w:val="22"/>
                      <w:u w:val="single" w:color="auto"/>
                    </w:rPr>
                  </w:pPr>
                  <w:r>
                    <w:rPr>
                      <w:sz w:val="21"/>
                      <w:szCs w:val="22"/>
                      <w:u w:val="single" w:color="auto"/>
                    </w:rPr>
                    <w:t>0.2</w:t>
                  </w:r>
                </w:p>
              </w:tc>
            </w:tr>
            <w:tr w14:paraId="312E8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 w:type="pct"/>
                  <w:vMerge w:val="continue"/>
                  <w:vAlign w:val="center"/>
                </w:tcPr>
                <w:p w14:paraId="01B235D3">
                  <w:pPr>
                    <w:spacing w:line="240" w:lineRule="atLeast"/>
                    <w:ind w:firstLine="0" w:firstLineChars="0"/>
                    <w:jc w:val="center"/>
                    <w:rPr>
                      <w:sz w:val="21"/>
                      <w:szCs w:val="22"/>
                      <w:u w:val="single" w:color="auto"/>
                    </w:rPr>
                  </w:pPr>
                </w:p>
              </w:tc>
              <w:tc>
                <w:tcPr>
                  <w:tcW w:w="1560" w:type="pct"/>
                  <w:vAlign w:val="center"/>
                </w:tcPr>
                <w:p w14:paraId="7EA0ED08">
                  <w:pPr>
                    <w:spacing w:line="240" w:lineRule="atLeast"/>
                    <w:ind w:firstLine="0" w:firstLineChars="0"/>
                    <w:jc w:val="center"/>
                    <w:rPr>
                      <w:sz w:val="21"/>
                      <w:szCs w:val="22"/>
                      <w:u w:val="single" w:color="auto"/>
                    </w:rPr>
                  </w:pPr>
                  <w:r>
                    <w:rPr>
                      <w:sz w:val="21"/>
                      <w:szCs w:val="22"/>
                      <w:u w:val="single" w:color="auto"/>
                    </w:rPr>
                    <w:t>二甲苯（小时均值）</w:t>
                  </w:r>
                </w:p>
              </w:tc>
              <w:tc>
                <w:tcPr>
                  <w:tcW w:w="1020" w:type="pct"/>
                  <w:noWrap/>
                  <w:vAlign w:val="center"/>
                </w:tcPr>
                <w:p w14:paraId="35640C07">
                  <w:pPr>
                    <w:spacing w:line="240" w:lineRule="atLeast"/>
                    <w:ind w:firstLine="0" w:firstLineChars="0"/>
                    <w:jc w:val="center"/>
                    <w:rPr>
                      <w:sz w:val="21"/>
                      <w:szCs w:val="22"/>
                      <w:u w:val="single" w:color="auto"/>
                    </w:rPr>
                  </w:pPr>
                  <w:r>
                    <w:rPr>
                      <w:sz w:val="21"/>
                      <w:szCs w:val="22"/>
                      <w:u w:val="single" w:color="auto"/>
                    </w:rPr>
                    <w:t>ND</w:t>
                  </w:r>
                </w:p>
              </w:tc>
              <w:tc>
                <w:tcPr>
                  <w:tcW w:w="550" w:type="pct"/>
                  <w:noWrap/>
                  <w:vAlign w:val="center"/>
                </w:tcPr>
                <w:p w14:paraId="41C72AFA">
                  <w:pPr>
                    <w:spacing w:line="240" w:lineRule="atLeast"/>
                    <w:ind w:firstLine="0" w:firstLineChars="0"/>
                    <w:jc w:val="center"/>
                    <w:rPr>
                      <w:sz w:val="21"/>
                      <w:szCs w:val="22"/>
                      <w:u w:val="single" w:color="auto"/>
                    </w:rPr>
                  </w:pPr>
                  <w:r>
                    <w:rPr>
                      <w:sz w:val="21"/>
                      <w:szCs w:val="22"/>
                      <w:u w:val="single" w:color="auto"/>
                    </w:rPr>
                    <w:t>/</w:t>
                  </w:r>
                </w:p>
              </w:tc>
              <w:tc>
                <w:tcPr>
                  <w:tcW w:w="490" w:type="pct"/>
                  <w:vAlign w:val="center"/>
                </w:tcPr>
                <w:p w14:paraId="48ACA39E">
                  <w:pPr>
                    <w:spacing w:line="240" w:lineRule="atLeast"/>
                    <w:ind w:firstLine="0" w:firstLineChars="0"/>
                    <w:jc w:val="center"/>
                    <w:rPr>
                      <w:sz w:val="21"/>
                      <w:szCs w:val="22"/>
                      <w:u w:val="single" w:color="auto"/>
                    </w:rPr>
                  </w:pPr>
                  <w:r>
                    <w:rPr>
                      <w:sz w:val="21"/>
                      <w:szCs w:val="22"/>
                      <w:u w:val="single" w:color="auto"/>
                    </w:rPr>
                    <w:t>/</w:t>
                  </w:r>
                </w:p>
              </w:tc>
              <w:tc>
                <w:tcPr>
                  <w:tcW w:w="491" w:type="pct"/>
                  <w:vAlign w:val="center"/>
                </w:tcPr>
                <w:p w14:paraId="096BB822">
                  <w:pPr>
                    <w:spacing w:line="240" w:lineRule="atLeast"/>
                    <w:ind w:firstLine="0" w:firstLineChars="0"/>
                    <w:jc w:val="center"/>
                    <w:rPr>
                      <w:sz w:val="21"/>
                      <w:szCs w:val="22"/>
                      <w:u w:val="single" w:color="auto"/>
                    </w:rPr>
                  </w:pPr>
                  <w:r>
                    <w:rPr>
                      <w:sz w:val="21"/>
                      <w:szCs w:val="22"/>
                      <w:u w:val="single" w:color="auto"/>
                    </w:rPr>
                    <w:t>达标</w:t>
                  </w:r>
                </w:p>
              </w:tc>
              <w:tc>
                <w:tcPr>
                  <w:tcW w:w="553" w:type="pct"/>
                  <w:noWrap/>
                  <w:vAlign w:val="center"/>
                </w:tcPr>
                <w:p w14:paraId="307A9220">
                  <w:pPr>
                    <w:spacing w:line="240" w:lineRule="atLeast"/>
                    <w:ind w:firstLine="0" w:firstLineChars="0"/>
                    <w:jc w:val="center"/>
                    <w:rPr>
                      <w:sz w:val="21"/>
                      <w:szCs w:val="22"/>
                      <w:u w:val="single" w:color="auto"/>
                    </w:rPr>
                  </w:pPr>
                  <w:r>
                    <w:rPr>
                      <w:sz w:val="21"/>
                      <w:szCs w:val="22"/>
                      <w:u w:val="single" w:color="auto"/>
                    </w:rPr>
                    <w:t>0.2</w:t>
                  </w:r>
                </w:p>
              </w:tc>
            </w:tr>
            <w:tr w14:paraId="23CC1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 w:type="pct"/>
                  <w:vMerge w:val="continue"/>
                  <w:vAlign w:val="center"/>
                </w:tcPr>
                <w:p w14:paraId="3ED6A2B6">
                  <w:pPr>
                    <w:spacing w:line="240" w:lineRule="atLeast"/>
                    <w:ind w:firstLine="0" w:firstLineChars="0"/>
                    <w:jc w:val="center"/>
                    <w:rPr>
                      <w:sz w:val="21"/>
                      <w:szCs w:val="22"/>
                      <w:u w:val="single" w:color="auto"/>
                    </w:rPr>
                  </w:pPr>
                </w:p>
              </w:tc>
              <w:tc>
                <w:tcPr>
                  <w:tcW w:w="1560" w:type="pct"/>
                  <w:vAlign w:val="center"/>
                </w:tcPr>
                <w:p w14:paraId="33100F73">
                  <w:pPr>
                    <w:spacing w:line="240" w:lineRule="atLeast"/>
                    <w:ind w:firstLine="0" w:firstLineChars="0"/>
                    <w:jc w:val="center"/>
                    <w:rPr>
                      <w:sz w:val="21"/>
                      <w:szCs w:val="22"/>
                      <w:u w:val="single" w:color="auto"/>
                    </w:rPr>
                  </w:pPr>
                  <w:r>
                    <w:rPr>
                      <w:sz w:val="21"/>
                      <w:szCs w:val="22"/>
                      <w:u w:val="single" w:color="auto"/>
                    </w:rPr>
                    <w:t>非甲烷总烃（</w:t>
                  </w:r>
                  <w:r>
                    <w:rPr>
                      <w:rFonts w:hint="eastAsia"/>
                      <w:sz w:val="21"/>
                      <w:szCs w:val="22"/>
                      <w:u w:val="single" w:color="auto"/>
                    </w:rPr>
                    <w:t>一次值</w:t>
                  </w:r>
                  <w:r>
                    <w:rPr>
                      <w:sz w:val="21"/>
                      <w:szCs w:val="22"/>
                      <w:u w:val="single" w:color="auto"/>
                    </w:rPr>
                    <w:t>）</w:t>
                  </w:r>
                </w:p>
              </w:tc>
              <w:tc>
                <w:tcPr>
                  <w:tcW w:w="1020" w:type="pct"/>
                  <w:noWrap/>
                  <w:vAlign w:val="center"/>
                </w:tcPr>
                <w:p w14:paraId="3693CD80">
                  <w:pPr>
                    <w:spacing w:line="240" w:lineRule="atLeast"/>
                    <w:ind w:firstLine="0" w:firstLineChars="0"/>
                    <w:jc w:val="center"/>
                    <w:rPr>
                      <w:sz w:val="21"/>
                      <w:szCs w:val="22"/>
                      <w:u w:val="single" w:color="auto"/>
                    </w:rPr>
                  </w:pPr>
                  <w:r>
                    <w:rPr>
                      <w:sz w:val="21"/>
                      <w:szCs w:val="22"/>
                      <w:u w:val="single" w:color="auto"/>
                    </w:rPr>
                    <w:t>0.77~1.13</w:t>
                  </w:r>
                </w:p>
              </w:tc>
              <w:tc>
                <w:tcPr>
                  <w:tcW w:w="550" w:type="pct"/>
                  <w:noWrap/>
                  <w:vAlign w:val="center"/>
                </w:tcPr>
                <w:p w14:paraId="5543568B">
                  <w:pPr>
                    <w:spacing w:line="240" w:lineRule="atLeast"/>
                    <w:ind w:firstLine="0" w:firstLineChars="0"/>
                    <w:jc w:val="center"/>
                    <w:rPr>
                      <w:sz w:val="21"/>
                      <w:szCs w:val="22"/>
                      <w:u w:val="single" w:color="auto"/>
                    </w:rPr>
                  </w:pPr>
                  <w:r>
                    <w:rPr>
                      <w:sz w:val="21"/>
                      <w:szCs w:val="22"/>
                      <w:u w:val="single" w:color="auto"/>
                    </w:rPr>
                    <w:t>1.04</w:t>
                  </w:r>
                </w:p>
              </w:tc>
              <w:tc>
                <w:tcPr>
                  <w:tcW w:w="490" w:type="pct"/>
                  <w:vAlign w:val="center"/>
                </w:tcPr>
                <w:p w14:paraId="60C16A87">
                  <w:pPr>
                    <w:spacing w:line="240" w:lineRule="atLeast"/>
                    <w:ind w:firstLine="0" w:firstLineChars="0"/>
                    <w:jc w:val="center"/>
                    <w:rPr>
                      <w:sz w:val="21"/>
                      <w:szCs w:val="22"/>
                      <w:u w:val="single" w:color="auto"/>
                    </w:rPr>
                  </w:pPr>
                  <w:r>
                    <w:rPr>
                      <w:sz w:val="21"/>
                      <w:szCs w:val="22"/>
                      <w:u w:val="single" w:color="auto"/>
                    </w:rPr>
                    <w:t xml:space="preserve">56.50 </w:t>
                  </w:r>
                </w:p>
              </w:tc>
              <w:tc>
                <w:tcPr>
                  <w:tcW w:w="491" w:type="pct"/>
                  <w:vAlign w:val="center"/>
                </w:tcPr>
                <w:p w14:paraId="5BDD1415">
                  <w:pPr>
                    <w:spacing w:line="240" w:lineRule="atLeast"/>
                    <w:ind w:firstLine="0" w:firstLineChars="0"/>
                    <w:jc w:val="center"/>
                    <w:rPr>
                      <w:sz w:val="21"/>
                      <w:szCs w:val="22"/>
                      <w:u w:val="single" w:color="auto"/>
                    </w:rPr>
                  </w:pPr>
                  <w:r>
                    <w:rPr>
                      <w:sz w:val="21"/>
                      <w:szCs w:val="22"/>
                      <w:u w:val="single" w:color="auto"/>
                    </w:rPr>
                    <w:t>达标</w:t>
                  </w:r>
                </w:p>
              </w:tc>
              <w:tc>
                <w:tcPr>
                  <w:tcW w:w="553" w:type="pct"/>
                  <w:noWrap/>
                  <w:vAlign w:val="center"/>
                </w:tcPr>
                <w:p w14:paraId="73E3BFCA">
                  <w:pPr>
                    <w:spacing w:line="240" w:lineRule="atLeast"/>
                    <w:ind w:firstLine="0" w:firstLineChars="0"/>
                    <w:jc w:val="center"/>
                    <w:rPr>
                      <w:sz w:val="21"/>
                      <w:szCs w:val="22"/>
                      <w:u w:val="single" w:color="auto"/>
                    </w:rPr>
                  </w:pPr>
                  <w:r>
                    <w:rPr>
                      <w:sz w:val="21"/>
                      <w:szCs w:val="22"/>
                      <w:u w:val="single" w:color="auto"/>
                    </w:rPr>
                    <w:t>2.0</w:t>
                  </w:r>
                </w:p>
              </w:tc>
            </w:tr>
            <w:tr w14:paraId="37FC0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 w:type="pct"/>
                  <w:vMerge w:val="continue"/>
                  <w:vAlign w:val="center"/>
                </w:tcPr>
                <w:p w14:paraId="3497B590">
                  <w:pPr>
                    <w:spacing w:line="240" w:lineRule="atLeast"/>
                    <w:ind w:firstLine="0" w:firstLineChars="0"/>
                    <w:jc w:val="center"/>
                    <w:rPr>
                      <w:sz w:val="21"/>
                      <w:szCs w:val="22"/>
                      <w:u w:val="single" w:color="auto"/>
                    </w:rPr>
                  </w:pPr>
                </w:p>
              </w:tc>
              <w:tc>
                <w:tcPr>
                  <w:tcW w:w="1560" w:type="pct"/>
                  <w:vAlign w:val="center"/>
                </w:tcPr>
                <w:p w14:paraId="6BF97AB4">
                  <w:pPr>
                    <w:spacing w:line="240" w:lineRule="atLeast"/>
                    <w:ind w:firstLine="0" w:firstLineChars="0"/>
                    <w:jc w:val="both"/>
                    <w:rPr>
                      <w:sz w:val="21"/>
                      <w:szCs w:val="22"/>
                      <w:u w:val="single" w:color="auto"/>
                    </w:rPr>
                  </w:pPr>
                  <w:r>
                    <w:rPr>
                      <w:sz w:val="21"/>
                      <w:szCs w:val="22"/>
                      <w:u w:val="single" w:color="auto"/>
                    </w:rPr>
                    <w:t>TVOC（8小时均值）</w:t>
                  </w:r>
                </w:p>
              </w:tc>
              <w:tc>
                <w:tcPr>
                  <w:tcW w:w="1020" w:type="pct"/>
                  <w:noWrap/>
                  <w:vAlign w:val="center"/>
                </w:tcPr>
                <w:p w14:paraId="6043EF5A">
                  <w:pPr>
                    <w:spacing w:line="240" w:lineRule="atLeast"/>
                    <w:ind w:firstLine="0" w:firstLineChars="0"/>
                    <w:jc w:val="center"/>
                    <w:rPr>
                      <w:sz w:val="21"/>
                      <w:szCs w:val="22"/>
                      <w:u w:val="single" w:color="auto"/>
                    </w:rPr>
                  </w:pPr>
                  <w:r>
                    <w:rPr>
                      <w:sz w:val="21"/>
                      <w:szCs w:val="22"/>
                      <w:u w:val="single" w:color="auto"/>
                    </w:rPr>
                    <w:t>0.0345~0.0934</w:t>
                  </w:r>
                </w:p>
              </w:tc>
              <w:tc>
                <w:tcPr>
                  <w:tcW w:w="550" w:type="pct"/>
                  <w:noWrap/>
                  <w:vAlign w:val="center"/>
                </w:tcPr>
                <w:p w14:paraId="4AAF8ED2">
                  <w:pPr>
                    <w:spacing w:line="240" w:lineRule="atLeast"/>
                    <w:ind w:firstLine="0" w:firstLineChars="0"/>
                    <w:jc w:val="center"/>
                    <w:rPr>
                      <w:sz w:val="21"/>
                      <w:szCs w:val="22"/>
                      <w:u w:val="single" w:color="auto"/>
                    </w:rPr>
                  </w:pPr>
                  <w:r>
                    <w:rPr>
                      <w:sz w:val="21"/>
                      <w:szCs w:val="22"/>
                      <w:u w:val="single" w:color="auto"/>
                    </w:rPr>
                    <w:t>0.06</w:t>
                  </w:r>
                </w:p>
              </w:tc>
              <w:tc>
                <w:tcPr>
                  <w:tcW w:w="490" w:type="pct"/>
                  <w:vAlign w:val="center"/>
                </w:tcPr>
                <w:p w14:paraId="7E6924FA">
                  <w:pPr>
                    <w:spacing w:line="240" w:lineRule="atLeast"/>
                    <w:ind w:firstLine="0" w:firstLineChars="0"/>
                    <w:jc w:val="center"/>
                    <w:rPr>
                      <w:sz w:val="21"/>
                      <w:szCs w:val="22"/>
                      <w:u w:val="single" w:color="auto"/>
                    </w:rPr>
                  </w:pPr>
                  <w:r>
                    <w:rPr>
                      <w:sz w:val="21"/>
                      <w:szCs w:val="22"/>
                      <w:u w:val="single" w:color="auto"/>
                    </w:rPr>
                    <w:t xml:space="preserve">15.57 </w:t>
                  </w:r>
                </w:p>
              </w:tc>
              <w:tc>
                <w:tcPr>
                  <w:tcW w:w="491" w:type="pct"/>
                  <w:vAlign w:val="center"/>
                </w:tcPr>
                <w:p w14:paraId="511B7941">
                  <w:pPr>
                    <w:spacing w:line="240" w:lineRule="atLeast"/>
                    <w:ind w:firstLine="0" w:firstLineChars="0"/>
                    <w:jc w:val="center"/>
                    <w:rPr>
                      <w:sz w:val="21"/>
                      <w:szCs w:val="22"/>
                      <w:u w:val="single" w:color="auto"/>
                    </w:rPr>
                  </w:pPr>
                  <w:r>
                    <w:rPr>
                      <w:sz w:val="21"/>
                      <w:szCs w:val="22"/>
                      <w:u w:val="single" w:color="auto"/>
                    </w:rPr>
                    <w:t>达标</w:t>
                  </w:r>
                </w:p>
              </w:tc>
              <w:tc>
                <w:tcPr>
                  <w:tcW w:w="553" w:type="pct"/>
                  <w:noWrap/>
                  <w:vAlign w:val="center"/>
                </w:tcPr>
                <w:p w14:paraId="3F03EA44">
                  <w:pPr>
                    <w:spacing w:line="240" w:lineRule="atLeast"/>
                    <w:ind w:firstLine="0" w:firstLineChars="0"/>
                    <w:jc w:val="center"/>
                    <w:rPr>
                      <w:sz w:val="21"/>
                      <w:szCs w:val="22"/>
                      <w:u w:val="single" w:color="auto"/>
                    </w:rPr>
                  </w:pPr>
                  <w:r>
                    <w:rPr>
                      <w:sz w:val="21"/>
                      <w:szCs w:val="22"/>
                      <w:u w:val="single" w:color="auto"/>
                    </w:rPr>
                    <w:t>0.6</w:t>
                  </w:r>
                </w:p>
              </w:tc>
            </w:tr>
            <w:tr w14:paraId="0ACA9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 w:type="pct"/>
                  <w:vMerge w:val="continue"/>
                  <w:vAlign w:val="center"/>
                </w:tcPr>
                <w:p w14:paraId="5531E8A1">
                  <w:pPr>
                    <w:spacing w:line="240" w:lineRule="atLeast"/>
                    <w:ind w:firstLine="0" w:firstLineChars="0"/>
                    <w:jc w:val="center"/>
                    <w:rPr>
                      <w:sz w:val="21"/>
                      <w:szCs w:val="22"/>
                      <w:u w:val="single" w:color="auto"/>
                    </w:rPr>
                  </w:pPr>
                </w:p>
              </w:tc>
              <w:tc>
                <w:tcPr>
                  <w:tcW w:w="1560" w:type="pct"/>
                  <w:vAlign w:val="center"/>
                </w:tcPr>
                <w:p w14:paraId="4FE24CEE">
                  <w:pPr>
                    <w:spacing w:line="240" w:lineRule="atLeast"/>
                    <w:ind w:firstLine="0" w:firstLineChars="0"/>
                    <w:jc w:val="center"/>
                    <w:rPr>
                      <w:sz w:val="21"/>
                      <w:szCs w:val="22"/>
                      <w:u w:val="single" w:color="auto"/>
                    </w:rPr>
                  </w:pPr>
                  <w:r>
                    <w:rPr>
                      <w:sz w:val="21"/>
                      <w:szCs w:val="22"/>
                      <w:u w:val="single" w:color="auto"/>
                    </w:rPr>
                    <w:t>TSP（日均值）</w:t>
                  </w:r>
                </w:p>
              </w:tc>
              <w:tc>
                <w:tcPr>
                  <w:tcW w:w="1020" w:type="pct"/>
                  <w:noWrap/>
                  <w:vAlign w:val="center"/>
                </w:tcPr>
                <w:p w14:paraId="61F26EBB">
                  <w:pPr>
                    <w:spacing w:line="240" w:lineRule="atLeast"/>
                    <w:ind w:firstLine="0" w:firstLineChars="0"/>
                    <w:jc w:val="center"/>
                    <w:rPr>
                      <w:sz w:val="21"/>
                      <w:szCs w:val="22"/>
                      <w:u w:val="single" w:color="auto"/>
                    </w:rPr>
                  </w:pPr>
                  <w:r>
                    <w:rPr>
                      <w:sz w:val="21"/>
                      <w:szCs w:val="22"/>
                      <w:u w:val="single" w:color="auto"/>
                    </w:rPr>
                    <w:t>0.099~0.149</w:t>
                  </w:r>
                </w:p>
              </w:tc>
              <w:tc>
                <w:tcPr>
                  <w:tcW w:w="550" w:type="pct"/>
                  <w:noWrap/>
                  <w:vAlign w:val="center"/>
                </w:tcPr>
                <w:p w14:paraId="33B3BC1E">
                  <w:pPr>
                    <w:spacing w:line="240" w:lineRule="atLeast"/>
                    <w:ind w:firstLine="0" w:firstLineChars="0"/>
                    <w:jc w:val="center"/>
                    <w:rPr>
                      <w:sz w:val="21"/>
                      <w:szCs w:val="22"/>
                      <w:u w:val="single" w:color="auto"/>
                    </w:rPr>
                  </w:pPr>
                  <w:r>
                    <w:rPr>
                      <w:sz w:val="21"/>
                      <w:szCs w:val="22"/>
                      <w:u w:val="single" w:color="auto"/>
                    </w:rPr>
                    <w:t>0.13</w:t>
                  </w:r>
                </w:p>
              </w:tc>
              <w:tc>
                <w:tcPr>
                  <w:tcW w:w="490" w:type="pct"/>
                  <w:vAlign w:val="center"/>
                </w:tcPr>
                <w:p w14:paraId="003E43F2">
                  <w:pPr>
                    <w:spacing w:line="240" w:lineRule="atLeast"/>
                    <w:ind w:firstLine="0" w:firstLineChars="0"/>
                    <w:jc w:val="center"/>
                    <w:rPr>
                      <w:sz w:val="21"/>
                      <w:szCs w:val="22"/>
                      <w:u w:val="single" w:color="auto"/>
                    </w:rPr>
                  </w:pPr>
                  <w:r>
                    <w:rPr>
                      <w:sz w:val="21"/>
                      <w:szCs w:val="22"/>
                      <w:u w:val="single" w:color="auto"/>
                    </w:rPr>
                    <w:t xml:space="preserve">49.67 </w:t>
                  </w:r>
                </w:p>
              </w:tc>
              <w:tc>
                <w:tcPr>
                  <w:tcW w:w="491" w:type="pct"/>
                  <w:vAlign w:val="center"/>
                </w:tcPr>
                <w:p w14:paraId="01E68BBC">
                  <w:pPr>
                    <w:spacing w:line="240" w:lineRule="atLeast"/>
                    <w:ind w:firstLine="0" w:firstLineChars="0"/>
                    <w:jc w:val="center"/>
                    <w:rPr>
                      <w:sz w:val="21"/>
                      <w:szCs w:val="22"/>
                      <w:u w:val="single" w:color="auto"/>
                    </w:rPr>
                  </w:pPr>
                  <w:r>
                    <w:rPr>
                      <w:rFonts w:hint="eastAsia"/>
                      <w:sz w:val="21"/>
                      <w:szCs w:val="22"/>
                      <w:u w:val="single" w:color="auto"/>
                    </w:rPr>
                    <w:t>达标</w:t>
                  </w:r>
                </w:p>
              </w:tc>
              <w:tc>
                <w:tcPr>
                  <w:tcW w:w="553" w:type="pct"/>
                  <w:noWrap/>
                  <w:vAlign w:val="center"/>
                </w:tcPr>
                <w:p w14:paraId="0BE9EB41">
                  <w:pPr>
                    <w:spacing w:line="240" w:lineRule="atLeast"/>
                    <w:ind w:firstLine="0" w:firstLineChars="0"/>
                    <w:jc w:val="center"/>
                    <w:rPr>
                      <w:sz w:val="21"/>
                      <w:szCs w:val="22"/>
                      <w:u w:val="single" w:color="auto"/>
                    </w:rPr>
                  </w:pPr>
                  <w:r>
                    <w:rPr>
                      <w:sz w:val="21"/>
                      <w:szCs w:val="22"/>
                      <w:u w:val="single" w:color="auto"/>
                    </w:rPr>
                    <w:t>0.3</w:t>
                  </w:r>
                </w:p>
              </w:tc>
            </w:tr>
          </w:tbl>
          <w:p w14:paraId="3C106A4A">
            <w:pPr>
              <w:pStyle w:val="70"/>
              <w:ind w:firstLine="480"/>
              <w:rPr>
                <w:rFonts w:hint="eastAsia" w:ascii="Times New Roman" w:hAnsi="Times New Roman" w:eastAsia="宋体" w:cs="Times New Roman"/>
                <w:color w:val="auto"/>
                <w:kern w:val="2"/>
                <w:sz w:val="24"/>
                <w:szCs w:val="24"/>
                <w:highlight w:val="none"/>
                <w:u w:val="single" w:color="auto"/>
                <w:lang w:val="en-US" w:eastAsia="zh-CN" w:bidi="ar-SA"/>
              </w:rPr>
            </w:pPr>
            <w:r>
              <w:rPr>
                <w:rFonts w:hint="eastAsia" w:ascii="Times New Roman" w:hAnsi="Times New Roman" w:eastAsia="宋体" w:cs="Times New Roman"/>
                <w:color w:val="auto"/>
                <w:kern w:val="2"/>
                <w:sz w:val="24"/>
                <w:szCs w:val="24"/>
                <w:highlight w:val="none"/>
                <w:u w:val="single" w:color="auto"/>
                <w:lang w:val="en-US" w:eastAsia="zh-CN" w:bidi="ar-SA"/>
              </w:rPr>
              <w:t>监测数据表明，评价区域大气环境现状监测点位的TSP符合《环境空气质量标准》（GB3095-2012）二级标准标准要求；甲苯、二甲苯、TVOC浓度符合《环境影响评价技术导则大气环境》（HJ2.2-2018）附录D其他污染物空气质量浓度参考限值；非甲烷总烃符合《大气污染物综合排放标准详解》（1997年）中2.0mg/m</w:t>
            </w:r>
            <w:r>
              <w:rPr>
                <w:rFonts w:hint="eastAsia" w:ascii="Times New Roman" w:hAnsi="Times New Roman" w:eastAsia="宋体" w:cs="Times New Roman"/>
                <w:color w:val="auto"/>
                <w:kern w:val="2"/>
                <w:sz w:val="24"/>
                <w:szCs w:val="24"/>
                <w:highlight w:val="none"/>
                <w:u w:val="single" w:color="auto"/>
                <w:vertAlign w:val="superscript"/>
                <w:lang w:val="en-US" w:eastAsia="zh-CN" w:bidi="ar-SA"/>
              </w:rPr>
              <w:t>3</w:t>
            </w:r>
            <w:r>
              <w:rPr>
                <w:rFonts w:hint="eastAsia" w:ascii="Times New Roman" w:hAnsi="Times New Roman" w:eastAsia="宋体" w:cs="Times New Roman"/>
                <w:color w:val="auto"/>
                <w:kern w:val="2"/>
                <w:sz w:val="24"/>
                <w:szCs w:val="24"/>
                <w:highlight w:val="none"/>
                <w:u w:val="single" w:color="auto"/>
                <w:lang w:val="en-US" w:eastAsia="zh-CN" w:bidi="ar-SA"/>
              </w:rPr>
              <w:t>的标准限值。</w:t>
            </w:r>
          </w:p>
          <w:p w14:paraId="5CB4B13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3.2</w:t>
            </w:r>
            <w:r>
              <w:rPr>
                <w:rFonts w:hint="default" w:ascii="Times New Roman" w:hAnsi="Times New Roman" w:eastAsia="宋体" w:cs="Times New Roman"/>
                <w:b/>
                <w:bCs/>
                <w:color w:val="auto"/>
                <w:sz w:val="24"/>
                <w:szCs w:val="24"/>
                <w:highlight w:val="none"/>
                <w:u w:val="none" w:color="auto"/>
                <w:lang w:val="en-US" w:eastAsia="zh-CN"/>
              </w:rPr>
              <w:t>地表水环境</w:t>
            </w:r>
          </w:p>
          <w:p w14:paraId="4C422EE6">
            <w:pPr>
              <w:pBdr>
                <w:top w:val="none" w:color="auto" w:sz="0" w:space="1"/>
                <w:left w:val="none" w:color="auto" w:sz="0" w:space="4"/>
                <w:bottom w:val="none" w:color="auto" w:sz="0" w:space="1"/>
                <w:right w:val="none" w:color="auto" w:sz="0" w:space="4"/>
                <w:between w:val="none" w:color="auto" w:sz="0" w:space="0"/>
              </w:pBdr>
              <w:spacing w:before="0" w:beforeLines="0" w:line="360" w:lineRule="auto"/>
              <w:ind w:firstLine="480" w:firstLineChars="200"/>
              <w:jc w:val="left"/>
              <w:outlineLvl w:val="9"/>
              <w:rPr>
                <w:rFonts w:hint="eastAsia" w:ascii="Times New Roman" w:hAnsi="Times New Roman" w:eastAsia="宋体" w:cs="Times New Roman"/>
                <w:color w:val="auto"/>
                <w:sz w:val="24"/>
                <w:szCs w:val="24"/>
                <w:highlight w:val="none"/>
                <w:u w:val="single" w:color="auto"/>
              </w:rPr>
            </w:pPr>
            <w:r>
              <w:rPr>
                <w:rFonts w:hint="eastAsia" w:ascii="Times New Roman" w:hAnsi="Times New Roman" w:eastAsia="宋体" w:cs="Times New Roman"/>
                <w:color w:val="auto"/>
                <w:sz w:val="24"/>
                <w:szCs w:val="24"/>
                <w:highlight w:val="none"/>
                <w:u w:val="single" w:color="auto"/>
              </w:rPr>
              <w:t>根据《建设项目环境影响报告表编制技术指南》（污染影响类）（试行）：“常规污染物引用与建设项目距离近的有效数据，包括近3年的规划环境影响评价的监测数据，国家、地方环境空气质量监测网数据或生态环境主管部门公开发布的质量数据等”。</w:t>
            </w:r>
            <w:r>
              <w:rPr>
                <w:rFonts w:hint="eastAsia" w:ascii="Times New Roman" w:hAnsi="Times New Roman" w:eastAsia="宋体" w:cs="Times New Roman"/>
                <w:color w:val="auto"/>
                <w:sz w:val="24"/>
                <w:szCs w:val="24"/>
                <w:highlight w:val="none"/>
                <w:u w:val="single" w:color="auto"/>
                <w:lang w:val="en-US" w:eastAsia="zh-CN"/>
              </w:rPr>
              <w:t>为了解项目区域地表水质量现状，本环评收集了《2024年湘潭市水环境质量状况年度简报》</w:t>
            </w:r>
            <w:r>
              <w:rPr>
                <w:rFonts w:hint="eastAsia" w:cs="Times New Roman"/>
                <w:color w:val="auto"/>
                <w:sz w:val="24"/>
                <w:szCs w:val="24"/>
                <w:highlight w:val="none"/>
                <w:u w:val="single" w:color="auto"/>
                <w:lang w:val="en-US" w:eastAsia="zh-CN"/>
              </w:rPr>
              <w:t>，</w:t>
            </w:r>
            <w:r>
              <w:rPr>
                <w:rFonts w:hint="eastAsia" w:ascii="Times New Roman" w:hAnsi="Times New Roman" w:eastAsia="宋体" w:cs="Times New Roman"/>
                <w:color w:val="auto"/>
                <w:sz w:val="24"/>
                <w:szCs w:val="24"/>
                <w:highlight w:val="none"/>
                <w:u w:val="single" w:color="auto"/>
                <w:lang w:val="en-US" w:eastAsia="zh-CN"/>
              </w:rPr>
              <w:t>湘潭易俗河水厂断面、五星（一水厂）断面、涓水入河口水质情况见下表</w:t>
            </w:r>
            <w:r>
              <w:rPr>
                <w:rFonts w:hint="eastAsia" w:ascii="Times New Roman" w:hAnsi="Times New Roman" w:eastAsia="宋体" w:cs="Times New Roman"/>
                <w:color w:val="auto"/>
                <w:sz w:val="24"/>
                <w:szCs w:val="24"/>
                <w:highlight w:val="none"/>
                <w:u w:val="single" w:color="auto"/>
              </w:rPr>
              <w:t>：</w:t>
            </w:r>
          </w:p>
          <w:p w14:paraId="336F0390">
            <w:pPr>
              <w:widowControl w:val="0"/>
              <w:autoSpaceDE w:val="0"/>
              <w:autoSpaceDN w:val="0"/>
              <w:adjustRightInd w:val="0"/>
              <w:spacing w:line="280" w:lineRule="exact"/>
              <w:ind w:firstLine="0"/>
              <w:jc w:val="center"/>
              <w:rPr>
                <w:rFonts w:hint="eastAsia" w:ascii="Times New Roman" w:hAnsi="Times New Roman" w:eastAsia="宋体" w:cs="Times New Roman"/>
                <w:b/>
                <w:bCs/>
                <w:color w:val="auto"/>
                <w:kern w:val="2"/>
                <w:sz w:val="21"/>
                <w:szCs w:val="21"/>
                <w:u w:val="single" w:color="auto"/>
                <w:lang w:val="en-US" w:eastAsia="zh-CN" w:bidi="ar-SA"/>
              </w:rPr>
            </w:pPr>
            <w:r>
              <w:rPr>
                <w:rFonts w:hint="eastAsia" w:ascii="Times New Roman" w:hAnsi="Times New Roman" w:eastAsia="宋体" w:cs="Times New Roman"/>
                <w:b/>
                <w:bCs/>
                <w:color w:val="auto"/>
                <w:kern w:val="2"/>
                <w:sz w:val="21"/>
                <w:szCs w:val="21"/>
                <w:u w:val="single" w:color="auto"/>
                <w:lang w:val="en-US" w:eastAsia="zh-CN" w:bidi="ar-SA"/>
              </w:rPr>
              <w:t>表3-</w:t>
            </w:r>
            <w:r>
              <w:rPr>
                <w:rFonts w:hint="eastAsia" w:cs="Times New Roman"/>
                <w:b/>
                <w:bCs/>
                <w:color w:val="auto"/>
                <w:kern w:val="2"/>
                <w:sz w:val="21"/>
                <w:szCs w:val="21"/>
                <w:u w:val="single" w:color="auto"/>
                <w:lang w:val="en-US" w:eastAsia="zh-CN" w:bidi="ar-SA"/>
              </w:rPr>
              <w:t>3</w:t>
            </w:r>
            <w:r>
              <w:rPr>
                <w:rFonts w:hint="eastAsia" w:ascii="Times New Roman" w:hAnsi="Times New Roman" w:eastAsia="宋体" w:cs="Times New Roman"/>
                <w:b/>
                <w:bCs/>
                <w:color w:val="auto"/>
                <w:kern w:val="2"/>
                <w:sz w:val="21"/>
                <w:szCs w:val="21"/>
                <w:u w:val="single" w:color="auto"/>
                <w:lang w:val="en-US" w:eastAsia="zh-CN" w:bidi="ar-SA"/>
              </w:rPr>
              <w:t xml:space="preserve">  地表水监测断面概况</w:t>
            </w:r>
          </w:p>
          <w:tbl>
            <w:tblPr>
              <w:tblStyle w:val="32"/>
              <w:tblW w:w="77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1846"/>
              <w:gridCol w:w="2381"/>
              <w:gridCol w:w="1242"/>
              <w:gridCol w:w="1495"/>
            </w:tblGrid>
            <w:tr w14:paraId="56C88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78" w:type="dxa"/>
                  <w:tcBorders>
                    <w:tl2br w:val="nil"/>
                    <w:tr2bl w:val="nil"/>
                  </w:tcBorders>
                  <w:noWrap w:val="0"/>
                  <w:vAlign w:val="center"/>
                </w:tcPr>
                <w:p w14:paraId="2846F168">
                  <w:pPr>
                    <w:adjustRightInd w:val="0"/>
                    <w:snapToGrid w:val="0"/>
                    <w:jc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河流</w:t>
                  </w:r>
                </w:p>
              </w:tc>
              <w:tc>
                <w:tcPr>
                  <w:tcW w:w="1846" w:type="dxa"/>
                  <w:tcBorders>
                    <w:tl2br w:val="nil"/>
                    <w:tr2bl w:val="nil"/>
                  </w:tcBorders>
                  <w:noWrap w:val="0"/>
                  <w:vAlign w:val="center"/>
                </w:tcPr>
                <w:p w14:paraId="20E68978">
                  <w:pPr>
                    <w:adjustRightInd w:val="0"/>
                    <w:snapToGrid w:val="0"/>
                    <w:jc w:val="center"/>
                    <w:rPr>
                      <w:rFonts w:hint="default" w:ascii="Times New Roman" w:hAnsi="Times New Roman" w:eastAsia="宋体" w:cs="Times New Roman"/>
                      <w:color w:val="auto"/>
                      <w:szCs w:val="21"/>
                      <w:u w:val="single" w:color="auto"/>
                      <w:lang w:val="en-US" w:eastAsia="zh-CN"/>
                    </w:rPr>
                  </w:pPr>
                  <w:r>
                    <w:rPr>
                      <w:rFonts w:hint="eastAsia" w:cs="Times New Roman"/>
                      <w:color w:val="auto"/>
                      <w:szCs w:val="21"/>
                      <w:u w:val="single" w:color="auto"/>
                      <w:lang w:val="en-US" w:eastAsia="zh-CN"/>
                    </w:rPr>
                    <w:t>断面名称</w:t>
                  </w:r>
                </w:p>
              </w:tc>
              <w:tc>
                <w:tcPr>
                  <w:tcW w:w="2381" w:type="dxa"/>
                  <w:tcBorders>
                    <w:tl2br w:val="nil"/>
                    <w:tr2bl w:val="nil"/>
                  </w:tcBorders>
                  <w:noWrap w:val="0"/>
                  <w:vAlign w:val="center"/>
                </w:tcPr>
                <w:p w14:paraId="73ADEEB4">
                  <w:pPr>
                    <w:adjustRightInd w:val="0"/>
                    <w:snapToGrid w:val="0"/>
                    <w:jc w:val="center"/>
                    <w:rPr>
                      <w:rFonts w:hint="eastAsia" w:ascii="Times New Roman" w:hAnsi="Times New Roman" w:eastAsia="宋体" w:cs="Times New Roman"/>
                      <w:color w:val="auto"/>
                      <w:szCs w:val="21"/>
                      <w:u w:val="single" w:color="auto"/>
                      <w:lang w:eastAsia="zh-CN"/>
                    </w:rPr>
                  </w:pPr>
                  <w:r>
                    <w:rPr>
                      <w:rFonts w:hint="eastAsia" w:cs="Times New Roman"/>
                      <w:color w:val="auto"/>
                      <w:szCs w:val="21"/>
                      <w:u w:val="single" w:color="auto"/>
                      <w:lang w:val="en-US" w:eastAsia="zh-CN"/>
                    </w:rPr>
                    <w:t>考核目标（2021）</w:t>
                  </w:r>
                </w:p>
              </w:tc>
              <w:tc>
                <w:tcPr>
                  <w:tcW w:w="1242" w:type="dxa"/>
                  <w:tcBorders>
                    <w:tl2br w:val="nil"/>
                    <w:tr2bl w:val="nil"/>
                  </w:tcBorders>
                  <w:noWrap w:val="0"/>
                  <w:vAlign w:val="center"/>
                </w:tcPr>
                <w:p w14:paraId="1DB62F7A">
                  <w:pPr>
                    <w:adjustRightInd w:val="0"/>
                    <w:snapToGrid w:val="0"/>
                    <w:jc w:val="center"/>
                    <w:rPr>
                      <w:rFonts w:hint="default" w:ascii="Times New Roman" w:hAnsi="Times New Roman" w:eastAsia="宋体" w:cs="Times New Roman"/>
                      <w:color w:val="auto"/>
                      <w:szCs w:val="21"/>
                      <w:u w:val="single" w:color="auto"/>
                      <w:lang w:val="en-US" w:eastAsia="zh-CN"/>
                    </w:rPr>
                  </w:pPr>
                  <w:r>
                    <w:rPr>
                      <w:rFonts w:hint="eastAsia" w:cs="Times New Roman"/>
                      <w:color w:val="auto"/>
                      <w:szCs w:val="21"/>
                      <w:u w:val="single" w:color="auto"/>
                      <w:lang w:val="en-US" w:eastAsia="zh-CN"/>
                    </w:rPr>
                    <w:t>2024水质类别</w:t>
                  </w:r>
                </w:p>
              </w:tc>
              <w:tc>
                <w:tcPr>
                  <w:tcW w:w="1495" w:type="dxa"/>
                  <w:tcBorders>
                    <w:tl2br w:val="nil"/>
                    <w:tr2bl w:val="nil"/>
                  </w:tcBorders>
                  <w:noWrap w:val="0"/>
                  <w:vAlign w:val="center"/>
                </w:tcPr>
                <w:p w14:paraId="2373F22F">
                  <w:pPr>
                    <w:adjustRightInd w:val="0"/>
                    <w:snapToGrid w:val="0"/>
                    <w:jc w:val="center"/>
                    <w:rPr>
                      <w:rFonts w:hint="eastAsia" w:ascii="Times New Roman" w:hAnsi="Times New Roman" w:eastAsia="宋体" w:cs="Times New Roman"/>
                      <w:color w:val="auto"/>
                      <w:szCs w:val="21"/>
                      <w:u w:val="single" w:color="auto"/>
                      <w:lang w:eastAsia="zh-CN"/>
                    </w:rPr>
                  </w:pPr>
                  <w:r>
                    <w:rPr>
                      <w:rFonts w:hint="eastAsia" w:cs="Times New Roman"/>
                      <w:color w:val="auto"/>
                      <w:szCs w:val="21"/>
                      <w:u w:val="single" w:color="auto"/>
                      <w:lang w:val="en-US" w:eastAsia="zh-CN"/>
                    </w:rPr>
                    <w:t>达标状况</w:t>
                  </w:r>
                </w:p>
              </w:tc>
            </w:tr>
            <w:tr w14:paraId="71F09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78" w:type="dxa"/>
                  <w:vMerge w:val="restart"/>
                  <w:tcBorders>
                    <w:tl2br w:val="nil"/>
                    <w:tr2bl w:val="nil"/>
                  </w:tcBorders>
                  <w:noWrap w:val="0"/>
                  <w:vAlign w:val="center"/>
                </w:tcPr>
                <w:p w14:paraId="4D59063C">
                  <w:pPr>
                    <w:adjustRightInd w:val="0"/>
                    <w:snapToGrid w:val="0"/>
                    <w:jc w:val="center"/>
                    <w:rPr>
                      <w:rFonts w:hint="eastAsia" w:ascii="Times New Roman" w:hAnsi="Times New Roman" w:eastAsia="宋体" w:cs="Times New Roman"/>
                      <w:color w:val="auto"/>
                      <w:szCs w:val="21"/>
                      <w:u w:val="single" w:color="auto"/>
                      <w:lang w:val="en-US" w:eastAsia="zh-CN"/>
                    </w:rPr>
                  </w:pPr>
                  <w:r>
                    <w:rPr>
                      <w:rFonts w:hint="eastAsia" w:cs="Times New Roman"/>
                      <w:color w:val="auto"/>
                      <w:szCs w:val="21"/>
                      <w:u w:val="single" w:color="auto"/>
                      <w:lang w:eastAsia="zh-CN"/>
                    </w:rPr>
                    <w:t>+</w:t>
                  </w:r>
                  <w:r>
                    <w:rPr>
                      <w:rFonts w:hint="eastAsia" w:cs="Times New Roman"/>
                      <w:color w:val="auto"/>
                      <w:szCs w:val="21"/>
                      <w:u w:val="single" w:color="auto"/>
                      <w:lang w:val="en-US" w:eastAsia="zh-CN"/>
                    </w:rPr>
                    <w:t xml:space="preserve"> </w:t>
                  </w:r>
                  <w:r>
                    <w:rPr>
                      <w:rFonts w:hint="default" w:ascii="Times New Roman" w:hAnsi="Times New Roman" w:eastAsia="宋体" w:cs="Times New Roman"/>
                      <w:color w:val="auto"/>
                      <w:szCs w:val="21"/>
                      <w:u w:val="single" w:color="auto"/>
                    </w:rPr>
                    <w:t>湘江</w:t>
                  </w:r>
                  <w:r>
                    <w:rPr>
                      <w:rFonts w:hint="eastAsia" w:cs="Times New Roman"/>
                      <w:color w:val="auto"/>
                      <w:szCs w:val="21"/>
                      <w:u w:val="single" w:color="auto"/>
                      <w:lang w:val="en-US" w:eastAsia="zh-CN"/>
                    </w:rPr>
                    <w:t>干流</w:t>
                  </w:r>
                </w:p>
              </w:tc>
              <w:tc>
                <w:tcPr>
                  <w:tcW w:w="1846" w:type="dxa"/>
                  <w:tcBorders>
                    <w:tl2br w:val="nil"/>
                    <w:tr2bl w:val="nil"/>
                  </w:tcBorders>
                  <w:noWrap w:val="0"/>
                  <w:vAlign w:val="center"/>
                </w:tcPr>
                <w:p w14:paraId="42A57BA0">
                  <w:pPr>
                    <w:adjustRightInd w:val="0"/>
                    <w:snapToGrid w:val="0"/>
                    <w:jc w:val="center"/>
                    <w:rPr>
                      <w:rFonts w:hint="default" w:ascii="Times New Roman" w:hAnsi="Times New Roman" w:eastAsia="宋体" w:cs="Times New Roman"/>
                      <w:color w:val="auto"/>
                      <w:szCs w:val="21"/>
                      <w:u w:val="single" w:color="auto"/>
                      <w:lang w:val="en-US" w:eastAsia="zh-CN"/>
                    </w:rPr>
                  </w:pPr>
                  <w:r>
                    <w:rPr>
                      <w:rFonts w:hint="eastAsia" w:cs="Times New Roman"/>
                      <w:color w:val="auto"/>
                      <w:szCs w:val="21"/>
                      <w:u w:val="single" w:color="auto"/>
                      <w:lang w:val="en-US" w:eastAsia="zh-CN"/>
                    </w:rPr>
                    <w:t>易俗河水厂</w:t>
                  </w:r>
                </w:p>
              </w:tc>
              <w:tc>
                <w:tcPr>
                  <w:tcW w:w="2381" w:type="dxa"/>
                  <w:tcBorders>
                    <w:tl2br w:val="nil"/>
                    <w:tr2bl w:val="nil"/>
                  </w:tcBorders>
                  <w:noWrap w:val="0"/>
                  <w:vAlign w:val="center"/>
                </w:tcPr>
                <w:p w14:paraId="321B9F76">
                  <w:pPr>
                    <w:adjustRightInd w:val="0"/>
                    <w:snapToGrid w:val="0"/>
                    <w:jc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Ⅱ</w:t>
                  </w:r>
                </w:p>
              </w:tc>
              <w:tc>
                <w:tcPr>
                  <w:tcW w:w="1242" w:type="dxa"/>
                  <w:tcBorders>
                    <w:tl2br w:val="nil"/>
                    <w:tr2bl w:val="nil"/>
                  </w:tcBorders>
                  <w:noWrap w:val="0"/>
                  <w:vAlign w:val="center"/>
                </w:tcPr>
                <w:p w14:paraId="6E98A2A1">
                  <w:pPr>
                    <w:adjustRightInd w:val="0"/>
                    <w:snapToGrid w:val="0"/>
                    <w:jc w:val="center"/>
                    <w:rPr>
                      <w:rFonts w:hint="default" w:ascii="Times New Roman" w:hAnsi="Times New Roman" w:eastAsia="宋体" w:cs="Times New Roman"/>
                      <w:color w:val="auto"/>
                      <w:szCs w:val="21"/>
                      <w:u w:val="single" w:color="auto"/>
                    </w:rPr>
                  </w:pPr>
                  <w:r>
                    <w:rPr>
                      <w:rFonts w:hint="default" w:ascii="Times New Roman" w:hAnsi="Times New Roman" w:eastAsia="宋体" w:cs="Times New Roman"/>
                      <w:color w:val="auto"/>
                      <w:szCs w:val="21"/>
                      <w:u w:val="single" w:color="auto"/>
                    </w:rPr>
                    <w:t>Ⅱ</w:t>
                  </w:r>
                </w:p>
              </w:tc>
              <w:tc>
                <w:tcPr>
                  <w:tcW w:w="1495" w:type="dxa"/>
                  <w:tcBorders>
                    <w:tl2br w:val="nil"/>
                    <w:tr2bl w:val="nil"/>
                  </w:tcBorders>
                  <w:noWrap w:val="0"/>
                  <w:vAlign w:val="center"/>
                </w:tcPr>
                <w:p w14:paraId="02B2AA13">
                  <w:pPr>
                    <w:adjustRightInd w:val="0"/>
                    <w:snapToGrid w:val="0"/>
                    <w:jc w:val="center"/>
                    <w:rPr>
                      <w:rFonts w:hint="eastAsia" w:ascii="Times New Roman" w:hAnsi="Times New Roman" w:eastAsia="宋体" w:cs="Times New Roman"/>
                      <w:color w:val="auto"/>
                      <w:szCs w:val="21"/>
                      <w:u w:val="single" w:color="auto"/>
                      <w:lang w:val="en-US" w:eastAsia="zh-CN"/>
                    </w:rPr>
                  </w:pPr>
                  <w:r>
                    <w:rPr>
                      <w:rFonts w:hint="eastAsia" w:cs="Times New Roman"/>
                      <w:color w:val="auto"/>
                      <w:szCs w:val="21"/>
                      <w:u w:val="single" w:color="auto"/>
                      <w:lang w:val="en-US" w:eastAsia="zh-CN"/>
                    </w:rPr>
                    <w:t>达标</w:t>
                  </w:r>
                </w:p>
              </w:tc>
            </w:tr>
            <w:tr w14:paraId="45A36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78" w:type="dxa"/>
                  <w:vMerge w:val="continue"/>
                  <w:tcBorders>
                    <w:tl2br w:val="nil"/>
                    <w:tr2bl w:val="nil"/>
                  </w:tcBorders>
                  <w:noWrap w:val="0"/>
                  <w:vAlign w:val="center"/>
                </w:tcPr>
                <w:p w14:paraId="138C2E64">
                  <w:pPr>
                    <w:adjustRightInd w:val="0"/>
                    <w:snapToGrid w:val="0"/>
                    <w:jc w:val="center"/>
                    <w:rPr>
                      <w:rFonts w:hint="default" w:ascii="Times New Roman" w:hAnsi="Times New Roman" w:eastAsia="宋体" w:cs="Times New Roman"/>
                      <w:color w:val="auto"/>
                      <w:szCs w:val="21"/>
                      <w:u w:val="single" w:color="auto"/>
                    </w:rPr>
                  </w:pPr>
                </w:p>
              </w:tc>
              <w:tc>
                <w:tcPr>
                  <w:tcW w:w="1846" w:type="dxa"/>
                  <w:tcBorders>
                    <w:tl2br w:val="nil"/>
                    <w:tr2bl w:val="nil"/>
                  </w:tcBorders>
                  <w:noWrap w:val="0"/>
                  <w:vAlign w:val="center"/>
                </w:tcPr>
                <w:p w14:paraId="595918DE">
                  <w:pPr>
                    <w:adjustRightInd w:val="0"/>
                    <w:snapToGrid w:val="0"/>
                    <w:jc w:val="center"/>
                    <w:rPr>
                      <w:rFonts w:hint="default" w:cs="Times New Roman"/>
                      <w:color w:val="auto"/>
                      <w:szCs w:val="21"/>
                      <w:u w:val="single" w:color="auto"/>
                      <w:lang w:val="en-US" w:eastAsia="zh-CN"/>
                    </w:rPr>
                  </w:pPr>
                  <w:r>
                    <w:rPr>
                      <w:rFonts w:hint="eastAsia" w:cs="Times New Roman"/>
                      <w:color w:val="auto"/>
                      <w:szCs w:val="21"/>
                      <w:u w:val="single" w:color="auto"/>
                      <w:lang w:val="en-US" w:eastAsia="zh-CN"/>
                    </w:rPr>
                    <w:t>五星（一水厂）</w:t>
                  </w:r>
                </w:p>
              </w:tc>
              <w:tc>
                <w:tcPr>
                  <w:tcW w:w="2381" w:type="dxa"/>
                  <w:tcBorders>
                    <w:tl2br w:val="nil"/>
                    <w:tr2bl w:val="nil"/>
                  </w:tcBorders>
                  <w:noWrap w:val="0"/>
                  <w:vAlign w:val="center"/>
                </w:tcPr>
                <w:p w14:paraId="665E7C3E">
                  <w:pPr>
                    <w:adjustRightInd w:val="0"/>
                    <w:snapToGrid w:val="0"/>
                    <w:jc w:val="center"/>
                    <w:rPr>
                      <w:rFonts w:hint="default" w:ascii="Times New Roman" w:hAnsi="Times New Roman" w:eastAsia="宋体" w:cs="Times New Roman"/>
                      <w:color w:val="auto"/>
                      <w:kern w:val="2"/>
                      <w:sz w:val="21"/>
                      <w:szCs w:val="21"/>
                      <w:u w:val="single" w:color="auto"/>
                      <w:lang w:val="en-US" w:eastAsia="zh-CN" w:bidi="ar-SA"/>
                    </w:rPr>
                  </w:pPr>
                  <w:r>
                    <w:rPr>
                      <w:rFonts w:hint="default" w:ascii="Times New Roman" w:hAnsi="Times New Roman" w:eastAsia="宋体" w:cs="Times New Roman"/>
                      <w:color w:val="auto"/>
                      <w:szCs w:val="21"/>
                      <w:u w:val="single" w:color="auto"/>
                    </w:rPr>
                    <w:t>Ⅱ</w:t>
                  </w:r>
                </w:p>
              </w:tc>
              <w:tc>
                <w:tcPr>
                  <w:tcW w:w="1242" w:type="dxa"/>
                  <w:tcBorders>
                    <w:tl2br w:val="nil"/>
                    <w:tr2bl w:val="nil"/>
                  </w:tcBorders>
                  <w:noWrap w:val="0"/>
                  <w:vAlign w:val="center"/>
                </w:tcPr>
                <w:p w14:paraId="4CF6C008">
                  <w:pPr>
                    <w:adjustRightInd w:val="0"/>
                    <w:snapToGrid w:val="0"/>
                    <w:jc w:val="center"/>
                    <w:rPr>
                      <w:rFonts w:hint="default" w:ascii="Times New Roman" w:hAnsi="Times New Roman" w:eastAsia="宋体" w:cs="Times New Roman"/>
                      <w:color w:val="auto"/>
                      <w:kern w:val="2"/>
                      <w:sz w:val="21"/>
                      <w:szCs w:val="21"/>
                      <w:u w:val="single" w:color="auto"/>
                      <w:lang w:val="en-US" w:eastAsia="zh-CN" w:bidi="ar-SA"/>
                    </w:rPr>
                  </w:pPr>
                  <w:r>
                    <w:rPr>
                      <w:rFonts w:hint="eastAsia" w:cs="Times New Roman"/>
                      <w:color w:val="auto"/>
                      <w:szCs w:val="21"/>
                      <w:u w:val="single" w:color="auto"/>
                      <w:lang w:val="en-US" w:eastAsia="zh-CN"/>
                    </w:rPr>
                    <w:t>达标</w:t>
                  </w:r>
                </w:p>
              </w:tc>
              <w:tc>
                <w:tcPr>
                  <w:tcW w:w="1495" w:type="dxa"/>
                  <w:tcBorders>
                    <w:tl2br w:val="nil"/>
                    <w:tr2bl w:val="nil"/>
                  </w:tcBorders>
                  <w:noWrap w:val="0"/>
                  <w:vAlign w:val="center"/>
                </w:tcPr>
                <w:p w14:paraId="728126B9">
                  <w:pPr>
                    <w:adjustRightInd w:val="0"/>
                    <w:snapToGrid w:val="0"/>
                    <w:jc w:val="center"/>
                    <w:rPr>
                      <w:rFonts w:hint="eastAsia" w:ascii="Times New Roman" w:hAnsi="Times New Roman" w:eastAsia="宋体" w:cs="Times New Roman"/>
                      <w:color w:val="auto"/>
                      <w:kern w:val="2"/>
                      <w:sz w:val="21"/>
                      <w:szCs w:val="21"/>
                      <w:u w:val="single" w:color="auto"/>
                      <w:lang w:val="en-US" w:eastAsia="zh-CN" w:bidi="ar-SA"/>
                    </w:rPr>
                  </w:pPr>
                  <w:r>
                    <w:rPr>
                      <w:rFonts w:hint="eastAsia" w:cs="Times New Roman"/>
                      <w:color w:val="auto"/>
                      <w:szCs w:val="21"/>
                      <w:u w:val="single" w:color="auto"/>
                      <w:lang w:val="en-US" w:eastAsia="zh-CN"/>
                    </w:rPr>
                    <w:t>/</w:t>
                  </w:r>
                </w:p>
              </w:tc>
            </w:tr>
            <w:tr w14:paraId="51DAB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78" w:type="dxa"/>
                  <w:tcBorders>
                    <w:tl2br w:val="nil"/>
                    <w:tr2bl w:val="nil"/>
                  </w:tcBorders>
                  <w:noWrap w:val="0"/>
                  <w:vAlign w:val="center"/>
                </w:tcPr>
                <w:p w14:paraId="0F6B3D79">
                  <w:pPr>
                    <w:adjustRightInd w:val="0"/>
                    <w:snapToGrid w:val="0"/>
                    <w:jc w:val="center"/>
                    <w:rPr>
                      <w:rFonts w:hint="default" w:ascii="Times New Roman" w:hAnsi="Times New Roman" w:eastAsia="宋体" w:cs="Times New Roman"/>
                      <w:color w:val="auto"/>
                      <w:szCs w:val="21"/>
                      <w:u w:val="single" w:color="auto"/>
                      <w:lang w:val="en-US" w:eastAsia="zh-CN"/>
                    </w:rPr>
                  </w:pPr>
                  <w:r>
                    <w:rPr>
                      <w:rFonts w:hint="eastAsia" w:cs="Times New Roman"/>
                      <w:color w:val="auto"/>
                      <w:szCs w:val="21"/>
                      <w:u w:val="single" w:color="auto"/>
                      <w:lang w:val="en-US" w:eastAsia="zh-CN"/>
                    </w:rPr>
                    <w:t>支流涓水</w:t>
                  </w:r>
                </w:p>
              </w:tc>
              <w:tc>
                <w:tcPr>
                  <w:tcW w:w="1846" w:type="dxa"/>
                  <w:tcBorders>
                    <w:tl2br w:val="nil"/>
                    <w:tr2bl w:val="nil"/>
                  </w:tcBorders>
                  <w:noWrap w:val="0"/>
                  <w:vAlign w:val="center"/>
                </w:tcPr>
                <w:p w14:paraId="1AC5DEE3">
                  <w:pPr>
                    <w:adjustRightInd w:val="0"/>
                    <w:snapToGrid w:val="0"/>
                    <w:jc w:val="center"/>
                    <w:rPr>
                      <w:rFonts w:hint="default" w:cs="Times New Roman"/>
                      <w:color w:val="auto"/>
                      <w:szCs w:val="21"/>
                      <w:u w:val="single" w:color="auto"/>
                      <w:lang w:val="en-US" w:eastAsia="zh-CN"/>
                    </w:rPr>
                  </w:pPr>
                  <w:r>
                    <w:rPr>
                      <w:rFonts w:hint="eastAsia" w:cs="Times New Roman"/>
                      <w:color w:val="auto"/>
                      <w:szCs w:val="21"/>
                      <w:u w:val="single" w:color="auto"/>
                      <w:lang w:val="en-US" w:eastAsia="zh-CN"/>
                    </w:rPr>
                    <w:t>涓水入湘江口</w:t>
                  </w:r>
                </w:p>
              </w:tc>
              <w:tc>
                <w:tcPr>
                  <w:tcW w:w="2381" w:type="dxa"/>
                  <w:tcBorders>
                    <w:tl2br w:val="nil"/>
                    <w:tr2bl w:val="nil"/>
                  </w:tcBorders>
                  <w:noWrap w:val="0"/>
                  <w:vAlign w:val="center"/>
                </w:tcPr>
                <w:p w14:paraId="0EABD10D">
                  <w:pPr>
                    <w:adjustRightInd w:val="0"/>
                    <w:snapToGrid w:val="0"/>
                    <w:jc w:val="center"/>
                    <w:rPr>
                      <w:rFonts w:hint="eastAsia" w:ascii="Times New Roman" w:hAnsi="Times New Roman" w:eastAsia="宋体" w:cs="Times New Roman"/>
                      <w:color w:val="auto"/>
                      <w:szCs w:val="21"/>
                      <w:u w:val="single" w:color="auto"/>
                      <w:lang w:eastAsia="zh-CN"/>
                    </w:rPr>
                  </w:pPr>
                  <w:r>
                    <w:rPr>
                      <w:rFonts w:hint="default" w:ascii="Times New Roman" w:hAnsi="Times New Roman" w:eastAsia="宋体" w:cs="Times New Roman"/>
                      <w:color w:val="auto"/>
                      <w:szCs w:val="21"/>
                      <w:u w:val="single" w:color="auto"/>
                    </w:rPr>
                    <w:t>Ⅲ</w:t>
                  </w:r>
                  <w:r>
                    <w:rPr>
                      <w:rFonts w:hint="eastAsia" w:cs="Times New Roman"/>
                      <w:color w:val="auto"/>
                      <w:szCs w:val="21"/>
                      <w:u w:val="single" w:color="auto"/>
                      <w:lang w:eastAsia="zh-CN"/>
                    </w:rPr>
                    <w:t>（</w:t>
                  </w:r>
                  <w:r>
                    <w:rPr>
                      <w:rFonts w:hint="eastAsia" w:cs="Times New Roman"/>
                      <w:color w:val="auto"/>
                      <w:szCs w:val="21"/>
                      <w:u w:val="single" w:color="auto"/>
                      <w:lang w:val="en-US" w:eastAsia="zh-CN"/>
                    </w:rPr>
                    <w:t>铊≤0.07</w:t>
                  </w:r>
                  <w:r>
                    <w:rPr>
                      <w:rFonts w:hint="default" w:ascii="Times New Roman" w:hAnsi="Times New Roman" w:cs="Times New Roman"/>
                      <w:color w:val="auto"/>
                      <w:szCs w:val="21"/>
                      <w:u w:val="single" w:color="auto"/>
                      <w:lang w:val="en-US" w:eastAsia="zh-CN"/>
                    </w:rPr>
                    <w:t>μg/L</w:t>
                  </w:r>
                  <w:r>
                    <w:rPr>
                      <w:rFonts w:hint="eastAsia" w:cs="Times New Roman"/>
                      <w:color w:val="auto"/>
                      <w:szCs w:val="21"/>
                      <w:u w:val="single" w:color="auto"/>
                      <w:lang w:eastAsia="zh-CN"/>
                    </w:rPr>
                    <w:t>）</w:t>
                  </w:r>
                </w:p>
              </w:tc>
              <w:tc>
                <w:tcPr>
                  <w:tcW w:w="1242" w:type="dxa"/>
                  <w:tcBorders>
                    <w:tl2br w:val="nil"/>
                    <w:tr2bl w:val="nil"/>
                  </w:tcBorders>
                  <w:noWrap w:val="0"/>
                  <w:vAlign w:val="center"/>
                </w:tcPr>
                <w:p w14:paraId="4ACBB63A">
                  <w:pPr>
                    <w:adjustRightInd w:val="0"/>
                    <w:snapToGrid w:val="0"/>
                    <w:jc w:val="center"/>
                    <w:rPr>
                      <w:rFonts w:hint="default" w:ascii="Times New Roman" w:hAnsi="Times New Roman" w:eastAsia="宋体" w:cs="Times New Roman"/>
                      <w:color w:val="auto"/>
                      <w:kern w:val="2"/>
                      <w:sz w:val="21"/>
                      <w:szCs w:val="21"/>
                      <w:u w:val="single" w:color="auto"/>
                      <w:lang w:val="en-US" w:eastAsia="zh-CN" w:bidi="ar-SA"/>
                    </w:rPr>
                  </w:pPr>
                  <w:r>
                    <w:rPr>
                      <w:rFonts w:hint="default" w:ascii="Times New Roman" w:hAnsi="Times New Roman" w:eastAsia="宋体" w:cs="Times New Roman"/>
                      <w:color w:val="auto"/>
                      <w:szCs w:val="21"/>
                      <w:u w:val="single" w:color="auto"/>
                    </w:rPr>
                    <w:t>Ⅱ</w:t>
                  </w:r>
                </w:p>
              </w:tc>
              <w:tc>
                <w:tcPr>
                  <w:tcW w:w="1495" w:type="dxa"/>
                  <w:tcBorders>
                    <w:tl2br w:val="nil"/>
                    <w:tr2bl w:val="nil"/>
                  </w:tcBorders>
                  <w:noWrap w:val="0"/>
                  <w:vAlign w:val="center"/>
                </w:tcPr>
                <w:p w14:paraId="7D6E0B03">
                  <w:pPr>
                    <w:adjustRightInd w:val="0"/>
                    <w:snapToGrid w:val="0"/>
                    <w:jc w:val="center"/>
                    <w:rPr>
                      <w:rFonts w:hint="eastAsia" w:ascii="Times New Roman" w:hAnsi="Times New Roman" w:eastAsia="宋体" w:cs="Times New Roman"/>
                      <w:color w:val="auto"/>
                      <w:kern w:val="2"/>
                      <w:sz w:val="21"/>
                      <w:szCs w:val="21"/>
                      <w:u w:val="single" w:color="auto"/>
                      <w:lang w:val="en-US" w:eastAsia="zh-CN" w:bidi="ar-SA"/>
                    </w:rPr>
                  </w:pPr>
                  <w:r>
                    <w:rPr>
                      <w:rFonts w:hint="eastAsia" w:cs="Times New Roman"/>
                      <w:color w:val="auto"/>
                      <w:szCs w:val="21"/>
                      <w:u w:val="single" w:color="auto"/>
                      <w:lang w:val="en-US" w:eastAsia="zh-CN"/>
                    </w:rPr>
                    <w:t>达标</w:t>
                  </w:r>
                </w:p>
              </w:tc>
            </w:tr>
          </w:tbl>
          <w:p w14:paraId="7DBD0EA0">
            <w:pPr>
              <w:spacing w:line="360" w:lineRule="auto"/>
              <w:ind w:firstLine="480" w:firstLineChars="200"/>
              <w:rPr>
                <w:rFonts w:hint="default" w:ascii="Times New Roman" w:hAnsi="Times New Roman" w:eastAsia="宋体" w:cs="Times New Roman"/>
                <w:color w:val="auto"/>
                <w:sz w:val="24"/>
                <w:u w:val="single" w:color="auto"/>
                <w:lang w:val="en-US"/>
              </w:rPr>
            </w:pPr>
            <w:r>
              <w:rPr>
                <w:rFonts w:hint="eastAsia" w:ascii="Times New Roman" w:hAnsi="Times New Roman" w:eastAsia="宋体" w:cs="Times New Roman"/>
                <w:color w:val="auto"/>
                <w:sz w:val="24"/>
                <w:u w:val="single" w:color="auto"/>
                <w:lang w:val="en-US" w:eastAsia="zh-CN"/>
              </w:rPr>
              <w:t>由上表可知，湘潭市易俗河水厂断面、五星（一水厂）断面、涓水入河口水质达到了</w:t>
            </w:r>
            <w:r>
              <w:rPr>
                <w:rFonts w:hint="eastAsia" w:cs="Times New Roman"/>
                <w:color w:val="auto"/>
                <w:sz w:val="24"/>
                <w:u w:val="single" w:color="auto"/>
                <w:lang w:val="en-US" w:eastAsia="zh-CN"/>
              </w:rPr>
              <w:t>Ⅱ类</w:t>
            </w:r>
            <w:r>
              <w:rPr>
                <w:rFonts w:hint="eastAsia" w:ascii="Times New Roman" w:hAnsi="Times New Roman" w:eastAsia="宋体" w:cs="Times New Roman"/>
                <w:color w:val="auto"/>
                <w:sz w:val="24"/>
                <w:u w:val="single" w:color="auto"/>
                <w:lang w:val="en-US" w:eastAsia="zh-CN"/>
              </w:rPr>
              <w:t>水质标准，202</w:t>
            </w:r>
            <w:r>
              <w:rPr>
                <w:rFonts w:hint="eastAsia" w:cs="Times New Roman"/>
                <w:color w:val="auto"/>
                <w:sz w:val="24"/>
                <w:u w:val="single" w:color="auto"/>
                <w:lang w:val="en-US" w:eastAsia="zh-CN"/>
              </w:rPr>
              <w:t>4</w:t>
            </w:r>
            <w:r>
              <w:rPr>
                <w:rFonts w:hint="eastAsia" w:ascii="Times New Roman" w:hAnsi="Times New Roman" w:eastAsia="宋体" w:cs="Times New Roman"/>
                <w:color w:val="auto"/>
                <w:sz w:val="24"/>
                <w:u w:val="single" w:color="auto"/>
                <w:lang w:val="en-US" w:eastAsia="zh-CN"/>
              </w:rPr>
              <w:t>年湘潭市地表水水质总体为优。</w:t>
            </w:r>
          </w:p>
          <w:p w14:paraId="483E631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3.3</w:t>
            </w:r>
            <w:r>
              <w:rPr>
                <w:rFonts w:hint="default" w:ascii="Times New Roman" w:hAnsi="Times New Roman" w:eastAsia="宋体" w:cs="Times New Roman"/>
                <w:b/>
                <w:bCs/>
                <w:color w:val="auto"/>
                <w:sz w:val="24"/>
                <w:szCs w:val="24"/>
                <w:highlight w:val="none"/>
                <w:u w:val="none" w:color="auto"/>
                <w:lang w:val="en-US" w:eastAsia="zh-CN"/>
              </w:rPr>
              <w:t>声环境</w:t>
            </w:r>
          </w:p>
          <w:p w14:paraId="6B6E6703">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auto"/>
                <w:spacing w:val="0"/>
                <w:w w:val="100"/>
                <w:kern w:val="2"/>
                <w:position w:val="0"/>
                <w:sz w:val="24"/>
                <w:szCs w:val="24"/>
                <w:highlight w:val="yellow"/>
                <w:u w:val="none" w:color="auto"/>
                <w:shd w:val="clear" w:color="auto" w:fill="auto"/>
                <w:lang w:val="en-US" w:eastAsia="zh-CN" w:bidi="zh-TW"/>
              </w:rPr>
            </w:pPr>
            <w:r>
              <w:rPr>
                <w:rFonts w:hint="eastAsia" w:ascii="Times New Roman" w:hAnsi="Times New Roman" w:eastAsia="宋体" w:cs="Times New Roman"/>
                <w:color w:val="auto"/>
                <w:sz w:val="24"/>
                <w:szCs w:val="24"/>
                <w:highlight w:val="none"/>
                <w:u w:val="none" w:color="auto"/>
                <w:lang w:val="en-US" w:eastAsia="zh-CN"/>
              </w:rPr>
              <w:t>根据《</w:t>
            </w:r>
            <w:r>
              <w:rPr>
                <w:rFonts w:hint="default" w:ascii="Times New Roman" w:hAnsi="Times New Roman" w:eastAsia="宋体" w:cs="Times New Roman"/>
                <w:color w:val="auto"/>
                <w:sz w:val="24"/>
                <w:szCs w:val="24"/>
                <w:highlight w:val="none"/>
                <w:u w:val="none" w:color="auto"/>
                <w:lang w:eastAsia="zh-CN"/>
              </w:rPr>
              <w:t>建设项目环境影响报告表编制技术指南（污染影响类）</w:t>
            </w:r>
            <w:r>
              <w:rPr>
                <w:rFonts w:hint="eastAsia" w:ascii="Times New Roman" w:hAnsi="Times New Roman" w:eastAsia="宋体" w:cs="Times New Roman"/>
                <w:color w:val="auto"/>
                <w:sz w:val="24"/>
                <w:szCs w:val="24"/>
                <w:highlight w:val="none"/>
                <w:u w:val="none" w:color="auto"/>
                <w:lang w:eastAsia="zh-CN"/>
              </w:rPr>
              <w:t>（</w:t>
            </w:r>
            <w:r>
              <w:rPr>
                <w:rFonts w:hint="eastAsia" w:ascii="Times New Roman" w:hAnsi="Times New Roman" w:eastAsia="宋体" w:cs="Times New Roman"/>
                <w:color w:val="auto"/>
                <w:sz w:val="24"/>
                <w:szCs w:val="24"/>
                <w:highlight w:val="none"/>
                <w:u w:val="none" w:color="auto"/>
                <w:lang w:val="en-US" w:eastAsia="zh-CN"/>
              </w:rPr>
              <w:t>试行</w:t>
            </w:r>
            <w:r>
              <w:rPr>
                <w:rFonts w:hint="eastAsia" w:ascii="Times New Roman" w:hAnsi="Times New Roman" w:eastAsia="宋体" w:cs="Times New Roman"/>
                <w:color w:val="auto"/>
                <w:sz w:val="24"/>
                <w:szCs w:val="24"/>
                <w:highlight w:val="none"/>
                <w:u w:val="none" w:color="auto"/>
                <w:lang w:eastAsia="zh-CN"/>
              </w:rPr>
              <w:t>）</w:t>
            </w:r>
            <w:r>
              <w:rPr>
                <w:rFonts w:hint="default" w:ascii="Times New Roman" w:hAnsi="Times New Roman" w:eastAsia="宋体" w:cs="Times New Roman"/>
                <w:color w:val="auto"/>
                <w:sz w:val="24"/>
                <w:szCs w:val="24"/>
                <w:highlight w:val="none"/>
                <w:u w:val="none" w:color="auto"/>
                <w:lang w:eastAsia="zh-CN"/>
              </w:rPr>
              <w:t>》</w:t>
            </w:r>
            <w:r>
              <w:rPr>
                <w:rFonts w:hint="eastAsia" w:ascii="Times New Roman" w:hAnsi="Times New Roman" w:eastAsia="宋体" w:cs="Times New Roman"/>
                <w:color w:val="auto"/>
                <w:sz w:val="24"/>
                <w:szCs w:val="24"/>
                <w:highlight w:val="none"/>
                <w:u w:val="none" w:color="auto"/>
                <w:lang w:val="en-US" w:eastAsia="zh-CN"/>
              </w:rPr>
              <w:t>具体编制要求</w:t>
            </w:r>
            <w:r>
              <w:rPr>
                <w:rFonts w:hint="eastAsia" w:ascii="Times New Roman" w:hAnsi="Times New Roman" w:eastAsia="宋体" w:cs="Times New Roman"/>
                <w:color w:val="auto"/>
                <w:sz w:val="24"/>
                <w:szCs w:val="24"/>
                <w:highlight w:val="none"/>
                <w:u w:val="none" w:color="auto"/>
                <w:lang w:eastAsia="zh-CN"/>
              </w:rPr>
              <w:t>：</w:t>
            </w:r>
            <w:r>
              <w:rPr>
                <w:rFonts w:hint="eastAsia" w:ascii="Times New Roman" w:hAnsi="Times New Roman" w:eastAsia="宋体" w:cs="Times New Roman"/>
                <w:color w:val="auto"/>
                <w:sz w:val="24"/>
                <w:szCs w:val="24"/>
                <w:highlight w:val="none"/>
                <w:u w:val="none" w:color="auto"/>
                <w:lang w:val="en-US" w:eastAsia="zh-CN"/>
              </w:rPr>
              <w:t>厂界外周边50m范围内存在声环境保护目标的建设项目，应监测保护目标声环境质量现状并评价达标情况。</w:t>
            </w:r>
            <w:r>
              <w:rPr>
                <w:rFonts w:hint="eastAsia" w:cs="Times New Roman"/>
                <w:color w:val="auto"/>
                <w:sz w:val="24"/>
                <w:szCs w:val="24"/>
                <w:highlight w:val="none"/>
                <w:u w:val="none" w:color="auto"/>
                <w:lang w:val="en-US" w:eastAsia="zh-CN"/>
              </w:rPr>
              <w:t>根据《湘潭县城镇声环境功能区划分方案》，项目所在地属于2类声环境功能区。</w:t>
            </w:r>
            <w:r>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为了解项目所在地声环境质量，本环评委托</w:t>
            </w:r>
            <w:r>
              <w:rPr>
                <w:rFonts w:hint="eastAsia" w:cs="Times New Roman"/>
                <w:color w:val="auto"/>
                <w:spacing w:val="0"/>
                <w:w w:val="100"/>
                <w:kern w:val="2"/>
                <w:position w:val="0"/>
                <w:sz w:val="24"/>
                <w:szCs w:val="24"/>
                <w:highlight w:val="none"/>
                <w:u w:val="none" w:color="auto"/>
                <w:shd w:val="clear" w:color="auto" w:fill="auto"/>
                <w:lang w:val="en-US" w:eastAsia="zh-CN" w:bidi="zh-TW"/>
              </w:rPr>
              <w:t>湖南乾诚检测有限公司</w:t>
            </w:r>
            <w:r>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于202</w:t>
            </w:r>
            <w:r>
              <w:rPr>
                <w:rFonts w:hint="eastAsia"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5</w:t>
            </w:r>
            <w:r>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年</w:t>
            </w:r>
            <w:r>
              <w:rPr>
                <w:rFonts w:hint="eastAsia" w:cs="Times New Roman"/>
                <w:color w:val="auto"/>
                <w:spacing w:val="0"/>
                <w:w w:val="100"/>
                <w:kern w:val="2"/>
                <w:position w:val="0"/>
                <w:sz w:val="24"/>
                <w:szCs w:val="24"/>
                <w:highlight w:val="none"/>
                <w:u w:val="none" w:color="auto"/>
                <w:shd w:val="clear" w:color="auto" w:fill="auto"/>
                <w:lang w:val="en-US" w:eastAsia="zh-CN" w:bidi="zh-TW"/>
              </w:rPr>
              <w:t>3</w:t>
            </w:r>
            <w:r>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月</w:t>
            </w:r>
            <w:r>
              <w:rPr>
                <w:rFonts w:hint="eastAsia" w:cs="Times New Roman"/>
                <w:color w:val="auto"/>
                <w:spacing w:val="0"/>
                <w:w w:val="100"/>
                <w:kern w:val="2"/>
                <w:position w:val="0"/>
                <w:sz w:val="24"/>
                <w:szCs w:val="24"/>
                <w:highlight w:val="none"/>
                <w:u w:val="none" w:color="auto"/>
                <w:shd w:val="clear" w:color="auto" w:fill="auto"/>
                <w:lang w:val="en-US" w:eastAsia="zh-CN" w:bidi="zh-TW"/>
              </w:rPr>
              <w:t>1</w:t>
            </w:r>
            <w:r>
              <w:rPr>
                <w:rFonts w:hint="eastAsia"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8</w:t>
            </w:r>
            <w:r>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日对</w:t>
            </w:r>
            <w:r>
              <w:rPr>
                <w:rFonts w:hint="eastAsia"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厂界外南面8m处飞龙村散户居民点</w:t>
            </w:r>
            <w:r>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进行了噪声监测，噪声监测结果如下表所示。</w:t>
            </w:r>
          </w:p>
          <w:p w14:paraId="3B10D7B4">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color w:val="auto"/>
                <w:kern w:val="2"/>
                <w:sz w:val="21"/>
                <w:szCs w:val="21"/>
                <w:highlight w:val="none"/>
                <w:u w:val="none" w:color="auto"/>
                <w:lang w:val="en-US" w:eastAsia="zh-CN" w:bidi="ar-SA"/>
              </w:rPr>
            </w:pPr>
            <w:r>
              <w:rPr>
                <w:rFonts w:hint="default" w:ascii="Times New Roman" w:hAnsi="Times New Roman" w:eastAsia="宋体" w:cs="Times New Roman"/>
                <w:b/>
                <w:bCs/>
                <w:color w:val="auto"/>
                <w:kern w:val="2"/>
                <w:sz w:val="21"/>
                <w:szCs w:val="21"/>
                <w:highlight w:val="none"/>
                <w:u w:val="none" w:color="auto"/>
                <w:lang w:val="en-US" w:eastAsia="zh-CN" w:bidi="ar-SA"/>
              </w:rPr>
              <w:t>表3-</w:t>
            </w:r>
            <w:r>
              <w:rPr>
                <w:rFonts w:hint="eastAsia" w:cs="Times New Roman"/>
                <w:b/>
                <w:bCs/>
                <w:color w:val="auto"/>
                <w:kern w:val="2"/>
                <w:sz w:val="21"/>
                <w:szCs w:val="21"/>
                <w:highlight w:val="none"/>
                <w:u w:val="none" w:color="auto"/>
                <w:lang w:val="en-US" w:eastAsia="zh-CN" w:bidi="ar-SA"/>
              </w:rPr>
              <w:t>4</w:t>
            </w:r>
            <w:r>
              <w:rPr>
                <w:rFonts w:hint="default" w:ascii="Times New Roman" w:hAnsi="Times New Roman" w:eastAsia="宋体" w:cs="Times New Roman"/>
                <w:b/>
                <w:bCs/>
                <w:color w:val="auto"/>
                <w:kern w:val="2"/>
                <w:sz w:val="21"/>
                <w:szCs w:val="21"/>
                <w:highlight w:val="none"/>
                <w:u w:val="none" w:color="auto"/>
                <w:lang w:val="en-US" w:eastAsia="zh-CN" w:bidi="ar-SA"/>
              </w:rPr>
              <w:t xml:space="preserve">   噪声监测结果表</w:t>
            </w:r>
          </w:p>
          <w:tbl>
            <w:tblPr>
              <w:tblStyle w:val="3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7"/>
              <w:gridCol w:w="2187"/>
              <w:gridCol w:w="865"/>
              <w:gridCol w:w="1109"/>
              <w:gridCol w:w="851"/>
              <w:gridCol w:w="789"/>
              <w:gridCol w:w="927"/>
              <w:gridCol w:w="872"/>
            </w:tblGrid>
            <w:tr w14:paraId="562D9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335" w:type="pct"/>
                  <w:vMerge w:val="restart"/>
                  <w:noWrap w:val="0"/>
                  <w:vAlign w:val="center"/>
                </w:tcPr>
                <w:p w14:paraId="5AA6A8B2">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序号</w:t>
                  </w:r>
                </w:p>
              </w:tc>
              <w:tc>
                <w:tcPr>
                  <w:tcW w:w="1342" w:type="pct"/>
                  <w:vMerge w:val="restart"/>
                  <w:noWrap w:val="0"/>
                  <w:vAlign w:val="center"/>
                </w:tcPr>
                <w:p w14:paraId="55714EBB">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点位位置</w:t>
                  </w:r>
                </w:p>
              </w:tc>
              <w:tc>
                <w:tcPr>
                  <w:tcW w:w="531" w:type="pct"/>
                  <w:vMerge w:val="restart"/>
                  <w:noWrap w:val="0"/>
                  <w:vAlign w:val="center"/>
                </w:tcPr>
                <w:p w14:paraId="647F416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监测</w:t>
                  </w:r>
                </w:p>
                <w:p w14:paraId="5648BE32">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项目</w:t>
                  </w:r>
                </w:p>
              </w:tc>
              <w:tc>
                <w:tcPr>
                  <w:tcW w:w="680" w:type="pct"/>
                  <w:vMerge w:val="restart"/>
                  <w:noWrap w:val="0"/>
                  <w:vAlign w:val="center"/>
                </w:tcPr>
                <w:p w14:paraId="3DCE9AF2">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监测日期</w:t>
                  </w:r>
                </w:p>
              </w:tc>
              <w:tc>
                <w:tcPr>
                  <w:tcW w:w="1006" w:type="pct"/>
                  <w:gridSpan w:val="2"/>
                  <w:noWrap w:val="0"/>
                  <w:vAlign w:val="center"/>
                </w:tcPr>
                <w:p w14:paraId="120ADF9B">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监测值dB(A)</w:t>
                  </w:r>
                </w:p>
              </w:tc>
              <w:tc>
                <w:tcPr>
                  <w:tcW w:w="1103" w:type="pct"/>
                  <w:gridSpan w:val="2"/>
                  <w:noWrap w:val="0"/>
                  <w:vAlign w:val="center"/>
                </w:tcPr>
                <w:p w14:paraId="2131D33D">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标准限值dB(A)</w:t>
                  </w:r>
                </w:p>
              </w:tc>
            </w:tr>
            <w:tr w14:paraId="094F1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335" w:type="pct"/>
                  <w:vMerge w:val="continue"/>
                  <w:noWrap w:val="0"/>
                  <w:vAlign w:val="center"/>
                </w:tcPr>
                <w:p w14:paraId="77C7D35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p>
              </w:tc>
              <w:tc>
                <w:tcPr>
                  <w:tcW w:w="1342" w:type="pct"/>
                  <w:vMerge w:val="continue"/>
                  <w:noWrap w:val="0"/>
                  <w:vAlign w:val="center"/>
                </w:tcPr>
                <w:p w14:paraId="4677FD1A">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p>
              </w:tc>
              <w:tc>
                <w:tcPr>
                  <w:tcW w:w="531" w:type="pct"/>
                  <w:vMerge w:val="continue"/>
                  <w:noWrap w:val="0"/>
                  <w:vAlign w:val="center"/>
                </w:tcPr>
                <w:p w14:paraId="590C76F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p>
              </w:tc>
              <w:tc>
                <w:tcPr>
                  <w:tcW w:w="680" w:type="pct"/>
                  <w:vMerge w:val="continue"/>
                  <w:noWrap w:val="0"/>
                  <w:vAlign w:val="center"/>
                </w:tcPr>
                <w:p w14:paraId="15ED9CEC">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p>
              </w:tc>
              <w:tc>
                <w:tcPr>
                  <w:tcW w:w="521" w:type="pct"/>
                  <w:noWrap w:val="0"/>
                  <w:vAlign w:val="center"/>
                </w:tcPr>
                <w:p w14:paraId="2D0B14B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昼间</w:t>
                  </w:r>
                </w:p>
              </w:tc>
              <w:tc>
                <w:tcPr>
                  <w:tcW w:w="484" w:type="pct"/>
                  <w:noWrap w:val="0"/>
                  <w:vAlign w:val="center"/>
                </w:tcPr>
                <w:p w14:paraId="3078AB7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夜间</w:t>
                  </w:r>
                </w:p>
              </w:tc>
              <w:tc>
                <w:tcPr>
                  <w:tcW w:w="568" w:type="pct"/>
                  <w:noWrap w:val="0"/>
                  <w:vAlign w:val="center"/>
                </w:tcPr>
                <w:p w14:paraId="45D3F79C">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昼间</w:t>
                  </w:r>
                </w:p>
              </w:tc>
              <w:tc>
                <w:tcPr>
                  <w:tcW w:w="535" w:type="pct"/>
                  <w:noWrap w:val="0"/>
                  <w:vAlign w:val="center"/>
                </w:tcPr>
                <w:p w14:paraId="13E4526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夜间</w:t>
                  </w:r>
                </w:p>
              </w:tc>
            </w:tr>
            <w:tr w14:paraId="6B4D5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335" w:type="pct"/>
                  <w:noWrap w:val="0"/>
                  <w:vAlign w:val="center"/>
                </w:tcPr>
                <w:p w14:paraId="3C9E414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pacing w:val="0"/>
                      <w:w w:val="100"/>
                      <w:kern w:val="2"/>
                      <w:position w:val="0"/>
                      <w:sz w:val="21"/>
                      <w:szCs w:val="21"/>
                      <w:highlight w:val="yellow"/>
                      <w:u w:val="none" w:color="auto"/>
                      <w:shd w:val="clear" w:color="auto" w:fill="auto"/>
                      <w:lang w:val="en-US" w:eastAsia="zh-CN" w:bidi="zh-TW"/>
                    </w:rPr>
                  </w:pPr>
                  <w:r>
                    <w:rPr>
                      <w:rFonts w:hint="default" w:ascii="Times New Roman" w:hAnsi="Times New Roman" w:cs="Times New Roman"/>
                      <w:color w:val="auto"/>
                      <w:sz w:val="21"/>
                      <w:szCs w:val="21"/>
                      <w:highlight w:val="none"/>
                      <w:u w:val="none" w:color="auto"/>
                    </w:rPr>
                    <w:t>N</w:t>
                  </w:r>
                  <w:r>
                    <w:rPr>
                      <w:rFonts w:hint="eastAsia" w:ascii="Times New Roman" w:hAnsi="Times New Roman" w:cs="Times New Roman"/>
                      <w:color w:val="auto"/>
                      <w:sz w:val="21"/>
                      <w:szCs w:val="21"/>
                      <w:highlight w:val="none"/>
                      <w:u w:val="none" w:color="auto"/>
                      <w:lang w:val="en-US" w:eastAsia="zh-CN"/>
                    </w:rPr>
                    <w:t>1</w:t>
                  </w:r>
                </w:p>
              </w:tc>
              <w:tc>
                <w:tcPr>
                  <w:tcW w:w="1342" w:type="pct"/>
                  <w:noWrap w:val="0"/>
                  <w:vAlign w:val="center"/>
                </w:tcPr>
                <w:p w14:paraId="28B64CC2">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eastAsia"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南面8m处飞龙村散户居民点</w:t>
                  </w:r>
                </w:p>
              </w:tc>
              <w:tc>
                <w:tcPr>
                  <w:tcW w:w="531" w:type="pct"/>
                  <w:noWrap w:val="0"/>
                  <w:vAlign w:val="center"/>
                </w:tcPr>
                <w:p w14:paraId="13D3BE9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等效连续A声级</w:t>
                  </w:r>
                </w:p>
              </w:tc>
              <w:tc>
                <w:tcPr>
                  <w:tcW w:w="680" w:type="pct"/>
                  <w:noWrap w:val="0"/>
                  <w:vAlign w:val="center"/>
                </w:tcPr>
                <w:p w14:paraId="3C06ECB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202</w:t>
                  </w:r>
                  <w:r>
                    <w:rPr>
                      <w:rFonts w:hint="eastAsia"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5</w:t>
                  </w: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w:t>
                  </w:r>
                  <w:r>
                    <w:rPr>
                      <w:rFonts w:hint="eastAsia" w:cs="Times New Roman"/>
                      <w:color w:val="auto"/>
                      <w:spacing w:val="0"/>
                      <w:w w:val="100"/>
                      <w:kern w:val="2"/>
                      <w:position w:val="0"/>
                      <w:sz w:val="21"/>
                      <w:szCs w:val="21"/>
                      <w:highlight w:val="none"/>
                      <w:u w:val="none" w:color="auto"/>
                      <w:shd w:val="clear" w:color="auto" w:fill="auto"/>
                      <w:lang w:val="en-US" w:eastAsia="zh-CN" w:bidi="zh-TW"/>
                    </w:rPr>
                    <w:t>3.18</w:t>
                  </w:r>
                </w:p>
              </w:tc>
              <w:tc>
                <w:tcPr>
                  <w:tcW w:w="521" w:type="pct"/>
                  <w:noWrap w:val="0"/>
                  <w:vAlign w:val="center"/>
                </w:tcPr>
                <w:p w14:paraId="5DEAE62D">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eastAsia" w:cs="Times New Roman"/>
                      <w:color w:val="auto"/>
                      <w:spacing w:val="0"/>
                      <w:w w:val="100"/>
                      <w:kern w:val="2"/>
                      <w:position w:val="0"/>
                      <w:sz w:val="21"/>
                      <w:szCs w:val="21"/>
                      <w:highlight w:val="none"/>
                      <w:u w:val="none" w:color="auto"/>
                      <w:shd w:val="clear" w:color="auto" w:fill="auto"/>
                      <w:lang w:val="en-US" w:eastAsia="zh-CN" w:bidi="zh-TW"/>
                    </w:rPr>
                    <w:t>55.3</w:t>
                  </w:r>
                </w:p>
              </w:tc>
              <w:tc>
                <w:tcPr>
                  <w:tcW w:w="484" w:type="pct"/>
                  <w:noWrap w:val="0"/>
                  <w:vAlign w:val="center"/>
                </w:tcPr>
                <w:p w14:paraId="24B9840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eastAsia"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43.9</w:t>
                  </w:r>
                </w:p>
              </w:tc>
              <w:tc>
                <w:tcPr>
                  <w:tcW w:w="568" w:type="pct"/>
                  <w:noWrap w:val="0"/>
                  <w:vAlign w:val="center"/>
                </w:tcPr>
                <w:p w14:paraId="75CEB62A">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60</w:t>
                  </w:r>
                </w:p>
              </w:tc>
              <w:tc>
                <w:tcPr>
                  <w:tcW w:w="535" w:type="pct"/>
                  <w:noWrap w:val="0"/>
                  <w:vAlign w:val="center"/>
                </w:tcPr>
                <w:p w14:paraId="7CF111B2">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1"/>
                      <w:szCs w:val="21"/>
                      <w:highlight w:val="none"/>
                      <w:u w:val="none" w:color="auto"/>
                      <w:shd w:val="clear" w:color="auto" w:fill="auto"/>
                      <w:lang w:val="en-US" w:eastAsia="zh-CN" w:bidi="zh-TW"/>
                    </w:rPr>
                    <w:t>50</w:t>
                  </w:r>
                </w:p>
              </w:tc>
            </w:tr>
          </w:tbl>
          <w:p w14:paraId="7A69C556">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由上表可知，本项目周边声环境保护目标处的声环境质量现状可满足《声环境质量标准》（GB3096-2008）中的2类标准要求。</w:t>
            </w:r>
          </w:p>
          <w:p w14:paraId="102A649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3.4</w:t>
            </w:r>
            <w:r>
              <w:rPr>
                <w:rFonts w:hint="default" w:ascii="Times New Roman" w:hAnsi="Times New Roman" w:eastAsia="宋体" w:cs="Times New Roman"/>
                <w:b/>
                <w:bCs/>
                <w:color w:val="auto"/>
                <w:sz w:val="24"/>
                <w:szCs w:val="24"/>
                <w:highlight w:val="none"/>
                <w:u w:val="none" w:color="auto"/>
                <w:lang w:val="en-US" w:eastAsia="zh-CN"/>
              </w:rPr>
              <w:t>地下水、土壤环境</w:t>
            </w:r>
          </w:p>
          <w:p w14:paraId="6AE51396">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根据生态环境部办公厅2020年12月23日发布的《建设项目环境影响报告表编制技术指南（污染影响类）（试行）》，地下水、土壤环境原则上不开展环境质量现状调查。</w:t>
            </w:r>
          </w:p>
          <w:p w14:paraId="57D2C2F8">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本项目地面进行</w:t>
            </w:r>
            <w:r>
              <w:rPr>
                <w:rFonts w:hint="eastAsia"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硬化</w:t>
            </w:r>
            <w:r>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防渗，没有土壤和地下水污染途径，不进行土壤和地下水监测。</w:t>
            </w:r>
          </w:p>
          <w:p w14:paraId="2EE7615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3.5</w:t>
            </w:r>
            <w:r>
              <w:rPr>
                <w:rFonts w:hint="default" w:ascii="Times New Roman" w:hAnsi="Times New Roman" w:eastAsia="宋体" w:cs="Times New Roman"/>
                <w:b/>
                <w:bCs/>
                <w:color w:val="auto"/>
                <w:sz w:val="24"/>
                <w:szCs w:val="24"/>
                <w:highlight w:val="none"/>
                <w:u w:val="none" w:color="auto"/>
                <w:lang w:val="en-US" w:eastAsia="zh-CN"/>
              </w:rPr>
              <w:t>生态环境</w:t>
            </w:r>
          </w:p>
          <w:p w14:paraId="750002A5">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spacing w:val="0"/>
                <w:w w:val="100"/>
                <w:kern w:val="2"/>
                <w:position w:val="0"/>
                <w:sz w:val="21"/>
                <w:szCs w:val="21"/>
                <w:highlight w:val="yellow"/>
                <w:u w:val="none" w:color="auto"/>
                <w:shd w:val="clear" w:color="auto" w:fill="auto"/>
                <w:lang w:val="en-US" w:eastAsia="zh-CN" w:bidi="zh-TW"/>
              </w:rPr>
            </w:pPr>
            <w:r>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项目</w:t>
            </w:r>
            <w:r>
              <w:rPr>
                <w:rFonts w:hint="eastAsia"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租用已建厂房</w:t>
            </w:r>
            <w:r>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内，根据现状勘察，项目场地及周围1km范围内没有国家公园、自然保护区、自然公园、生态保护红线等法定生态保护区，没有国家及地方重点保护野生动植物种的天然集中分布区、栖息地，不涉及迁徙鸟类的重要繁殖地、停歇地、越冬地以及野生动物迁徙通道等。项目所在地为低山丘陵地貌。根据水土流失类型区的划分，项目所在地属于南方丘陵红壤区，以降雨和地表径流冲刷引起的水力侵蚀为主。</w:t>
            </w:r>
            <w:r>
              <w:rPr>
                <w:rFonts w:hint="eastAsia"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项目周边</w:t>
            </w:r>
            <w:r>
              <w:rPr>
                <w:rFonts w:hint="default" w:ascii="Times New Roman" w:hAnsi="Times New Roman" w:eastAsia="宋体" w:cs="Times New Roman"/>
                <w:color w:val="auto"/>
                <w:spacing w:val="0"/>
                <w:w w:val="100"/>
                <w:kern w:val="2"/>
                <w:position w:val="0"/>
                <w:sz w:val="24"/>
                <w:szCs w:val="24"/>
                <w:highlight w:val="none"/>
                <w:u w:val="none" w:color="auto"/>
                <w:shd w:val="clear" w:color="auto" w:fill="auto"/>
                <w:lang w:val="en-US" w:eastAsia="zh-CN" w:bidi="zh-TW"/>
              </w:rPr>
              <w:t>为林地，次生植被成分简单，植被整体上覆盖良好。主要乔木树种有马尾松、樟树、梓树等人工林木；主要灌木树种有桎林、白栎、杂竹等；主要草本植物有白茅、铁芒箕、蕨类，群落结构较为简单。项目区域无国家重点保护植物、古树、大树分布。周边丘陵、山地区域活动的野生动物主要有：麻雀、杜鹃、喜鹊、鼠类、野兔、蛇等，没有发现珍稀野生动物。区域整体生态环境状况良好。</w:t>
            </w:r>
          </w:p>
        </w:tc>
      </w:tr>
      <w:tr w14:paraId="6129AD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92" w:hRule="atLeast"/>
        </w:trPr>
        <w:tc>
          <w:tcPr>
            <w:tcW w:w="719" w:type="dxa"/>
            <w:noWrap w:val="0"/>
            <w:vAlign w:val="center"/>
          </w:tcPr>
          <w:p w14:paraId="6F95A3BF">
            <w:pPr>
              <w:adjustRightInd w:val="0"/>
              <w:snapToGrid w:val="0"/>
              <w:jc w:val="center"/>
              <w:rPr>
                <w:rFonts w:hint="default" w:ascii="Times New Roman" w:hAnsi="Times New Roman" w:eastAsia="宋体" w:cs="Times New Roman"/>
                <w:color w:val="auto"/>
                <w:kern w:val="0"/>
                <w:sz w:val="21"/>
                <w:szCs w:val="21"/>
                <w:highlight w:val="yellow"/>
                <w:u w:val="none" w:color="auto"/>
              </w:rPr>
            </w:pPr>
            <w:r>
              <w:rPr>
                <w:rFonts w:hint="default" w:ascii="Times New Roman" w:hAnsi="Times New Roman" w:eastAsia="宋体" w:cs="Times New Roman"/>
                <w:color w:val="auto"/>
                <w:kern w:val="0"/>
                <w:sz w:val="21"/>
                <w:szCs w:val="21"/>
                <w:highlight w:val="none"/>
                <w:u w:val="none" w:color="auto"/>
              </w:rPr>
              <w:t>环境保护目标</w:t>
            </w:r>
          </w:p>
        </w:tc>
        <w:tc>
          <w:tcPr>
            <w:tcW w:w="8380" w:type="dxa"/>
            <w:noWrap w:val="0"/>
            <w:vAlign w:val="center"/>
          </w:tcPr>
          <w:p w14:paraId="4B68D569">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auto"/>
                <w:sz w:val="24"/>
                <w:szCs w:val="24"/>
                <w:highlight w:val="none"/>
                <w:u w:val="none" w:color="auto"/>
              </w:rPr>
            </w:pPr>
            <w:r>
              <w:rPr>
                <w:rFonts w:hint="eastAsia" w:ascii="Times New Roman" w:hAnsi="Times New Roman" w:eastAsia="宋体" w:cs="Times New Roman"/>
                <w:b/>
                <w:bCs/>
                <w:color w:val="auto"/>
                <w:sz w:val="24"/>
                <w:szCs w:val="24"/>
                <w:highlight w:val="none"/>
                <w:u w:val="none" w:color="auto"/>
                <w:lang w:val="en-US" w:eastAsia="zh-CN"/>
              </w:rPr>
              <w:t>1、</w:t>
            </w:r>
            <w:r>
              <w:rPr>
                <w:rFonts w:hint="default" w:ascii="Times New Roman" w:hAnsi="Times New Roman" w:eastAsia="宋体" w:cs="Times New Roman"/>
                <w:b/>
                <w:bCs/>
                <w:color w:val="auto"/>
                <w:sz w:val="24"/>
                <w:szCs w:val="24"/>
                <w:highlight w:val="none"/>
                <w:u w:val="none" w:color="auto"/>
              </w:rPr>
              <w:t>大气环境</w:t>
            </w:r>
          </w:p>
          <w:p w14:paraId="3166DCAB">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lang w:val="en-US" w:eastAsia="zh-CN"/>
              </w:rPr>
              <w:t>本项目位于</w:t>
            </w:r>
            <w:r>
              <w:rPr>
                <w:rFonts w:hint="eastAsia" w:cs="Times New Roman"/>
                <w:color w:val="auto"/>
                <w:sz w:val="24"/>
                <w:szCs w:val="24"/>
                <w:highlight w:val="none"/>
                <w:u w:val="none" w:color="auto"/>
                <w:lang w:val="en-US" w:eastAsia="zh-CN"/>
              </w:rPr>
              <w:t>湘潭县易俗河镇飞龙村龙大组</w:t>
            </w:r>
            <w:r>
              <w:rPr>
                <w:rFonts w:hint="default" w:ascii="Times New Roman" w:hAnsi="Times New Roman" w:eastAsia="宋体" w:cs="Times New Roman"/>
                <w:color w:val="auto"/>
                <w:sz w:val="24"/>
                <w:szCs w:val="24"/>
                <w:highlight w:val="none"/>
                <w:u w:val="none" w:color="auto"/>
                <w:lang w:eastAsia="zh-CN"/>
              </w:rPr>
              <w:t>，</w:t>
            </w:r>
            <w:r>
              <w:rPr>
                <w:rFonts w:hint="default" w:ascii="Times New Roman" w:hAnsi="Times New Roman" w:eastAsia="宋体" w:cs="Times New Roman"/>
                <w:color w:val="auto"/>
                <w:sz w:val="24"/>
                <w:szCs w:val="24"/>
                <w:highlight w:val="none"/>
                <w:u w:val="none" w:color="auto"/>
              </w:rPr>
              <w:t>根据周围环境现状调查，厂界</w:t>
            </w:r>
            <w:r>
              <w:rPr>
                <w:rFonts w:hint="default" w:ascii="Times New Roman" w:hAnsi="Times New Roman" w:eastAsia="宋体" w:cs="Times New Roman"/>
                <w:color w:val="auto"/>
                <w:sz w:val="24"/>
                <w:szCs w:val="24"/>
                <w:highlight w:val="none"/>
                <w:u w:val="none" w:color="auto"/>
                <w:lang w:val="en-US" w:eastAsia="zh-CN"/>
              </w:rPr>
              <w:t>外</w:t>
            </w:r>
            <w:r>
              <w:rPr>
                <w:rFonts w:hint="default" w:ascii="Times New Roman" w:hAnsi="Times New Roman" w:eastAsia="宋体" w:cs="Times New Roman"/>
                <w:color w:val="auto"/>
                <w:sz w:val="24"/>
                <w:szCs w:val="24"/>
                <w:highlight w:val="none"/>
                <w:u w:val="none" w:color="auto"/>
              </w:rPr>
              <w:t>500m范围内环境</w:t>
            </w:r>
            <w:r>
              <w:rPr>
                <w:rFonts w:hint="default" w:ascii="Times New Roman" w:hAnsi="Times New Roman" w:eastAsia="宋体" w:cs="Times New Roman"/>
                <w:color w:val="auto"/>
                <w:sz w:val="24"/>
                <w:szCs w:val="24"/>
                <w:highlight w:val="none"/>
                <w:u w:val="none" w:color="auto"/>
                <w:lang w:val="en-US" w:eastAsia="zh-CN"/>
              </w:rPr>
              <w:t>空气保护目标</w:t>
            </w:r>
            <w:r>
              <w:rPr>
                <w:rFonts w:hint="default" w:ascii="Times New Roman" w:hAnsi="Times New Roman" w:eastAsia="宋体" w:cs="Times New Roman"/>
                <w:color w:val="auto"/>
                <w:sz w:val="24"/>
                <w:szCs w:val="24"/>
                <w:highlight w:val="none"/>
                <w:u w:val="none" w:color="auto"/>
              </w:rPr>
              <w:t>为</w:t>
            </w:r>
            <w:r>
              <w:rPr>
                <w:rFonts w:hint="default" w:ascii="Times New Roman" w:hAnsi="Times New Roman" w:eastAsia="宋体" w:cs="Times New Roman"/>
                <w:color w:val="auto"/>
                <w:sz w:val="24"/>
                <w:szCs w:val="24"/>
                <w:highlight w:val="none"/>
                <w:u w:val="none" w:color="auto"/>
                <w:lang w:val="en-US" w:eastAsia="zh-CN"/>
              </w:rPr>
              <w:t>散户</w:t>
            </w:r>
            <w:r>
              <w:rPr>
                <w:rFonts w:hint="default" w:ascii="Times New Roman" w:hAnsi="Times New Roman" w:eastAsia="宋体" w:cs="Times New Roman"/>
                <w:color w:val="auto"/>
                <w:sz w:val="24"/>
                <w:szCs w:val="24"/>
                <w:highlight w:val="none"/>
                <w:u w:val="none" w:color="auto"/>
              </w:rPr>
              <w:t>居民</w:t>
            </w:r>
            <w:r>
              <w:rPr>
                <w:rFonts w:hint="default" w:ascii="Times New Roman" w:hAnsi="Times New Roman" w:eastAsia="宋体" w:cs="Times New Roman"/>
                <w:color w:val="auto"/>
                <w:sz w:val="24"/>
                <w:szCs w:val="24"/>
                <w:highlight w:val="none"/>
                <w:u w:val="none" w:color="auto"/>
                <w:lang w:val="en-US" w:eastAsia="zh-CN"/>
              </w:rPr>
              <w:t>点等</w:t>
            </w:r>
            <w:r>
              <w:rPr>
                <w:rFonts w:hint="default" w:ascii="Times New Roman" w:hAnsi="Times New Roman" w:eastAsia="宋体" w:cs="Times New Roman"/>
                <w:color w:val="auto"/>
                <w:sz w:val="24"/>
                <w:szCs w:val="24"/>
                <w:highlight w:val="none"/>
                <w:u w:val="none" w:color="auto"/>
              </w:rPr>
              <w:t>。</w:t>
            </w:r>
          </w:p>
          <w:p w14:paraId="60579EB5">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lang w:val="en-US" w:eastAsia="zh-CN"/>
              </w:rPr>
              <w:t>本</w:t>
            </w:r>
            <w:r>
              <w:rPr>
                <w:rFonts w:hint="default" w:ascii="Times New Roman" w:hAnsi="Times New Roman" w:eastAsia="宋体" w:cs="Times New Roman"/>
                <w:color w:val="auto"/>
                <w:sz w:val="24"/>
                <w:szCs w:val="24"/>
                <w:highlight w:val="none"/>
                <w:u w:val="none" w:color="auto"/>
              </w:rPr>
              <w:t>项目环境</w:t>
            </w:r>
            <w:r>
              <w:rPr>
                <w:rFonts w:hint="default" w:ascii="Times New Roman" w:hAnsi="Times New Roman" w:eastAsia="宋体" w:cs="Times New Roman"/>
                <w:color w:val="auto"/>
                <w:sz w:val="24"/>
                <w:szCs w:val="24"/>
                <w:highlight w:val="none"/>
                <w:u w:val="none" w:color="auto"/>
                <w:lang w:val="en-US" w:eastAsia="zh-CN"/>
              </w:rPr>
              <w:t>空气</w:t>
            </w:r>
            <w:r>
              <w:rPr>
                <w:rFonts w:hint="default" w:ascii="Times New Roman" w:hAnsi="Times New Roman" w:eastAsia="宋体" w:cs="Times New Roman"/>
                <w:color w:val="auto"/>
                <w:sz w:val="24"/>
                <w:szCs w:val="24"/>
                <w:highlight w:val="none"/>
                <w:u w:val="none" w:color="auto"/>
              </w:rPr>
              <w:t>保护目标分布情况见</w:t>
            </w:r>
            <w:r>
              <w:rPr>
                <w:rFonts w:hint="default" w:ascii="Times New Roman" w:hAnsi="Times New Roman" w:eastAsia="宋体" w:cs="Times New Roman"/>
                <w:color w:val="auto"/>
                <w:sz w:val="24"/>
                <w:szCs w:val="24"/>
                <w:highlight w:val="none"/>
                <w:u w:val="none" w:color="auto"/>
                <w:lang w:eastAsia="zh-CN"/>
              </w:rPr>
              <w:t>下表及</w:t>
            </w:r>
            <w:r>
              <w:rPr>
                <w:rFonts w:hint="default" w:ascii="Times New Roman" w:hAnsi="Times New Roman" w:eastAsia="宋体" w:cs="Times New Roman"/>
                <w:color w:val="auto"/>
                <w:sz w:val="24"/>
                <w:szCs w:val="24"/>
                <w:highlight w:val="none"/>
                <w:u w:val="none" w:color="auto"/>
              </w:rPr>
              <w:t>附图</w:t>
            </w:r>
            <w:r>
              <w:rPr>
                <w:rFonts w:hint="default" w:ascii="Times New Roman" w:hAnsi="Times New Roman" w:eastAsia="宋体" w:cs="Times New Roman"/>
                <w:color w:val="auto"/>
                <w:sz w:val="24"/>
                <w:szCs w:val="24"/>
                <w:highlight w:val="none"/>
                <w:u w:val="none" w:color="auto"/>
                <w:lang w:val="en-US" w:eastAsia="zh-CN"/>
              </w:rPr>
              <w:t>3</w:t>
            </w:r>
            <w:r>
              <w:rPr>
                <w:rFonts w:hint="default" w:ascii="Times New Roman" w:hAnsi="Times New Roman" w:eastAsia="宋体" w:cs="Times New Roman"/>
                <w:color w:val="auto"/>
                <w:sz w:val="24"/>
                <w:szCs w:val="24"/>
                <w:highlight w:val="none"/>
                <w:u w:val="none" w:color="auto"/>
              </w:rPr>
              <w:t>。</w:t>
            </w:r>
          </w:p>
          <w:p w14:paraId="6C944284">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color w:val="auto"/>
                <w:kern w:val="2"/>
                <w:sz w:val="21"/>
                <w:szCs w:val="21"/>
                <w:highlight w:val="none"/>
                <w:u w:val="none" w:color="auto"/>
                <w:lang w:val="en-US" w:eastAsia="zh-CN" w:bidi="ar-SA"/>
              </w:rPr>
            </w:pPr>
            <w:r>
              <w:rPr>
                <w:rFonts w:hint="default" w:ascii="Times New Roman" w:hAnsi="Times New Roman" w:eastAsia="宋体" w:cs="Times New Roman"/>
                <w:b/>
                <w:bCs/>
                <w:color w:val="auto"/>
                <w:kern w:val="2"/>
                <w:sz w:val="21"/>
                <w:szCs w:val="21"/>
                <w:highlight w:val="none"/>
                <w:u w:val="none" w:color="auto"/>
                <w:lang w:val="en-US" w:eastAsia="zh-CN" w:bidi="ar-SA"/>
              </w:rPr>
              <w:t>表3-</w:t>
            </w:r>
            <w:r>
              <w:rPr>
                <w:rFonts w:hint="eastAsia" w:cs="Times New Roman"/>
                <w:b/>
                <w:bCs/>
                <w:color w:val="auto"/>
                <w:kern w:val="2"/>
                <w:sz w:val="21"/>
                <w:szCs w:val="21"/>
                <w:highlight w:val="none"/>
                <w:u w:val="none" w:color="auto"/>
                <w:lang w:val="en-US" w:eastAsia="zh-CN" w:bidi="ar-SA"/>
              </w:rPr>
              <w:t>5</w:t>
            </w:r>
            <w:r>
              <w:rPr>
                <w:rFonts w:hint="default" w:ascii="Times New Roman" w:hAnsi="Times New Roman" w:eastAsia="宋体" w:cs="Times New Roman"/>
                <w:b/>
                <w:bCs/>
                <w:color w:val="auto"/>
                <w:kern w:val="2"/>
                <w:sz w:val="21"/>
                <w:szCs w:val="21"/>
                <w:highlight w:val="none"/>
                <w:u w:val="none" w:color="auto"/>
                <w:lang w:val="en-US" w:eastAsia="zh-CN" w:bidi="ar-SA"/>
              </w:rPr>
              <w:t xml:space="preserve">   本项目环境空气保护目标一览表</w:t>
            </w:r>
          </w:p>
          <w:tbl>
            <w:tblPr>
              <w:tblStyle w:val="31"/>
              <w:tblW w:w="4852"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51" w:type="dxa"/>
                <w:bottom w:w="0" w:type="dxa"/>
                <w:right w:w="51" w:type="dxa"/>
              </w:tblCellMar>
            </w:tblPr>
            <w:tblGrid>
              <w:gridCol w:w="382"/>
              <w:gridCol w:w="1570"/>
              <w:gridCol w:w="973"/>
              <w:gridCol w:w="892"/>
              <w:gridCol w:w="1055"/>
              <w:gridCol w:w="1234"/>
              <w:gridCol w:w="882"/>
              <w:gridCol w:w="921"/>
            </w:tblGrid>
            <w:tr w14:paraId="77BF31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jc w:val="center"/>
              </w:trPr>
              <w:tc>
                <w:tcPr>
                  <w:tcW w:w="241" w:type="pct"/>
                  <w:vMerge w:val="restart"/>
                  <w:noWrap w:val="0"/>
                  <w:vAlign w:val="center"/>
                </w:tcPr>
                <w:p w14:paraId="70D07BFA">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类别</w:t>
                  </w:r>
                </w:p>
              </w:tc>
              <w:tc>
                <w:tcPr>
                  <w:tcW w:w="992" w:type="pct"/>
                  <w:vMerge w:val="restart"/>
                  <w:noWrap w:val="0"/>
                  <w:vAlign w:val="center"/>
                </w:tcPr>
                <w:p w14:paraId="7590E1B9">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名称</w:t>
                  </w:r>
                </w:p>
              </w:tc>
              <w:tc>
                <w:tcPr>
                  <w:tcW w:w="1179" w:type="pct"/>
                  <w:gridSpan w:val="2"/>
                  <w:noWrap w:val="0"/>
                  <w:vAlign w:val="center"/>
                </w:tcPr>
                <w:p w14:paraId="6976C0DB">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坐标</w:t>
                  </w:r>
                </w:p>
              </w:tc>
              <w:tc>
                <w:tcPr>
                  <w:tcW w:w="666" w:type="pct"/>
                  <w:vMerge w:val="restart"/>
                  <w:noWrap w:val="0"/>
                  <w:vAlign w:val="center"/>
                </w:tcPr>
                <w:p w14:paraId="08240DF3">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保护</w:t>
                  </w:r>
                </w:p>
                <w:p w14:paraId="49AB31C1">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对象</w:t>
                  </w:r>
                </w:p>
              </w:tc>
              <w:tc>
                <w:tcPr>
                  <w:tcW w:w="780" w:type="pct"/>
                  <w:vMerge w:val="restart"/>
                  <w:noWrap w:val="0"/>
                  <w:vAlign w:val="center"/>
                </w:tcPr>
                <w:p w14:paraId="3C77B6A4">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规模</w:t>
                  </w:r>
                </w:p>
              </w:tc>
              <w:tc>
                <w:tcPr>
                  <w:tcW w:w="557" w:type="pct"/>
                  <w:vMerge w:val="restart"/>
                  <w:noWrap w:val="0"/>
                  <w:vAlign w:val="center"/>
                </w:tcPr>
                <w:p w14:paraId="4787A3AD">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相对</w:t>
                  </w:r>
                  <w:r>
                    <w:rPr>
                      <w:rFonts w:hint="eastAsia" w:ascii="Times New Roman" w:hAnsi="Times New Roman" w:eastAsia="宋体" w:cs="Times New Roman"/>
                      <w:b/>
                      <w:bCs w:val="0"/>
                      <w:color w:val="auto"/>
                      <w:spacing w:val="0"/>
                      <w:kern w:val="2"/>
                      <w:sz w:val="18"/>
                      <w:szCs w:val="18"/>
                      <w:highlight w:val="none"/>
                      <w:u w:val="none" w:color="auto"/>
                      <w:lang w:val="en-US" w:eastAsia="zh-CN" w:bidi="ar-SA"/>
                    </w:rPr>
                    <w:t>本项目</w:t>
                  </w: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方位</w:t>
                  </w:r>
                </w:p>
              </w:tc>
              <w:tc>
                <w:tcPr>
                  <w:tcW w:w="582" w:type="pct"/>
                  <w:vMerge w:val="restart"/>
                  <w:noWrap w:val="0"/>
                  <w:vAlign w:val="center"/>
                </w:tcPr>
                <w:p w14:paraId="2A764E9A">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相对</w:t>
                  </w:r>
                  <w:r>
                    <w:rPr>
                      <w:rFonts w:hint="eastAsia" w:ascii="Times New Roman" w:hAnsi="Times New Roman" w:eastAsia="宋体" w:cs="Times New Roman"/>
                      <w:b/>
                      <w:bCs w:val="0"/>
                      <w:color w:val="auto"/>
                      <w:spacing w:val="0"/>
                      <w:kern w:val="2"/>
                      <w:sz w:val="18"/>
                      <w:szCs w:val="18"/>
                      <w:highlight w:val="none"/>
                      <w:u w:val="none" w:color="auto"/>
                      <w:lang w:val="en-US" w:eastAsia="zh-CN" w:bidi="ar-SA"/>
                    </w:rPr>
                    <w:t>本项目</w:t>
                  </w: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距离/m</w:t>
                  </w:r>
                </w:p>
              </w:tc>
            </w:tr>
            <w:tr w14:paraId="280E60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jc w:val="center"/>
              </w:trPr>
              <w:tc>
                <w:tcPr>
                  <w:tcW w:w="241" w:type="pct"/>
                  <w:vMerge w:val="continue"/>
                  <w:noWrap w:val="0"/>
                  <w:vAlign w:val="center"/>
                </w:tcPr>
                <w:p w14:paraId="2AB13B45">
                  <w:pPr>
                    <w:widowControl w:val="0"/>
                    <w:spacing w:before="0" w:after="0" w:line="320" w:lineRule="exact"/>
                    <w:jc w:val="center"/>
                    <w:rPr>
                      <w:rFonts w:hint="default" w:ascii="Times New Roman" w:hAnsi="Times New Roman" w:eastAsia="宋体" w:cs="Times New Roman"/>
                      <w:b w:val="0"/>
                      <w:bCs/>
                      <w:color w:val="auto"/>
                      <w:spacing w:val="0"/>
                      <w:kern w:val="2"/>
                      <w:sz w:val="18"/>
                      <w:szCs w:val="18"/>
                      <w:highlight w:val="yellow"/>
                      <w:u w:val="none" w:color="auto"/>
                      <w:lang w:val="en-US" w:eastAsia="zh-CN" w:bidi="ar-SA"/>
                    </w:rPr>
                  </w:pPr>
                </w:p>
              </w:tc>
              <w:tc>
                <w:tcPr>
                  <w:tcW w:w="992" w:type="pct"/>
                  <w:vMerge w:val="continue"/>
                  <w:noWrap w:val="0"/>
                  <w:vAlign w:val="center"/>
                </w:tcPr>
                <w:p w14:paraId="0F322D13">
                  <w:pPr>
                    <w:widowControl w:val="0"/>
                    <w:spacing w:before="0" w:after="0" w:line="320" w:lineRule="exact"/>
                    <w:jc w:val="center"/>
                    <w:rPr>
                      <w:rFonts w:hint="default" w:ascii="Times New Roman" w:hAnsi="Times New Roman" w:eastAsia="宋体" w:cs="Times New Roman"/>
                      <w:b w:val="0"/>
                      <w:bCs/>
                      <w:color w:val="auto"/>
                      <w:spacing w:val="0"/>
                      <w:kern w:val="2"/>
                      <w:sz w:val="18"/>
                      <w:szCs w:val="18"/>
                      <w:highlight w:val="yellow"/>
                      <w:u w:val="none" w:color="auto"/>
                      <w:lang w:val="en-US" w:eastAsia="zh-CN" w:bidi="ar-SA"/>
                    </w:rPr>
                  </w:pPr>
                </w:p>
              </w:tc>
              <w:tc>
                <w:tcPr>
                  <w:tcW w:w="615" w:type="pct"/>
                  <w:noWrap w:val="0"/>
                  <w:vAlign w:val="center"/>
                </w:tcPr>
                <w:p w14:paraId="3D624DCD">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经度</w:t>
                  </w:r>
                </w:p>
              </w:tc>
              <w:tc>
                <w:tcPr>
                  <w:tcW w:w="563" w:type="pct"/>
                  <w:noWrap w:val="0"/>
                  <w:vAlign w:val="center"/>
                </w:tcPr>
                <w:p w14:paraId="1AE2D80B">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纬度</w:t>
                  </w:r>
                </w:p>
              </w:tc>
              <w:tc>
                <w:tcPr>
                  <w:tcW w:w="666" w:type="pct"/>
                  <w:vMerge w:val="continue"/>
                  <w:noWrap w:val="0"/>
                  <w:vAlign w:val="center"/>
                </w:tcPr>
                <w:p w14:paraId="03814DE5">
                  <w:pPr>
                    <w:widowControl w:val="0"/>
                    <w:spacing w:before="0" w:after="0" w:line="320" w:lineRule="exact"/>
                    <w:jc w:val="center"/>
                    <w:rPr>
                      <w:rFonts w:hint="default" w:ascii="Times New Roman" w:hAnsi="Times New Roman" w:eastAsia="宋体" w:cs="Times New Roman"/>
                      <w:b w:val="0"/>
                      <w:bCs/>
                      <w:color w:val="auto"/>
                      <w:spacing w:val="0"/>
                      <w:kern w:val="2"/>
                      <w:sz w:val="18"/>
                      <w:szCs w:val="18"/>
                      <w:highlight w:val="yellow"/>
                      <w:u w:val="none" w:color="auto"/>
                      <w:lang w:val="en-US" w:eastAsia="zh-CN" w:bidi="ar-SA"/>
                    </w:rPr>
                  </w:pPr>
                </w:p>
              </w:tc>
              <w:tc>
                <w:tcPr>
                  <w:tcW w:w="780" w:type="pct"/>
                  <w:vMerge w:val="continue"/>
                  <w:noWrap w:val="0"/>
                  <w:vAlign w:val="center"/>
                </w:tcPr>
                <w:p w14:paraId="3A6C2059">
                  <w:pPr>
                    <w:widowControl w:val="0"/>
                    <w:spacing w:before="0" w:after="0" w:line="320" w:lineRule="exact"/>
                    <w:jc w:val="center"/>
                    <w:rPr>
                      <w:rFonts w:hint="default" w:ascii="Times New Roman" w:hAnsi="Times New Roman" w:eastAsia="宋体" w:cs="Times New Roman"/>
                      <w:b w:val="0"/>
                      <w:bCs/>
                      <w:color w:val="auto"/>
                      <w:spacing w:val="0"/>
                      <w:kern w:val="2"/>
                      <w:sz w:val="18"/>
                      <w:szCs w:val="18"/>
                      <w:highlight w:val="yellow"/>
                      <w:u w:val="none" w:color="auto"/>
                      <w:lang w:val="en-US" w:eastAsia="zh-CN" w:bidi="ar-SA"/>
                    </w:rPr>
                  </w:pPr>
                </w:p>
              </w:tc>
              <w:tc>
                <w:tcPr>
                  <w:tcW w:w="557" w:type="pct"/>
                  <w:vMerge w:val="continue"/>
                  <w:noWrap w:val="0"/>
                  <w:vAlign w:val="center"/>
                </w:tcPr>
                <w:p w14:paraId="6A4A89F0">
                  <w:pPr>
                    <w:widowControl w:val="0"/>
                    <w:spacing w:before="0" w:after="0" w:line="320" w:lineRule="exact"/>
                    <w:jc w:val="center"/>
                    <w:rPr>
                      <w:rFonts w:hint="default" w:ascii="Times New Roman" w:hAnsi="Times New Roman" w:eastAsia="宋体" w:cs="Times New Roman"/>
                      <w:b w:val="0"/>
                      <w:bCs/>
                      <w:color w:val="auto"/>
                      <w:spacing w:val="0"/>
                      <w:kern w:val="2"/>
                      <w:sz w:val="18"/>
                      <w:szCs w:val="18"/>
                      <w:highlight w:val="yellow"/>
                      <w:u w:val="none" w:color="auto"/>
                      <w:lang w:val="en-US" w:eastAsia="zh-CN" w:bidi="ar-SA"/>
                    </w:rPr>
                  </w:pPr>
                </w:p>
              </w:tc>
              <w:tc>
                <w:tcPr>
                  <w:tcW w:w="582" w:type="pct"/>
                  <w:vMerge w:val="continue"/>
                  <w:noWrap w:val="0"/>
                  <w:vAlign w:val="center"/>
                </w:tcPr>
                <w:p w14:paraId="72D978AA">
                  <w:pPr>
                    <w:widowControl w:val="0"/>
                    <w:spacing w:before="0" w:after="0" w:line="320" w:lineRule="exact"/>
                    <w:jc w:val="center"/>
                    <w:rPr>
                      <w:rFonts w:hint="default" w:ascii="Times New Roman" w:hAnsi="Times New Roman" w:eastAsia="宋体" w:cs="Times New Roman"/>
                      <w:b w:val="0"/>
                      <w:bCs/>
                      <w:color w:val="auto"/>
                      <w:spacing w:val="0"/>
                      <w:kern w:val="2"/>
                      <w:sz w:val="18"/>
                      <w:szCs w:val="18"/>
                      <w:highlight w:val="yellow"/>
                      <w:u w:val="none" w:color="auto"/>
                      <w:lang w:val="en-US" w:eastAsia="zh-CN" w:bidi="ar-SA"/>
                    </w:rPr>
                  </w:pPr>
                </w:p>
              </w:tc>
            </w:tr>
            <w:tr w14:paraId="0E000F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jc w:val="center"/>
              </w:trPr>
              <w:tc>
                <w:tcPr>
                  <w:tcW w:w="241" w:type="pct"/>
                  <w:vMerge w:val="restart"/>
                  <w:noWrap w:val="0"/>
                  <w:vAlign w:val="center"/>
                </w:tcPr>
                <w:p w14:paraId="6CE09D67">
                  <w:pPr>
                    <w:widowControl/>
                    <w:adjustRightInd w:val="0"/>
                    <w:snapToGrid w:val="0"/>
                    <w:spacing w:line="320" w:lineRule="exact"/>
                    <w:jc w:val="center"/>
                    <w:textAlignment w:val="center"/>
                    <w:rPr>
                      <w:rFonts w:hint="default" w:ascii="Times New Roman" w:hAnsi="Times New Roman" w:eastAsia="宋体" w:cs="Times New Roman"/>
                      <w:bCs/>
                      <w:color w:val="auto"/>
                      <w:spacing w:val="0"/>
                      <w:sz w:val="18"/>
                      <w:szCs w:val="18"/>
                      <w:highlight w:val="none"/>
                      <w:u w:val="none" w:color="auto"/>
                      <w:lang w:val="en-US" w:eastAsia="zh-CN"/>
                    </w:rPr>
                  </w:pPr>
                  <w:r>
                    <w:rPr>
                      <w:rFonts w:hint="default" w:ascii="Times New Roman" w:hAnsi="Times New Roman" w:eastAsia="宋体" w:cs="Times New Roman"/>
                      <w:bCs/>
                      <w:color w:val="auto"/>
                      <w:spacing w:val="0"/>
                      <w:sz w:val="18"/>
                      <w:szCs w:val="18"/>
                      <w:highlight w:val="none"/>
                      <w:u w:val="none" w:color="auto"/>
                      <w:lang w:val="en-US" w:eastAsia="zh-CN"/>
                    </w:rPr>
                    <w:t>环境</w:t>
                  </w:r>
                </w:p>
                <w:p w14:paraId="301A3F38">
                  <w:pPr>
                    <w:widowControl/>
                    <w:adjustRightInd w:val="0"/>
                    <w:snapToGrid w:val="0"/>
                    <w:spacing w:line="320" w:lineRule="exact"/>
                    <w:jc w:val="center"/>
                    <w:textAlignment w:val="center"/>
                    <w:rPr>
                      <w:rFonts w:hint="default" w:ascii="Times New Roman" w:hAnsi="Times New Roman" w:eastAsia="宋体" w:cs="Times New Roman"/>
                      <w:bCs/>
                      <w:color w:val="auto"/>
                      <w:spacing w:val="0"/>
                      <w:sz w:val="18"/>
                      <w:szCs w:val="18"/>
                      <w:highlight w:val="none"/>
                      <w:u w:val="none" w:color="auto"/>
                      <w:lang w:val="en-US" w:eastAsia="zh-CN"/>
                    </w:rPr>
                  </w:pPr>
                  <w:r>
                    <w:rPr>
                      <w:rFonts w:hint="default" w:ascii="Times New Roman" w:hAnsi="Times New Roman" w:eastAsia="宋体" w:cs="Times New Roman"/>
                      <w:bCs/>
                      <w:color w:val="auto"/>
                      <w:spacing w:val="0"/>
                      <w:sz w:val="18"/>
                      <w:szCs w:val="18"/>
                      <w:highlight w:val="none"/>
                      <w:u w:val="none" w:color="auto"/>
                      <w:lang w:val="en-US" w:eastAsia="zh-CN"/>
                    </w:rPr>
                    <w:t>空气</w:t>
                  </w:r>
                </w:p>
              </w:tc>
              <w:tc>
                <w:tcPr>
                  <w:tcW w:w="992" w:type="pct"/>
                  <w:noWrap w:val="0"/>
                  <w:vAlign w:val="center"/>
                </w:tcPr>
                <w:p w14:paraId="284FB68E">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center"/>
                    <w:textAlignment w:val="auto"/>
                    <w:rPr>
                      <w:rFonts w:hint="default" w:ascii="Times New Roman" w:hAnsi="Times New Roman" w:eastAsia="宋体" w:cs="Times New Roman"/>
                      <w:color w:val="auto"/>
                      <w:kern w:val="2"/>
                      <w:sz w:val="18"/>
                      <w:szCs w:val="18"/>
                      <w:highlight w:val="none"/>
                      <w:u w:val="none" w:color="auto"/>
                      <w:lang w:val="en-US" w:eastAsia="zh-CN" w:bidi="ar-SA"/>
                    </w:rPr>
                  </w:pPr>
                  <w:r>
                    <w:rPr>
                      <w:rFonts w:hint="eastAsia" w:cs="Times New Roman"/>
                      <w:color w:val="auto"/>
                      <w:kern w:val="2"/>
                      <w:sz w:val="18"/>
                      <w:szCs w:val="18"/>
                      <w:highlight w:val="none"/>
                      <w:u w:val="none" w:color="auto"/>
                      <w:lang w:val="en-US" w:eastAsia="zh-CN" w:bidi="ar-SA"/>
                    </w:rPr>
                    <w:t>飞龙村散户居民点1</w:t>
                  </w:r>
                </w:p>
              </w:tc>
              <w:tc>
                <w:tcPr>
                  <w:tcW w:w="615" w:type="pct"/>
                  <w:noWrap w:val="0"/>
                  <w:vAlign w:val="center"/>
                </w:tcPr>
                <w:p w14:paraId="2C6A560A">
                  <w:pPr>
                    <w:widowControl/>
                    <w:adjustRightInd w:val="0"/>
                    <w:snapToGrid w:val="0"/>
                    <w:spacing w:line="320" w:lineRule="exact"/>
                    <w:jc w:val="center"/>
                    <w:textAlignment w:val="center"/>
                    <w:rPr>
                      <w:rFonts w:hint="default" w:ascii="Times New Roman" w:hAnsi="Times New Roman" w:eastAsia="宋体" w:cs="Times New Roman"/>
                      <w:bCs/>
                      <w:color w:val="auto"/>
                      <w:spacing w:val="0"/>
                      <w:sz w:val="18"/>
                      <w:szCs w:val="18"/>
                      <w:highlight w:val="none"/>
                      <w:u w:val="none" w:color="auto"/>
                      <w:lang w:val="en-US" w:eastAsia="zh-CN"/>
                    </w:rPr>
                  </w:pPr>
                  <w:r>
                    <w:rPr>
                      <w:rFonts w:hint="eastAsia" w:cs="Times New Roman"/>
                      <w:bCs/>
                      <w:color w:val="auto"/>
                      <w:spacing w:val="0"/>
                      <w:sz w:val="18"/>
                      <w:szCs w:val="18"/>
                      <w:highlight w:val="none"/>
                      <w:u w:val="none" w:color="auto"/>
                      <w:lang w:val="en-US" w:eastAsia="zh-CN"/>
                    </w:rPr>
                    <w:t>112.935493392</w:t>
                  </w:r>
                </w:p>
              </w:tc>
              <w:tc>
                <w:tcPr>
                  <w:tcW w:w="563" w:type="pct"/>
                  <w:noWrap w:val="0"/>
                  <w:vAlign w:val="center"/>
                </w:tcPr>
                <w:p w14:paraId="1D8AA86B">
                  <w:pPr>
                    <w:widowControl/>
                    <w:adjustRightInd w:val="0"/>
                    <w:snapToGrid w:val="0"/>
                    <w:spacing w:line="320" w:lineRule="exact"/>
                    <w:jc w:val="center"/>
                    <w:textAlignment w:val="center"/>
                    <w:rPr>
                      <w:rFonts w:hint="default" w:ascii="Times New Roman" w:hAnsi="Times New Roman" w:eastAsia="宋体" w:cs="Times New Roman"/>
                      <w:bCs/>
                      <w:color w:val="auto"/>
                      <w:spacing w:val="0"/>
                      <w:sz w:val="18"/>
                      <w:szCs w:val="18"/>
                      <w:highlight w:val="none"/>
                      <w:u w:val="none" w:color="auto"/>
                      <w:lang w:val="en-US" w:eastAsia="zh-CN"/>
                    </w:rPr>
                  </w:pPr>
                  <w:r>
                    <w:rPr>
                      <w:rFonts w:hint="eastAsia" w:cs="Times New Roman"/>
                      <w:bCs/>
                      <w:color w:val="auto"/>
                      <w:spacing w:val="0"/>
                      <w:sz w:val="18"/>
                      <w:szCs w:val="18"/>
                      <w:highlight w:val="none"/>
                      <w:u w:val="none" w:color="auto"/>
                      <w:lang w:val="en-US" w:eastAsia="zh-CN"/>
                    </w:rPr>
                    <w:t>27.739848807</w:t>
                  </w:r>
                </w:p>
              </w:tc>
              <w:tc>
                <w:tcPr>
                  <w:tcW w:w="666" w:type="pct"/>
                  <w:noWrap w:val="0"/>
                  <w:vAlign w:val="center"/>
                </w:tcPr>
                <w:p w14:paraId="31658678">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ascii="Times New Roman" w:hAnsi="Times New Roman" w:eastAsia="宋体" w:cs="Times New Roman"/>
                      <w:snapToGrid w:val="0"/>
                      <w:color w:val="auto"/>
                      <w:kern w:val="24"/>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散户居民点</w:t>
                  </w:r>
                </w:p>
              </w:tc>
              <w:tc>
                <w:tcPr>
                  <w:tcW w:w="780" w:type="pct"/>
                  <w:noWrap w:val="0"/>
                  <w:vAlign w:val="center"/>
                </w:tcPr>
                <w:p w14:paraId="001A2CF2">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eastAsia="宋体" w:cs="Times New Roman"/>
                      <w:color w:val="auto"/>
                      <w:kern w:val="0"/>
                      <w:sz w:val="18"/>
                      <w:szCs w:val="18"/>
                      <w:highlight w:val="none"/>
                      <w:u w:val="none" w:color="auto"/>
                      <w:lang w:val="en-US" w:eastAsia="zh-CN" w:bidi="ar-SA"/>
                    </w:rPr>
                  </w:pPr>
                  <w:r>
                    <w:rPr>
                      <w:rFonts w:hint="eastAsia" w:eastAsia="宋体" w:cs="Times New Roman"/>
                      <w:color w:val="auto"/>
                      <w:kern w:val="0"/>
                      <w:sz w:val="18"/>
                      <w:szCs w:val="18"/>
                      <w:highlight w:val="none"/>
                      <w:u w:val="none" w:color="auto"/>
                      <w:lang w:val="en-US" w:eastAsia="zh-CN" w:bidi="ar-SA"/>
                    </w:rPr>
                    <w:t>5户，约15人</w:t>
                  </w:r>
                </w:p>
              </w:tc>
              <w:tc>
                <w:tcPr>
                  <w:tcW w:w="557" w:type="pct"/>
                  <w:noWrap w:val="0"/>
                  <w:vAlign w:val="center"/>
                </w:tcPr>
                <w:p w14:paraId="2718EB2A">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ascii="Times New Roman" w:hAnsi="Times New Roman" w:eastAsia="宋体" w:cs="Times New Roman"/>
                      <w:snapToGrid w:val="0"/>
                      <w:color w:val="auto"/>
                      <w:kern w:val="24"/>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南</w:t>
                  </w:r>
                </w:p>
              </w:tc>
              <w:tc>
                <w:tcPr>
                  <w:tcW w:w="582" w:type="pct"/>
                  <w:noWrap w:val="0"/>
                  <w:vAlign w:val="center"/>
                </w:tcPr>
                <w:p w14:paraId="75AF2E13">
                  <w:pPr>
                    <w:keepNext w:val="0"/>
                    <w:keepLines w:val="0"/>
                    <w:pageBreakBefore w:val="0"/>
                    <w:widowControl w:val="0"/>
                    <w:kinsoku/>
                    <w:wordWrap/>
                    <w:overflowPunct/>
                    <w:topLinePunct w:val="0"/>
                    <w:autoSpaceDE/>
                    <w:autoSpaceDN/>
                    <w:bidi w:val="0"/>
                    <w:spacing w:before="0" w:after="0" w:line="280" w:lineRule="exact"/>
                    <w:ind w:firstLine="0" w:firstLineChars="0"/>
                    <w:jc w:val="center"/>
                    <w:textAlignment w:val="auto"/>
                    <w:rPr>
                      <w:rFonts w:hint="default" w:ascii="Times New Roman" w:hAnsi="Times New Roman" w:eastAsia="宋体" w:cs="Times New Roman"/>
                      <w:snapToGrid w:val="0"/>
                      <w:color w:val="auto"/>
                      <w:kern w:val="24"/>
                      <w:sz w:val="18"/>
                      <w:szCs w:val="18"/>
                      <w:highlight w:val="yellow"/>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8-30</w:t>
                  </w:r>
                </w:p>
              </w:tc>
            </w:tr>
            <w:tr w14:paraId="565B4A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jc w:val="center"/>
              </w:trPr>
              <w:tc>
                <w:tcPr>
                  <w:tcW w:w="241" w:type="pct"/>
                  <w:vMerge w:val="continue"/>
                  <w:noWrap w:val="0"/>
                  <w:vAlign w:val="center"/>
                </w:tcPr>
                <w:p w14:paraId="68F76236">
                  <w:pPr>
                    <w:widowControl/>
                    <w:adjustRightInd w:val="0"/>
                    <w:snapToGrid w:val="0"/>
                    <w:spacing w:line="320" w:lineRule="exact"/>
                    <w:jc w:val="center"/>
                    <w:textAlignment w:val="center"/>
                    <w:rPr>
                      <w:rFonts w:hint="default" w:ascii="Times New Roman" w:hAnsi="Times New Roman" w:cs="Times New Roman"/>
                      <w:bCs/>
                      <w:color w:val="auto"/>
                      <w:spacing w:val="0"/>
                      <w:kern w:val="2"/>
                      <w:sz w:val="18"/>
                      <w:szCs w:val="18"/>
                      <w:highlight w:val="yellow"/>
                      <w:u w:val="none" w:color="auto"/>
                      <w:lang w:val="en-US" w:eastAsia="zh-CN" w:bidi="ar-SA"/>
                    </w:rPr>
                  </w:pPr>
                </w:p>
              </w:tc>
              <w:tc>
                <w:tcPr>
                  <w:tcW w:w="992" w:type="pct"/>
                  <w:noWrap w:val="0"/>
                  <w:vAlign w:val="center"/>
                </w:tcPr>
                <w:p w14:paraId="450A7A61">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ascii="Times New Roman" w:hAnsi="Times New Roman" w:eastAsia="宋体" w:cs="Times New Roman"/>
                      <w:color w:val="auto"/>
                      <w:kern w:val="2"/>
                      <w:sz w:val="18"/>
                      <w:szCs w:val="18"/>
                      <w:highlight w:val="none"/>
                      <w:u w:val="none" w:color="auto"/>
                      <w:lang w:val="en-US" w:eastAsia="zh-CN" w:bidi="ar-SA"/>
                    </w:rPr>
                  </w:pPr>
                  <w:r>
                    <w:rPr>
                      <w:rFonts w:hint="eastAsia" w:cs="Times New Roman"/>
                      <w:color w:val="auto"/>
                      <w:kern w:val="2"/>
                      <w:sz w:val="18"/>
                      <w:szCs w:val="18"/>
                      <w:highlight w:val="none"/>
                      <w:u w:val="none" w:color="auto"/>
                      <w:lang w:val="en-US" w:eastAsia="zh-CN" w:bidi="ar-SA"/>
                    </w:rPr>
                    <w:t>飞龙村散户居民点2</w:t>
                  </w:r>
                </w:p>
              </w:tc>
              <w:tc>
                <w:tcPr>
                  <w:tcW w:w="615" w:type="pct"/>
                  <w:noWrap w:val="0"/>
                  <w:vAlign w:val="center"/>
                </w:tcPr>
                <w:p w14:paraId="30171E86">
                  <w:pPr>
                    <w:widowControl/>
                    <w:adjustRightInd w:val="0"/>
                    <w:snapToGrid w:val="0"/>
                    <w:spacing w:line="320" w:lineRule="exact"/>
                    <w:jc w:val="center"/>
                    <w:textAlignment w:val="center"/>
                    <w:rPr>
                      <w:rFonts w:hint="default" w:ascii="Times New Roman" w:hAnsi="Times New Roman" w:cs="Times New Roman"/>
                      <w:bCs/>
                      <w:color w:val="auto"/>
                      <w:spacing w:val="0"/>
                      <w:kern w:val="2"/>
                      <w:sz w:val="18"/>
                      <w:szCs w:val="18"/>
                      <w:highlight w:val="none"/>
                      <w:u w:val="none" w:color="auto"/>
                      <w:lang w:val="en-US" w:eastAsia="zh-CN" w:bidi="ar-SA"/>
                    </w:rPr>
                  </w:pPr>
                  <w:r>
                    <w:rPr>
                      <w:rFonts w:hint="eastAsia" w:cs="Times New Roman"/>
                      <w:bCs/>
                      <w:color w:val="auto"/>
                      <w:spacing w:val="0"/>
                      <w:kern w:val="2"/>
                      <w:sz w:val="18"/>
                      <w:szCs w:val="18"/>
                      <w:highlight w:val="none"/>
                      <w:u w:val="none" w:color="auto"/>
                      <w:lang w:val="en-US" w:eastAsia="zh-CN" w:bidi="ar-SA"/>
                    </w:rPr>
                    <w:t>112.933853221</w:t>
                  </w:r>
                </w:p>
              </w:tc>
              <w:tc>
                <w:tcPr>
                  <w:tcW w:w="563" w:type="pct"/>
                  <w:noWrap w:val="0"/>
                  <w:vAlign w:val="center"/>
                </w:tcPr>
                <w:p w14:paraId="0845E57D">
                  <w:pPr>
                    <w:widowControl/>
                    <w:adjustRightInd w:val="0"/>
                    <w:snapToGrid w:val="0"/>
                    <w:spacing w:line="320" w:lineRule="exact"/>
                    <w:jc w:val="center"/>
                    <w:textAlignment w:val="center"/>
                    <w:rPr>
                      <w:rFonts w:hint="default" w:ascii="Times New Roman" w:hAnsi="Times New Roman" w:cs="Times New Roman"/>
                      <w:bCs/>
                      <w:color w:val="auto"/>
                      <w:spacing w:val="0"/>
                      <w:kern w:val="2"/>
                      <w:sz w:val="18"/>
                      <w:szCs w:val="18"/>
                      <w:highlight w:val="none"/>
                      <w:u w:val="none" w:color="auto"/>
                      <w:lang w:val="en-US" w:eastAsia="zh-CN" w:bidi="ar-SA"/>
                    </w:rPr>
                  </w:pPr>
                  <w:r>
                    <w:rPr>
                      <w:rFonts w:hint="eastAsia" w:cs="Times New Roman"/>
                      <w:bCs/>
                      <w:color w:val="auto"/>
                      <w:spacing w:val="0"/>
                      <w:kern w:val="2"/>
                      <w:sz w:val="18"/>
                      <w:szCs w:val="18"/>
                      <w:highlight w:val="none"/>
                      <w:u w:val="none" w:color="auto"/>
                      <w:lang w:val="en-US" w:eastAsia="zh-CN" w:bidi="ar-SA"/>
                    </w:rPr>
                    <w:t>27.740188106</w:t>
                  </w:r>
                </w:p>
              </w:tc>
              <w:tc>
                <w:tcPr>
                  <w:tcW w:w="666" w:type="pct"/>
                  <w:noWrap w:val="0"/>
                  <w:vAlign w:val="center"/>
                </w:tcPr>
                <w:p w14:paraId="11757D6F">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ascii="Times New Roman" w:hAnsi="Times New Roman" w:eastAsia="宋体" w:cs="Times New Roman"/>
                      <w:snapToGrid w:val="0"/>
                      <w:color w:val="auto"/>
                      <w:kern w:val="24"/>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散户居民点</w:t>
                  </w:r>
                </w:p>
              </w:tc>
              <w:tc>
                <w:tcPr>
                  <w:tcW w:w="780" w:type="pct"/>
                  <w:noWrap w:val="0"/>
                  <w:vAlign w:val="center"/>
                </w:tcPr>
                <w:p w14:paraId="72CE5B5F">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eastAsia="宋体" w:cs="Times New Roman"/>
                      <w:color w:val="auto"/>
                      <w:kern w:val="0"/>
                      <w:sz w:val="18"/>
                      <w:szCs w:val="18"/>
                      <w:highlight w:val="none"/>
                      <w:u w:val="none" w:color="auto"/>
                      <w:lang w:val="en-US" w:eastAsia="zh-CN" w:bidi="ar-SA"/>
                    </w:rPr>
                  </w:pPr>
                  <w:r>
                    <w:rPr>
                      <w:rFonts w:hint="eastAsia" w:eastAsia="宋体" w:cs="Times New Roman"/>
                      <w:color w:val="auto"/>
                      <w:kern w:val="0"/>
                      <w:sz w:val="18"/>
                      <w:szCs w:val="18"/>
                      <w:highlight w:val="none"/>
                      <w:u w:val="none" w:color="auto"/>
                      <w:lang w:val="en-US" w:eastAsia="zh-CN" w:bidi="ar-SA"/>
                    </w:rPr>
                    <w:t>3户，约10人</w:t>
                  </w:r>
                </w:p>
              </w:tc>
              <w:tc>
                <w:tcPr>
                  <w:tcW w:w="557" w:type="pct"/>
                  <w:noWrap w:val="0"/>
                  <w:vAlign w:val="center"/>
                </w:tcPr>
                <w:p w14:paraId="40D849B3">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ascii="Times New Roman" w:hAnsi="Times New Roman" w:eastAsia="宋体" w:cs="Times New Roman"/>
                      <w:color w:val="auto"/>
                      <w:kern w:val="0"/>
                      <w:sz w:val="18"/>
                      <w:szCs w:val="18"/>
                      <w:highlight w:val="none"/>
                      <w:u w:val="none" w:color="auto"/>
                      <w:lang w:val="en-US" w:eastAsia="zh-CN" w:bidi="ar-SA"/>
                    </w:rPr>
                  </w:pPr>
                  <w:r>
                    <w:rPr>
                      <w:rFonts w:hint="eastAsia" w:cs="Times New Roman"/>
                      <w:color w:val="auto"/>
                      <w:kern w:val="0"/>
                      <w:sz w:val="18"/>
                      <w:szCs w:val="18"/>
                      <w:highlight w:val="none"/>
                      <w:u w:val="none" w:color="auto"/>
                      <w:lang w:val="en-US" w:eastAsia="zh-CN" w:bidi="ar-SA"/>
                    </w:rPr>
                    <w:t>西</w:t>
                  </w:r>
                </w:p>
              </w:tc>
              <w:tc>
                <w:tcPr>
                  <w:tcW w:w="582" w:type="pct"/>
                  <w:noWrap w:val="0"/>
                  <w:vAlign w:val="center"/>
                </w:tcPr>
                <w:p w14:paraId="7B08C1B2">
                  <w:pPr>
                    <w:keepNext w:val="0"/>
                    <w:keepLines w:val="0"/>
                    <w:pageBreakBefore w:val="0"/>
                    <w:widowControl w:val="0"/>
                    <w:kinsoku/>
                    <w:wordWrap/>
                    <w:overflowPunct/>
                    <w:topLinePunct w:val="0"/>
                    <w:autoSpaceDE/>
                    <w:autoSpaceDN/>
                    <w:bidi w:val="0"/>
                    <w:spacing w:before="0" w:after="0" w:line="280" w:lineRule="exact"/>
                    <w:ind w:firstLine="0" w:firstLineChars="0"/>
                    <w:jc w:val="center"/>
                    <w:textAlignment w:val="auto"/>
                    <w:rPr>
                      <w:rFonts w:hint="default" w:ascii="Times New Roman" w:hAnsi="Times New Roman" w:eastAsia="宋体" w:cs="Times New Roman"/>
                      <w:color w:val="auto"/>
                      <w:spacing w:val="-11"/>
                      <w:kern w:val="0"/>
                      <w:sz w:val="18"/>
                      <w:szCs w:val="18"/>
                      <w:highlight w:val="none"/>
                      <w:u w:val="none" w:color="auto"/>
                      <w:lang w:val="en-US" w:eastAsia="zh-CN" w:bidi="ar-SA"/>
                    </w:rPr>
                  </w:pPr>
                  <w:r>
                    <w:rPr>
                      <w:rFonts w:hint="eastAsia" w:cs="Times New Roman"/>
                      <w:color w:val="auto"/>
                      <w:spacing w:val="-11"/>
                      <w:kern w:val="0"/>
                      <w:sz w:val="18"/>
                      <w:szCs w:val="18"/>
                      <w:highlight w:val="none"/>
                      <w:u w:val="none" w:color="auto"/>
                      <w:lang w:val="en-US" w:eastAsia="zh-CN" w:bidi="ar-SA"/>
                    </w:rPr>
                    <w:t>85-100</w:t>
                  </w:r>
                </w:p>
              </w:tc>
            </w:tr>
            <w:tr w14:paraId="548A6C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jc w:val="center"/>
              </w:trPr>
              <w:tc>
                <w:tcPr>
                  <w:tcW w:w="241" w:type="pct"/>
                  <w:vMerge w:val="continue"/>
                  <w:noWrap w:val="0"/>
                  <w:vAlign w:val="center"/>
                </w:tcPr>
                <w:p w14:paraId="25B0974E">
                  <w:pPr>
                    <w:widowControl/>
                    <w:adjustRightInd w:val="0"/>
                    <w:snapToGrid w:val="0"/>
                    <w:spacing w:line="320" w:lineRule="exact"/>
                    <w:jc w:val="center"/>
                    <w:textAlignment w:val="center"/>
                    <w:rPr>
                      <w:rFonts w:hint="default" w:ascii="Times New Roman" w:hAnsi="Times New Roman" w:cs="Times New Roman"/>
                      <w:bCs/>
                      <w:color w:val="auto"/>
                      <w:spacing w:val="0"/>
                      <w:kern w:val="2"/>
                      <w:sz w:val="18"/>
                      <w:szCs w:val="18"/>
                      <w:highlight w:val="yellow"/>
                      <w:u w:val="none" w:color="auto"/>
                      <w:lang w:val="en-US" w:eastAsia="zh-CN" w:bidi="ar-SA"/>
                    </w:rPr>
                  </w:pPr>
                </w:p>
              </w:tc>
              <w:tc>
                <w:tcPr>
                  <w:tcW w:w="992" w:type="pct"/>
                  <w:noWrap w:val="0"/>
                  <w:vAlign w:val="center"/>
                </w:tcPr>
                <w:p w14:paraId="5C54087F">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cs="Times New Roman"/>
                      <w:color w:val="auto"/>
                      <w:kern w:val="2"/>
                      <w:sz w:val="18"/>
                      <w:szCs w:val="18"/>
                      <w:highlight w:val="none"/>
                      <w:u w:val="none" w:color="auto"/>
                      <w:lang w:val="en-US" w:eastAsia="zh-CN" w:bidi="ar-SA"/>
                    </w:rPr>
                  </w:pPr>
                  <w:r>
                    <w:rPr>
                      <w:rFonts w:hint="eastAsia" w:cs="Times New Roman"/>
                      <w:color w:val="auto"/>
                      <w:kern w:val="2"/>
                      <w:sz w:val="18"/>
                      <w:szCs w:val="18"/>
                      <w:highlight w:val="none"/>
                      <w:u w:val="none" w:color="auto"/>
                      <w:lang w:val="en-US" w:eastAsia="zh-CN" w:bidi="ar-SA"/>
                    </w:rPr>
                    <w:t>飞龙村散户居民点3</w:t>
                  </w:r>
                </w:p>
              </w:tc>
              <w:tc>
                <w:tcPr>
                  <w:tcW w:w="615" w:type="pct"/>
                  <w:noWrap w:val="0"/>
                  <w:vAlign w:val="center"/>
                </w:tcPr>
                <w:p w14:paraId="27989BE3">
                  <w:pPr>
                    <w:widowControl/>
                    <w:adjustRightInd w:val="0"/>
                    <w:snapToGrid w:val="0"/>
                    <w:spacing w:line="320" w:lineRule="exact"/>
                    <w:jc w:val="center"/>
                    <w:textAlignment w:val="center"/>
                    <w:rPr>
                      <w:rFonts w:hint="default" w:cs="Times New Roman"/>
                      <w:bCs/>
                      <w:color w:val="auto"/>
                      <w:spacing w:val="0"/>
                      <w:kern w:val="2"/>
                      <w:sz w:val="18"/>
                      <w:szCs w:val="18"/>
                      <w:highlight w:val="none"/>
                      <w:u w:val="none" w:color="auto"/>
                      <w:lang w:val="en-US" w:eastAsia="zh-CN" w:bidi="ar-SA"/>
                    </w:rPr>
                  </w:pPr>
                  <w:r>
                    <w:rPr>
                      <w:rFonts w:hint="eastAsia" w:cs="Times New Roman"/>
                      <w:bCs/>
                      <w:color w:val="auto"/>
                      <w:spacing w:val="0"/>
                      <w:kern w:val="2"/>
                      <w:sz w:val="18"/>
                      <w:szCs w:val="18"/>
                      <w:highlight w:val="none"/>
                      <w:u w:val="none" w:color="auto"/>
                      <w:lang w:val="en-US" w:eastAsia="zh-CN" w:bidi="ar-SA"/>
                    </w:rPr>
                    <w:t>112.934859049</w:t>
                  </w:r>
                </w:p>
              </w:tc>
              <w:tc>
                <w:tcPr>
                  <w:tcW w:w="563" w:type="pct"/>
                  <w:noWrap w:val="0"/>
                  <w:vAlign w:val="center"/>
                </w:tcPr>
                <w:p w14:paraId="02DB42A9">
                  <w:pPr>
                    <w:widowControl/>
                    <w:adjustRightInd w:val="0"/>
                    <w:snapToGrid w:val="0"/>
                    <w:spacing w:line="320" w:lineRule="exact"/>
                    <w:jc w:val="center"/>
                    <w:textAlignment w:val="center"/>
                    <w:rPr>
                      <w:rFonts w:hint="default" w:cs="Times New Roman"/>
                      <w:bCs/>
                      <w:color w:val="auto"/>
                      <w:spacing w:val="0"/>
                      <w:kern w:val="2"/>
                      <w:sz w:val="18"/>
                      <w:szCs w:val="18"/>
                      <w:highlight w:val="none"/>
                      <w:u w:val="none" w:color="auto"/>
                      <w:lang w:val="en-US" w:eastAsia="zh-CN" w:bidi="ar-SA"/>
                    </w:rPr>
                  </w:pPr>
                  <w:r>
                    <w:rPr>
                      <w:rFonts w:hint="eastAsia" w:cs="Times New Roman"/>
                      <w:bCs/>
                      <w:color w:val="auto"/>
                      <w:spacing w:val="0"/>
                      <w:kern w:val="2"/>
                      <w:sz w:val="18"/>
                      <w:szCs w:val="18"/>
                      <w:highlight w:val="none"/>
                      <w:u w:val="none" w:color="auto"/>
                      <w:lang w:val="en-US" w:eastAsia="zh-CN" w:bidi="ar-SA"/>
                    </w:rPr>
                    <w:t>27.741448744</w:t>
                  </w:r>
                </w:p>
              </w:tc>
              <w:tc>
                <w:tcPr>
                  <w:tcW w:w="666" w:type="pct"/>
                  <w:shd w:val="clear" w:color="auto" w:fill="auto"/>
                  <w:noWrap w:val="0"/>
                  <w:vAlign w:val="center"/>
                </w:tcPr>
                <w:p w14:paraId="46A53C8A">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ascii="Times New Roman" w:hAnsi="Times New Roman" w:eastAsia="宋体" w:cs="Times New Roman"/>
                      <w:snapToGrid w:val="0"/>
                      <w:color w:val="auto"/>
                      <w:kern w:val="24"/>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散户居民点</w:t>
                  </w:r>
                </w:p>
              </w:tc>
              <w:tc>
                <w:tcPr>
                  <w:tcW w:w="780" w:type="pct"/>
                  <w:shd w:val="clear" w:color="auto" w:fill="auto"/>
                  <w:noWrap w:val="0"/>
                  <w:vAlign w:val="center"/>
                </w:tcPr>
                <w:p w14:paraId="1FE2BF59">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eastAsia" w:eastAsia="宋体" w:cs="Times New Roman"/>
                      <w:color w:val="auto"/>
                      <w:kern w:val="0"/>
                      <w:sz w:val="18"/>
                      <w:szCs w:val="18"/>
                      <w:highlight w:val="none"/>
                      <w:u w:val="none" w:color="auto"/>
                      <w:lang w:val="en-US" w:eastAsia="zh-CN" w:bidi="ar-SA"/>
                    </w:rPr>
                  </w:pPr>
                  <w:r>
                    <w:rPr>
                      <w:rFonts w:hint="eastAsia" w:eastAsia="宋体" w:cs="Times New Roman"/>
                      <w:color w:val="auto"/>
                      <w:kern w:val="0"/>
                      <w:sz w:val="18"/>
                      <w:szCs w:val="18"/>
                      <w:highlight w:val="none"/>
                      <w:u w:val="none" w:color="auto"/>
                      <w:lang w:val="en-US" w:eastAsia="zh-CN" w:bidi="ar-SA"/>
                    </w:rPr>
                    <w:t>3户，约10人</w:t>
                  </w:r>
                </w:p>
              </w:tc>
              <w:tc>
                <w:tcPr>
                  <w:tcW w:w="557" w:type="pct"/>
                  <w:noWrap w:val="0"/>
                  <w:vAlign w:val="center"/>
                </w:tcPr>
                <w:p w14:paraId="3A4E8857">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cs="Times New Roman"/>
                      <w:color w:val="auto"/>
                      <w:kern w:val="0"/>
                      <w:sz w:val="18"/>
                      <w:szCs w:val="18"/>
                      <w:highlight w:val="none"/>
                      <w:u w:val="none" w:color="auto"/>
                      <w:lang w:val="en-US" w:eastAsia="zh-CN" w:bidi="ar-SA"/>
                    </w:rPr>
                  </w:pPr>
                  <w:r>
                    <w:rPr>
                      <w:rFonts w:hint="eastAsia" w:cs="Times New Roman"/>
                      <w:color w:val="auto"/>
                      <w:kern w:val="0"/>
                      <w:sz w:val="18"/>
                      <w:szCs w:val="18"/>
                      <w:highlight w:val="none"/>
                      <w:u w:val="none" w:color="auto"/>
                      <w:lang w:val="en-US" w:eastAsia="zh-CN" w:bidi="ar-SA"/>
                    </w:rPr>
                    <w:t>北</w:t>
                  </w:r>
                </w:p>
              </w:tc>
              <w:tc>
                <w:tcPr>
                  <w:tcW w:w="582" w:type="pct"/>
                  <w:noWrap w:val="0"/>
                  <w:vAlign w:val="center"/>
                </w:tcPr>
                <w:p w14:paraId="7AB1CD7B">
                  <w:pPr>
                    <w:keepNext w:val="0"/>
                    <w:keepLines w:val="0"/>
                    <w:pageBreakBefore w:val="0"/>
                    <w:widowControl w:val="0"/>
                    <w:kinsoku/>
                    <w:wordWrap/>
                    <w:overflowPunct/>
                    <w:topLinePunct w:val="0"/>
                    <w:autoSpaceDE/>
                    <w:autoSpaceDN/>
                    <w:bidi w:val="0"/>
                    <w:spacing w:before="0" w:after="0" w:line="280" w:lineRule="exact"/>
                    <w:ind w:firstLine="0" w:firstLineChars="0"/>
                    <w:jc w:val="center"/>
                    <w:textAlignment w:val="auto"/>
                    <w:rPr>
                      <w:rFonts w:hint="default" w:cs="Times New Roman"/>
                      <w:color w:val="auto"/>
                      <w:spacing w:val="-11"/>
                      <w:kern w:val="0"/>
                      <w:sz w:val="18"/>
                      <w:szCs w:val="18"/>
                      <w:highlight w:val="none"/>
                      <w:u w:val="none" w:color="auto"/>
                      <w:lang w:val="en-US" w:eastAsia="zh-CN" w:bidi="ar-SA"/>
                    </w:rPr>
                  </w:pPr>
                  <w:r>
                    <w:rPr>
                      <w:rFonts w:hint="eastAsia" w:cs="Times New Roman"/>
                      <w:color w:val="auto"/>
                      <w:spacing w:val="-11"/>
                      <w:kern w:val="0"/>
                      <w:sz w:val="18"/>
                      <w:szCs w:val="18"/>
                      <w:highlight w:val="none"/>
                      <w:u w:val="none" w:color="auto"/>
                      <w:lang w:val="en-US" w:eastAsia="zh-CN" w:bidi="ar-SA"/>
                    </w:rPr>
                    <w:t>70-130</w:t>
                  </w:r>
                </w:p>
              </w:tc>
            </w:tr>
            <w:tr w14:paraId="53BDA1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jc w:val="center"/>
              </w:trPr>
              <w:tc>
                <w:tcPr>
                  <w:tcW w:w="241" w:type="pct"/>
                  <w:vMerge w:val="continue"/>
                  <w:noWrap w:val="0"/>
                  <w:vAlign w:val="center"/>
                </w:tcPr>
                <w:p w14:paraId="28E150C0">
                  <w:pPr>
                    <w:widowControl/>
                    <w:adjustRightInd w:val="0"/>
                    <w:snapToGrid w:val="0"/>
                    <w:spacing w:line="320" w:lineRule="exact"/>
                    <w:jc w:val="center"/>
                    <w:textAlignment w:val="center"/>
                    <w:rPr>
                      <w:rFonts w:hint="default" w:ascii="Times New Roman" w:hAnsi="Times New Roman" w:cs="Times New Roman"/>
                      <w:bCs/>
                      <w:color w:val="auto"/>
                      <w:spacing w:val="0"/>
                      <w:kern w:val="2"/>
                      <w:sz w:val="18"/>
                      <w:szCs w:val="18"/>
                      <w:highlight w:val="yellow"/>
                      <w:u w:val="none" w:color="auto"/>
                      <w:lang w:val="en-US" w:eastAsia="zh-CN" w:bidi="ar-SA"/>
                    </w:rPr>
                  </w:pPr>
                </w:p>
              </w:tc>
              <w:tc>
                <w:tcPr>
                  <w:tcW w:w="992" w:type="pct"/>
                  <w:noWrap w:val="0"/>
                  <w:vAlign w:val="center"/>
                </w:tcPr>
                <w:p w14:paraId="470E5B48">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eastAsia" w:cs="Times New Roman"/>
                      <w:color w:val="auto"/>
                      <w:kern w:val="2"/>
                      <w:sz w:val="18"/>
                      <w:szCs w:val="18"/>
                      <w:highlight w:val="none"/>
                      <w:u w:val="none" w:color="auto"/>
                      <w:lang w:val="en-US" w:eastAsia="zh-CN" w:bidi="ar-SA"/>
                    </w:rPr>
                  </w:pPr>
                  <w:r>
                    <w:rPr>
                      <w:rFonts w:hint="eastAsia" w:cs="Times New Roman"/>
                      <w:color w:val="auto"/>
                      <w:kern w:val="2"/>
                      <w:sz w:val="18"/>
                      <w:szCs w:val="18"/>
                      <w:highlight w:val="none"/>
                      <w:u w:val="none" w:color="auto"/>
                      <w:lang w:val="en-US" w:eastAsia="zh-CN" w:bidi="ar-SA"/>
                    </w:rPr>
                    <w:t>飞龙村散户居民点4</w:t>
                  </w:r>
                </w:p>
              </w:tc>
              <w:tc>
                <w:tcPr>
                  <w:tcW w:w="615" w:type="pct"/>
                  <w:noWrap w:val="0"/>
                  <w:vAlign w:val="center"/>
                </w:tcPr>
                <w:p w14:paraId="0442252A">
                  <w:pPr>
                    <w:widowControl/>
                    <w:adjustRightInd w:val="0"/>
                    <w:snapToGrid w:val="0"/>
                    <w:spacing w:line="320" w:lineRule="exact"/>
                    <w:jc w:val="center"/>
                    <w:textAlignment w:val="center"/>
                    <w:rPr>
                      <w:rFonts w:hint="default" w:cs="Times New Roman"/>
                      <w:bCs/>
                      <w:color w:val="auto"/>
                      <w:spacing w:val="0"/>
                      <w:kern w:val="2"/>
                      <w:sz w:val="18"/>
                      <w:szCs w:val="18"/>
                      <w:highlight w:val="none"/>
                      <w:u w:val="none" w:color="auto"/>
                      <w:lang w:val="en-US" w:eastAsia="zh-CN" w:bidi="ar-SA"/>
                    </w:rPr>
                  </w:pPr>
                  <w:r>
                    <w:rPr>
                      <w:rFonts w:hint="eastAsia" w:cs="Times New Roman"/>
                      <w:bCs/>
                      <w:color w:val="auto"/>
                      <w:spacing w:val="0"/>
                      <w:kern w:val="2"/>
                      <w:sz w:val="18"/>
                      <w:szCs w:val="18"/>
                      <w:highlight w:val="none"/>
                      <w:u w:val="none" w:color="auto"/>
                      <w:lang w:val="en-US" w:eastAsia="zh-CN" w:bidi="ar-SA"/>
                    </w:rPr>
                    <w:t>112.935685170</w:t>
                  </w:r>
                </w:p>
              </w:tc>
              <w:tc>
                <w:tcPr>
                  <w:tcW w:w="563" w:type="pct"/>
                  <w:noWrap w:val="0"/>
                  <w:vAlign w:val="center"/>
                </w:tcPr>
                <w:p w14:paraId="0006AFFE">
                  <w:pPr>
                    <w:widowControl/>
                    <w:adjustRightInd w:val="0"/>
                    <w:snapToGrid w:val="0"/>
                    <w:spacing w:line="320" w:lineRule="exact"/>
                    <w:jc w:val="center"/>
                    <w:textAlignment w:val="center"/>
                    <w:rPr>
                      <w:rFonts w:hint="default" w:cs="Times New Roman"/>
                      <w:bCs/>
                      <w:color w:val="auto"/>
                      <w:spacing w:val="0"/>
                      <w:kern w:val="2"/>
                      <w:sz w:val="18"/>
                      <w:szCs w:val="18"/>
                      <w:highlight w:val="none"/>
                      <w:u w:val="none" w:color="auto"/>
                      <w:lang w:val="en-US" w:eastAsia="zh-CN" w:bidi="ar-SA"/>
                    </w:rPr>
                  </w:pPr>
                  <w:r>
                    <w:rPr>
                      <w:rFonts w:hint="eastAsia" w:cs="Times New Roman"/>
                      <w:bCs/>
                      <w:color w:val="auto"/>
                      <w:spacing w:val="0"/>
                      <w:kern w:val="2"/>
                      <w:sz w:val="18"/>
                      <w:szCs w:val="18"/>
                      <w:highlight w:val="none"/>
                      <w:u w:val="none" w:color="auto"/>
                      <w:lang w:val="en-US" w:eastAsia="zh-CN" w:bidi="ar-SA"/>
                    </w:rPr>
                    <w:t>27.738106712</w:t>
                  </w:r>
                </w:p>
              </w:tc>
              <w:tc>
                <w:tcPr>
                  <w:tcW w:w="666" w:type="pct"/>
                  <w:shd w:val="clear" w:color="auto" w:fill="auto"/>
                  <w:noWrap w:val="0"/>
                  <w:vAlign w:val="center"/>
                </w:tcPr>
                <w:p w14:paraId="1A3CC7B0">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eastAsia" w:cs="Times New Roman"/>
                      <w:snapToGrid w:val="0"/>
                      <w:color w:val="auto"/>
                      <w:kern w:val="24"/>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散户居民点</w:t>
                  </w:r>
                </w:p>
              </w:tc>
              <w:tc>
                <w:tcPr>
                  <w:tcW w:w="780" w:type="pct"/>
                  <w:shd w:val="clear" w:color="auto" w:fill="auto"/>
                  <w:noWrap w:val="0"/>
                  <w:vAlign w:val="center"/>
                </w:tcPr>
                <w:p w14:paraId="7AB40965">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eastAsia" w:cs="Times New Roman"/>
                      <w:color w:val="auto"/>
                      <w:kern w:val="0"/>
                      <w:sz w:val="18"/>
                      <w:szCs w:val="18"/>
                      <w:highlight w:val="none"/>
                      <w:u w:val="none" w:color="auto"/>
                      <w:lang w:val="en-US" w:eastAsia="zh-CN" w:bidi="ar-SA"/>
                    </w:rPr>
                  </w:pPr>
                  <w:r>
                    <w:rPr>
                      <w:rFonts w:hint="eastAsia" w:cs="Times New Roman"/>
                      <w:color w:val="auto"/>
                      <w:kern w:val="0"/>
                      <w:sz w:val="18"/>
                      <w:szCs w:val="18"/>
                      <w:highlight w:val="none"/>
                      <w:u w:val="none" w:color="auto"/>
                      <w:lang w:val="en-US" w:eastAsia="zh-CN" w:bidi="ar-SA"/>
                    </w:rPr>
                    <w:t>5户，约15人</w:t>
                  </w:r>
                </w:p>
              </w:tc>
              <w:tc>
                <w:tcPr>
                  <w:tcW w:w="557" w:type="pct"/>
                  <w:noWrap w:val="0"/>
                  <w:vAlign w:val="center"/>
                </w:tcPr>
                <w:p w14:paraId="1CE7F2C4">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cs="Times New Roman"/>
                      <w:color w:val="auto"/>
                      <w:kern w:val="0"/>
                      <w:sz w:val="18"/>
                      <w:szCs w:val="18"/>
                      <w:highlight w:val="none"/>
                      <w:u w:val="none" w:color="auto"/>
                      <w:lang w:val="en-US" w:eastAsia="zh-CN" w:bidi="ar-SA"/>
                    </w:rPr>
                  </w:pPr>
                  <w:r>
                    <w:rPr>
                      <w:rFonts w:hint="eastAsia" w:cs="Times New Roman"/>
                      <w:color w:val="auto"/>
                      <w:kern w:val="0"/>
                      <w:sz w:val="18"/>
                      <w:szCs w:val="18"/>
                      <w:highlight w:val="none"/>
                      <w:u w:val="none" w:color="auto"/>
                      <w:lang w:val="en-US" w:eastAsia="zh-CN" w:bidi="ar-SA"/>
                    </w:rPr>
                    <w:t>南</w:t>
                  </w:r>
                </w:p>
              </w:tc>
              <w:tc>
                <w:tcPr>
                  <w:tcW w:w="582" w:type="pct"/>
                  <w:noWrap w:val="0"/>
                  <w:vAlign w:val="center"/>
                </w:tcPr>
                <w:p w14:paraId="4B93A697">
                  <w:pPr>
                    <w:keepNext w:val="0"/>
                    <w:keepLines w:val="0"/>
                    <w:pageBreakBefore w:val="0"/>
                    <w:widowControl w:val="0"/>
                    <w:kinsoku/>
                    <w:wordWrap/>
                    <w:overflowPunct/>
                    <w:topLinePunct w:val="0"/>
                    <w:autoSpaceDE/>
                    <w:autoSpaceDN/>
                    <w:bidi w:val="0"/>
                    <w:spacing w:before="0" w:after="0" w:line="280" w:lineRule="exact"/>
                    <w:ind w:firstLine="0" w:firstLineChars="0"/>
                    <w:jc w:val="center"/>
                    <w:textAlignment w:val="auto"/>
                    <w:rPr>
                      <w:rFonts w:hint="default" w:cs="Times New Roman"/>
                      <w:color w:val="auto"/>
                      <w:spacing w:val="-11"/>
                      <w:kern w:val="0"/>
                      <w:sz w:val="18"/>
                      <w:szCs w:val="18"/>
                      <w:highlight w:val="none"/>
                      <w:u w:val="none" w:color="auto"/>
                      <w:lang w:val="en-US" w:eastAsia="zh-CN" w:bidi="ar-SA"/>
                    </w:rPr>
                  </w:pPr>
                  <w:r>
                    <w:rPr>
                      <w:rFonts w:hint="eastAsia" w:cs="Times New Roman"/>
                      <w:color w:val="auto"/>
                      <w:spacing w:val="-11"/>
                      <w:kern w:val="0"/>
                      <w:sz w:val="18"/>
                      <w:szCs w:val="18"/>
                      <w:highlight w:val="none"/>
                      <w:u w:val="none" w:color="auto"/>
                      <w:lang w:val="en-US" w:eastAsia="zh-CN" w:bidi="ar-SA"/>
                    </w:rPr>
                    <w:t>160-270</w:t>
                  </w:r>
                </w:p>
              </w:tc>
            </w:tr>
            <w:tr w14:paraId="2A9B8E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jc w:val="center"/>
              </w:trPr>
              <w:tc>
                <w:tcPr>
                  <w:tcW w:w="241" w:type="pct"/>
                  <w:vMerge w:val="continue"/>
                  <w:noWrap w:val="0"/>
                  <w:vAlign w:val="center"/>
                </w:tcPr>
                <w:p w14:paraId="02FC1842">
                  <w:pPr>
                    <w:widowControl/>
                    <w:adjustRightInd w:val="0"/>
                    <w:snapToGrid w:val="0"/>
                    <w:spacing w:line="320" w:lineRule="exact"/>
                    <w:jc w:val="center"/>
                    <w:textAlignment w:val="center"/>
                    <w:rPr>
                      <w:rFonts w:hint="default" w:ascii="Times New Roman" w:hAnsi="Times New Roman" w:cs="Times New Roman"/>
                      <w:bCs/>
                      <w:color w:val="auto"/>
                      <w:spacing w:val="0"/>
                      <w:kern w:val="2"/>
                      <w:sz w:val="18"/>
                      <w:szCs w:val="18"/>
                      <w:highlight w:val="yellow"/>
                      <w:u w:val="none" w:color="auto"/>
                      <w:lang w:val="en-US" w:eastAsia="zh-CN" w:bidi="ar-SA"/>
                    </w:rPr>
                  </w:pPr>
                </w:p>
              </w:tc>
              <w:tc>
                <w:tcPr>
                  <w:tcW w:w="992" w:type="pct"/>
                  <w:noWrap w:val="0"/>
                  <w:vAlign w:val="center"/>
                </w:tcPr>
                <w:p w14:paraId="27AE00C1">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cs="Times New Roman"/>
                      <w:color w:val="auto"/>
                      <w:kern w:val="2"/>
                      <w:sz w:val="18"/>
                      <w:szCs w:val="18"/>
                      <w:highlight w:val="none"/>
                      <w:u w:val="none" w:color="auto"/>
                      <w:lang w:val="en-US" w:eastAsia="zh-CN" w:bidi="ar-SA"/>
                    </w:rPr>
                  </w:pPr>
                  <w:r>
                    <w:rPr>
                      <w:rFonts w:hint="eastAsia" w:cs="Times New Roman"/>
                      <w:color w:val="auto"/>
                      <w:kern w:val="2"/>
                      <w:sz w:val="18"/>
                      <w:szCs w:val="18"/>
                      <w:highlight w:val="none"/>
                      <w:u w:val="none" w:color="auto"/>
                      <w:lang w:val="en-US" w:eastAsia="zh-CN" w:bidi="ar-SA"/>
                    </w:rPr>
                    <w:t>飞龙村散户居民点5</w:t>
                  </w:r>
                </w:p>
              </w:tc>
              <w:tc>
                <w:tcPr>
                  <w:tcW w:w="615" w:type="pct"/>
                  <w:noWrap w:val="0"/>
                  <w:vAlign w:val="center"/>
                </w:tcPr>
                <w:p w14:paraId="5BB46CAD">
                  <w:pPr>
                    <w:widowControl/>
                    <w:adjustRightInd w:val="0"/>
                    <w:snapToGrid w:val="0"/>
                    <w:spacing w:line="320" w:lineRule="exact"/>
                    <w:jc w:val="center"/>
                    <w:textAlignment w:val="center"/>
                    <w:rPr>
                      <w:rFonts w:hint="default" w:cs="Times New Roman"/>
                      <w:bCs/>
                      <w:color w:val="auto"/>
                      <w:spacing w:val="0"/>
                      <w:kern w:val="2"/>
                      <w:sz w:val="18"/>
                      <w:szCs w:val="18"/>
                      <w:highlight w:val="none"/>
                      <w:u w:val="none" w:color="auto"/>
                      <w:lang w:val="en-US" w:eastAsia="zh-CN" w:bidi="ar-SA"/>
                    </w:rPr>
                  </w:pPr>
                  <w:r>
                    <w:rPr>
                      <w:rFonts w:hint="eastAsia" w:cs="Times New Roman"/>
                      <w:bCs/>
                      <w:color w:val="auto"/>
                      <w:spacing w:val="0"/>
                      <w:kern w:val="2"/>
                      <w:sz w:val="18"/>
                      <w:szCs w:val="18"/>
                      <w:highlight w:val="none"/>
                      <w:u w:val="none" w:color="auto"/>
                      <w:lang w:val="en-US" w:eastAsia="zh-CN" w:bidi="ar-SA"/>
                    </w:rPr>
                    <w:t>112.938434434</w:t>
                  </w:r>
                </w:p>
              </w:tc>
              <w:tc>
                <w:tcPr>
                  <w:tcW w:w="563" w:type="pct"/>
                  <w:noWrap w:val="0"/>
                  <w:vAlign w:val="center"/>
                </w:tcPr>
                <w:p w14:paraId="788DDFF9">
                  <w:pPr>
                    <w:widowControl/>
                    <w:adjustRightInd w:val="0"/>
                    <w:snapToGrid w:val="0"/>
                    <w:spacing w:line="320" w:lineRule="exact"/>
                    <w:jc w:val="center"/>
                    <w:textAlignment w:val="center"/>
                    <w:rPr>
                      <w:rFonts w:hint="default" w:cs="Times New Roman"/>
                      <w:bCs/>
                      <w:color w:val="auto"/>
                      <w:spacing w:val="0"/>
                      <w:kern w:val="2"/>
                      <w:sz w:val="18"/>
                      <w:szCs w:val="18"/>
                      <w:highlight w:val="none"/>
                      <w:u w:val="none" w:color="auto"/>
                      <w:lang w:val="en-US" w:eastAsia="zh-CN" w:bidi="ar-SA"/>
                    </w:rPr>
                  </w:pPr>
                  <w:r>
                    <w:rPr>
                      <w:rFonts w:hint="eastAsia" w:cs="Times New Roman"/>
                      <w:bCs/>
                      <w:color w:val="auto"/>
                      <w:spacing w:val="0"/>
                      <w:kern w:val="2"/>
                      <w:sz w:val="18"/>
                      <w:szCs w:val="18"/>
                      <w:highlight w:val="none"/>
                      <w:u w:val="none" w:color="auto"/>
                      <w:lang w:val="en-US" w:eastAsia="zh-CN" w:bidi="ar-SA"/>
                    </w:rPr>
                    <w:t>27.40496560</w:t>
                  </w:r>
                </w:p>
              </w:tc>
              <w:tc>
                <w:tcPr>
                  <w:tcW w:w="666" w:type="pct"/>
                  <w:shd w:val="clear" w:color="auto" w:fill="auto"/>
                  <w:noWrap w:val="0"/>
                  <w:vAlign w:val="center"/>
                </w:tcPr>
                <w:p w14:paraId="0C1DB3E1">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eastAsia" w:cs="Times New Roman"/>
                      <w:snapToGrid w:val="0"/>
                      <w:color w:val="auto"/>
                      <w:kern w:val="24"/>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散户居民点</w:t>
                  </w:r>
                </w:p>
              </w:tc>
              <w:tc>
                <w:tcPr>
                  <w:tcW w:w="780" w:type="pct"/>
                  <w:shd w:val="clear" w:color="auto" w:fill="auto"/>
                  <w:noWrap w:val="0"/>
                  <w:vAlign w:val="center"/>
                </w:tcPr>
                <w:p w14:paraId="7209A612">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eastAsia" w:cs="Times New Roman"/>
                      <w:color w:val="auto"/>
                      <w:kern w:val="0"/>
                      <w:sz w:val="18"/>
                      <w:szCs w:val="18"/>
                      <w:highlight w:val="none"/>
                      <w:u w:val="none" w:color="auto"/>
                      <w:lang w:val="en-US" w:eastAsia="zh-CN" w:bidi="ar-SA"/>
                    </w:rPr>
                  </w:pPr>
                  <w:r>
                    <w:rPr>
                      <w:rFonts w:hint="eastAsia" w:cs="Times New Roman"/>
                      <w:color w:val="auto"/>
                      <w:kern w:val="0"/>
                      <w:sz w:val="18"/>
                      <w:szCs w:val="18"/>
                      <w:highlight w:val="none"/>
                      <w:u w:val="none" w:color="auto"/>
                      <w:lang w:val="en-US" w:eastAsia="zh-CN" w:bidi="ar-SA"/>
                    </w:rPr>
                    <w:t>15户，约50人</w:t>
                  </w:r>
                </w:p>
              </w:tc>
              <w:tc>
                <w:tcPr>
                  <w:tcW w:w="557" w:type="pct"/>
                  <w:noWrap w:val="0"/>
                  <w:vAlign w:val="center"/>
                </w:tcPr>
                <w:p w14:paraId="3D379E5F">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cs="Times New Roman"/>
                      <w:color w:val="auto"/>
                      <w:kern w:val="0"/>
                      <w:sz w:val="18"/>
                      <w:szCs w:val="18"/>
                      <w:highlight w:val="none"/>
                      <w:u w:val="none" w:color="auto"/>
                      <w:lang w:val="en-US" w:eastAsia="zh-CN" w:bidi="ar-SA"/>
                    </w:rPr>
                  </w:pPr>
                  <w:r>
                    <w:rPr>
                      <w:rFonts w:hint="eastAsia" w:cs="Times New Roman"/>
                      <w:color w:val="auto"/>
                      <w:kern w:val="0"/>
                      <w:sz w:val="18"/>
                      <w:szCs w:val="18"/>
                      <w:highlight w:val="none"/>
                      <w:u w:val="none" w:color="auto"/>
                      <w:lang w:val="en-US" w:eastAsia="zh-CN" w:bidi="ar-SA"/>
                    </w:rPr>
                    <w:t>东</w:t>
                  </w:r>
                </w:p>
              </w:tc>
              <w:tc>
                <w:tcPr>
                  <w:tcW w:w="582" w:type="pct"/>
                  <w:noWrap w:val="0"/>
                  <w:vAlign w:val="center"/>
                </w:tcPr>
                <w:p w14:paraId="0E048E30">
                  <w:pPr>
                    <w:keepNext w:val="0"/>
                    <w:keepLines w:val="0"/>
                    <w:pageBreakBefore w:val="0"/>
                    <w:widowControl w:val="0"/>
                    <w:kinsoku/>
                    <w:wordWrap/>
                    <w:overflowPunct/>
                    <w:topLinePunct w:val="0"/>
                    <w:autoSpaceDE/>
                    <w:autoSpaceDN/>
                    <w:bidi w:val="0"/>
                    <w:spacing w:before="0" w:after="0" w:line="280" w:lineRule="exact"/>
                    <w:ind w:firstLine="0" w:firstLineChars="0"/>
                    <w:jc w:val="center"/>
                    <w:textAlignment w:val="auto"/>
                    <w:rPr>
                      <w:rFonts w:hint="default" w:cs="Times New Roman"/>
                      <w:color w:val="auto"/>
                      <w:spacing w:val="-11"/>
                      <w:kern w:val="0"/>
                      <w:sz w:val="18"/>
                      <w:szCs w:val="18"/>
                      <w:highlight w:val="none"/>
                      <w:u w:val="none" w:color="auto"/>
                      <w:lang w:val="en-US" w:eastAsia="zh-CN" w:bidi="ar-SA"/>
                    </w:rPr>
                  </w:pPr>
                  <w:r>
                    <w:rPr>
                      <w:rFonts w:hint="eastAsia" w:cs="Times New Roman"/>
                      <w:color w:val="auto"/>
                      <w:spacing w:val="-11"/>
                      <w:kern w:val="0"/>
                      <w:sz w:val="18"/>
                      <w:szCs w:val="18"/>
                      <w:highlight w:val="none"/>
                      <w:u w:val="none" w:color="auto"/>
                      <w:lang w:val="en-US" w:eastAsia="zh-CN" w:bidi="ar-SA"/>
                    </w:rPr>
                    <w:t>180-400</w:t>
                  </w:r>
                </w:p>
              </w:tc>
            </w:tr>
            <w:tr w14:paraId="4F22BF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jc w:val="center"/>
              </w:trPr>
              <w:tc>
                <w:tcPr>
                  <w:tcW w:w="241" w:type="pct"/>
                  <w:vMerge w:val="continue"/>
                  <w:noWrap w:val="0"/>
                  <w:vAlign w:val="center"/>
                </w:tcPr>
                <w:p w14:paraId="632BE8F2">
                  <w:pPr>
                    <w:widowControl/>
                    <w:adjustRightInd w:val="0"/>
                    <w:snapToGrid w:val="0"/>
                    <w:spacing w:line="320" w:lineRule="exact"/>
                    <w:jc w:val="center"/>
                    <w:textAlignment w:val="center"/>
                    <w:rPr>
                      <w:rFonts w:hint="default" w:ascii="Times New Roman" w:hAnsi="Times New Roman" w:cs="Times New Roman"/>
                      <w:bCs/>
                      <w:color w:val="auto"/>
                      <w:spacing w:val="0"/>
                      <w:kern w:val="2"/>
                      <w:sz w:val="18"/>
                      <w:szCs w:val="18"/>
                      <w:highlight w:val="yellow"/>
                      <w:u w:val="none" w:color="auto"/>
                      <w:lang w:val="en-US" w:eastAsia="zh-CN" w:bidi="ar-SA"/>
                    </w:rPr>
                  </w:pPr>
                </w:p>
              </w:tc>
              <w:tc>
                <w:tcPr>
                  <w:tcW w:w="992" w:type="pct"/>
                  <w:shd w:val="clear" w:color="auto" w:fill="auto"/>
                  <w:noWrap w:val="0"/>
                  <w:vAlign w:val="center"/>
                </w:tcPr>
                <w:p w14:paraId="62C66738">
                  <w:pPr>
                    <w:widowControl/>
                    <w:adjustRightInd w:val="0"/>
                    <w:snapToGrid w:val="0"/>
                    <w:spacing w:line="320" w:lineRule="exact"/>
                    <w:jc w:val="center"/>
                    <w:textAlignment w:val="center"/>
                    <w:rPr>
                      <w:rFonts w:hint="default" w:ascii="Times New Roman" w:hAnsi="Times New Roman" w:eastAsia="宋体" w:cs="Times New Roman"/>
                      <w:bCs/>
                      <w:color w:val="auto"/>
                      <w:spacing w:val="0"/>
                      <w:kern w:val="2"/>
                      <w:sz w:val="18"/>
                      <w:szCs w:val="18"/>
                      <w:highlight w:val="yellow"/>
                      <w:u w:val="none" w:color="auto"/>
                      <w:lang w:val="en-US" w:eastAsia="zh-CN" w:bidi="ar-SA"/>
                    </w:rPr>
                  </w:pPr>
                  <w:r>
                    <w:rPr>
                      <w:rFonts w:hint="eastAsia" w:cs="Times New Roman"/>
                      <w:color w:val="auto"/>
                      <w:kern w:val="2"/>
                      <w:sz w:val="18"/>
                      <w:szCs w:val="18"/>
                      <w:highlight w:val="none"/>
                      <w:u w:val="none" w:color="auto"/>
                      <w:lang w:val="en-US" w:eastAsia="zh-CN" w:bidi="ar-SA"/>
                    </w:rPr>
                    <w:t>飞龙村散户居民点6</w:t>
                  </w:r>
                </w:p>
              </w:tc>
              <w:tc>
                <w:tcPr>
                  <w:tcW w:w="615" w:type="pct"/>
                  <w:shd w:val="clear" w:color="auto" w:fill="auto"/>
                  <w:noWrap w:val="0"/>
                  <w:vAlign w:val="center"/>
                </w:tcPr>
                <w:p w14:paraId="63217D0D">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ascii="Times New Roman" w:hAnsi="Times New Roman" w:eastAsia="宋体" w:cs="Times New Roman"/>
                      <w:color w:val="auto"/>
                      <w:kern w:val="2"/>
                      <w:sz w:val="18"/>
                      <w:szCs w:val="18"/>
                      <w:highlight w:val="none"/>
                      <w:u w:val="none" w:color="auto"/>
                      <w:lang w:val="en-US" w:eastAsia="zh-CN" w:bidi="ar-SA"/>
                    </w:rPr>
                  </w:pPr>
                  <w:r>
                    <w:rPr>
                      <w:rFonts w:hint="eastAsia" w:cs="Times New Roman"/>
                      <w:color w:val="auto"/>
                      <w:kern w:val="2"/>
                      <w:sz w:val="18"/>
                      <w:szCs w:val="18"/>
                      <w:highlight w:val="none"/>
                      <w:u w:val="none" w:color="auto"/>
                      <w:lang w:val="en-US" w:eastAsia="zh-CN" w:bidi="ar-SA"/>
                    </w:rPr>
                    <w:t>112.939373270</w:t>
                  </w:r>
                </w:p>
              </w:tc>
              <w:tc>
                <w:tcPr>
                  <w:tcW w:w="563" w:type="pct"/>
                  <w:noWrap w:val="0"/>
                  <w:vAlign w:val="center"/>
                </w:tcPr>
                <w:p w14:paraId="3C120689">
                  <w:pPr>
                    <w:widowControl/>
                    <w:adjustRightInd w:val="0"/>
                    <w:snapToGrid w:val="0"/>
                    <w:spacing w:line="320" w:lineRule="exact"/>
                    <w:jc w:val="center"/>
                    <w:textAlignment w:val="center"/>
                    <w:rPr>
                      <w:rFonts w:hint="default" w:cs="Times New Roman"/>
                      <w:bCs/>
                      <w:color w:val="auto"/>
                      <w:spacing w:val="0"/>
                      <w:kern w:val="2"/>
                      <w:sz w:val="18"/>
                      <w:szCs w:val="18"/>
                      <w:highlight w:val="none"/>
                      <w:u w:val="none" w:color="auto"/>
                      <w:lang w:val="en-US" w:eastAsia="zh-CN" w:bidi="ar-SA"/>
                    </w:rPr>
                  </w:pPr>
                  <w:r>
                    <w:rPr>
                      <w:rFonts w:hint="eastAsia" w:cs="Times New Roman"/>
                      <w:bCs/>
                      <w:color w:val="auto"/>
                      <w:spacing w:val="0"/>
                      <w:kern w:val="2"/>
                      <w:sz w:val="18"/>
                      <w:szCs w:val="18"/>
                      <w:highlight w:val="none"/>
                      <w:u w:val="none" w:color="auto"/>
                      <w:lang w:val="en-US" w:eastAsia="zh-CN" w:bidi="ar-SA"/>
                    </w:rPr>
                    <w:t>27.742207809</w:t>
                  </w:r>
                </w:p>
              </w:tc>
              <w:tc>
                <w:tcPr>
                  <w:tcW w:w="666" w:type="pct"/>
                  <w:shd w:val="clear" w:color="auto" w:fill="auto"/>
                  <w:noWrap w:val="0"/>
                  <w:vAlign w:val="center"/>
                </w:tcPr>
                <w:p w14:paraId="39B230BD">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eastAsia" w:ascii="Times New Roman" w:hAnsi="Times New Roman" w:eastAsia="宋体" w:cs="Times New Roman"/>
                      <w:snapToGrid w:val="0"/>
                      <w:color w:val="auto"/>
                      <w:kern w:val="24"/>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散户居民点</w:t>
                  </w:r>
                </w:p>
              </w:tc>
              <w:tc>
                <w:tcPr>
                  <w:tcW w:w="780" w:type="pct"/>
                  <w:shd w:val="clear" w:color="auto" w:fill="auto"/>
                  <w:noWrap w:val="0"/>
                  <w:vAlign w:val="center"/>
                </w:tcPr>
                <w:p w14:paraId="01274E5A">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eastAsia" w:ascii="Times New Roman" w:hAnsi="Times New Roman" w:eastAsia="宋体" w:cs="Times New Roman"/>
                      <w:color w:val="auto"/>
                      <w:kern w:val="0"/>
                      <w:sz w:val="18"/>
                      <w:szCs w:val="18"/>
                      <w:highlight w:val="none"/>
                      <w:u w:val="none" w:color="auto"/>
                      <w:lang w:val="en-US" w:eastAsia="zh-CN" w:bidi="ar-SA"/>
                    </w:rPr>
                  </w:pPr>
                  <w:r>
                    <w:rPr>
                      <w:rFonts w:hint="eastAsia" w:cs="Times New Roman"/>
                      <w:color w:val="auto"/>
                      <w:kern w:val="0"/>
                      <w:sz w:val="18"/>
                      <w:szCs w:val="18"/>
                      <w:highlight w:val="none"/>
                      <w:u w:val="none" w:color="auto"/>
                      <w:lang w:val="en-US" w:eastAsia="zh-CN" w:bidi="ar-SA"/>
                    </w:rPr>
                    <w:t>10户，约30人</w:t>
                  </w:r>
                </w:p>
              </w:tc>
              <w:tc>
                <w:tcPr>
                  <w:tcW w:w="557" w:type="pct"/>
                  <w:noWrap w:val="0"/>
                  <w:vAlign w:val="center"/>
                </w:tcPr>
                <w:p w14:paraId="0FE0DDC4">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cs="Times New Roman"/>
                      <w:color w:val="auto"/>
                      <w:kern w:val="0"/>
                      <w:sz w:val="18"/>
                      <w:szCs w:val="18"/>
                      <w:highlight w:val="none"/>
                      <w:u w:val="none" w:color="auto"/>
                      <w:lang w:val="en-US" w:eastAsia="zh-CN" w:bidi="ar-SA"/>
                    </w:rPr>
                  </w:pPr>
                  <w:r>
                    <w:rPr>
                      <w:rFonts w:hint="eastAsia" w:cs="Times New Roman"/>
                      <w:color w:val="auto"/>
                      <w:kern w:val="0"/>
                      <w:sz w:val="18"/>
                      <w:szCs w:val="18"/>
                      <w:highlight w:val="none"/>
                      <w:u w:val="none" w:color="auto"/>
                      <w:lang w:val="en-US" w:eastAsia="zh-CN" w:bidi="ar-SA"/>
                    </w:rPr>
                    <w:t>东北</w:t>
                  </w:r>
                </w:p>
              </w:tc>
              <w:tc>
                <w:tcPr>
                  <w:tcW w:w="582" w:type="pct"/>
                  <w:noWrap w:val="0"/>
                  <w:vAlign w:val="center"/>
                </w:tcPr>
                <w:p w14:paraId="574E2612">
                  <w:pPr>
                    <w:keepNext w:val="0"/>
                    <w:keepLines w:val="0"/>
                    <w:pageBreakBefore w:val="0"/>
                    <w:widowControl w:val="0"/>
                    <w:kinsoku/>
                    <w:wordWrap/>
                    <w:overflowPunct/>
                    <w:topLinePunct w:val="0"/>
                    <w:autoSpaceDE/>
                    <w:autoSpaceDN/>
                    <w:bidi w:val="0"/>
                    <w:spacing w:before="0" w:after="0" w:line="280" w:lineRule="exact"/>
                    <w:ind w:firstLine="0" w:firstLineChars="0"/>
                    <w:jc w:val="center"/>
                    <w:textAlignment w:val="auto"/>
                    <w:rPr>
                      <w:rFonts w:hint="default" w:cs="Times New Roman"/>
                      <w:color w:val="auto"/>
                      <w:spacing w:val="-11"/>
                      <w:kern w:val="0"/>
                      <w:sz w:val="18"/>
                      <w:szCs w:val="18"/>
                      <w:highlight w:val="none"/>
                      <w:u w:val="none" w:color="auto"/>
                      <w:lang w:val="en-US" w:eastAsia="zh-CN" w:bidi="ar-SA"/>
                    </w:rPr>
                  </w:pPr>
                  <w:r>
                    <w:rPr>
                      <w:rFonts w:hint="eastAsia" w:cs="Times New Roman"/>
                      <w:color w:val="auto"/>
                      <w:spacing w:val="-11"/>
                      <w:kern w:val="0"/>
                      <w:sz w:val="18"/>
                      <w:szCs w:val="18"/>
                      <w:highlight w:val="none"/>
                      <w:u w:val="none" w:color="auto"/>
                      <w:lang w:val="en-US" w:eastAsia="zh-CN" w:bidi="ar-SA"/>
                    </w:rPr>
                    <w:t>360-460</w:t>
                  </w:r>
                </w:p>
              </w:tc>
            </w:tr>
          </w:tbl>
          <w:p w14:paraId="14E50B4B">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auto"/>
                <w:sz w:val="24"/>
                <w:szCs w:val="24"/>
                <w:highlight w:val="none"/>
                <w:u w:val="none" w:color="auto"/>
              </w:rPr>
            </w:pPr>
            <w:r>
              <w:rPr>
                <w:rFonts w:hint="eastAsia" w:ascii="Times New Roman" w:hAnsi="Times New Roman" w:eastAsia="宋体" w:cs="Times New Roman"/>
                <w:b/>
                <w:bCs/>
                <w:color w:val="auto"/>
                <w:sz w:val="24"/>
                <w:szCs w:val="24"/>
                <w:highlight w:val="none"/>
                <w:u w:val="none" w:color="auto"/>
                <w:lang w:val="en-US" w:eastAsia="zh-CN"/>
              </w:rPr>
              <w:t>2、</w:t>
            </w:r>
            <w:r>
              <w:rPr>
                <w:rFonts w:hint="default" w:ascii="Times New Roman" w:hAnsi="Times New Roman" w:eastAsia="宋体" w:cs="Times New Roman"/>
                <w:b/>
                <w:bCs/>
                <w:color w:val="auto"/>
                <w:sz w:val="24"/>
                <w:szCs w:val="24"/>
                <w:highlight w:val="none"/>
                <w:u w:val="none" w:color="auto"/>
              </w:rPr>
              <w:t>水环境</w:t>
            </w:r>
          </w:p>
          <w:p w14:paraId="7697BEF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项目用地范围及附近不涉及饮用水水源保护区、饮用水取水口、自然保护区、风景名胜区，重要湿地、重点保护与珍稀水生生物的栖息地、重要水生生物的自然产卵场及索饵场、越冬场和洄游通道，天然渔场等渔业水体，以及水产种质资源保护区等敏感目标；</w:t>
            </w:r>
            <w:r>
              <w:rPr>
                <w:rFonts w:hint="default" w:ascii="Times New Roman" w:hAnsi="Times New Roman" w:eastAsia="宋体" w:cs="Times New Roman"/>
                <w:color w:val="auto"/>
                <w:sz w:val="24"/>
                <w:szCs w:val="24"/>
                <w:highlight w:val="none"/>
                <w:u w:val="none" w:color="auto"/>
                <w:lang w:val="en-US" w:eastAsia="zh-CN"/>
              </w:rPr>
              <w:t>项目</w:t>
            </w:r>
            <w:r>
              <w:rPr>
                <w:rFonts w:hint="eastAsia" w:ascii="Times New Roman" w:hAnsi="Times New Roman" w:eastAsia="宋体" w:cs="Times New Roman"/>
                <w:color w:val="auto"/>
                <w:sz w:val="24"/>
                <w:szCs w:val="24"/>
                <w:highlight w:val="none"/>
                <w:u w:val="none" w:color="auto"/>
                <w:lang w:val="en-US" w:eastAsia="zh-CN"/>
              </w:rPr>
              <w:t>厂界</w:t>
            </w:r>
            <w:r>
              <w:rPr>
                <w:rFonts w:hint="default" w:ascii="Times New Roman" w:hAnsi="Times New Roman" w:eastAsia="宋体" w:cs="Times New Roman"/>
                <w:color w:val="auto"/>
                <w:sz w:val="24"/>
                <w:szCs w:val="24"/>
                <w:highlight w:val="none"/>
                <w:u w:val="none" w:color="auto"/>
                <w:lang w:val="en-US" w:eastAsia="zh-CN"/>
              </w:rPr>
              <w:t>外</w:t>
            </w:r>
            <w:r>
              <w:rPr>
                <w:rFonts w:hint="default" w:ascii="Times New Roman" w:hAnsi="Times New Roman" w:eastAsia="宋体" w:cs="Times New Roman"/>
                <w:color w:val="auto"/>
                <w:sz w:val="24"/>
                <w:szCs w:val="24"/>
                <w:highlight w:val="none"/>
                <w:u w:val="none" w:color="auto"/>
              </w:rPr>
              <w:t>500m范围内不涉及地下水集中式饮用水水源和热水、矿泉水、温泉等特殊地下水资源。因此</w:t>
            </w:r>
            <w:r>
              <w:rPr>
                <w:rFonts w:hint="eastAsia" w:ascii="Times New Roman" w:hAnsi="Times New Roman" w:eastAsia="宋体" w:cs="Times New Roman"/>
                <w:color w:val="auto"/>
                <w:sz w:val="24"/>
                <w:szCs w:val="24"/>
                <w:highlight w:val="none"/>
                <w:u w:val="none" w:color="auto"/>
                <w:lang w:eastAsia="zh-CN"/>
              </w:rPr>
              <w:t>，</w:t>
            </w:r>
            <w:r>
              <w:rPr>
                <w:rFonts w:hint="default" w:ascii="Times New Roman" w:hAnsi="Times New Roman" w:eastAsia="宋体" w:cs="Times New Roman"/>
                <w:color w:val="auto"/>
                <w:sz w:val="24"/>
                <w:szCs w:val="24"/>
                <w:highlight w:val="none"/>
                <w:u w:val="none" w:color="auto"/>
              </w:rPr>
              <w:t>本项目不涉及水环境保护目标。</w:t>
            </w:r>
          </w:p>
          <w:p w14:paraId="2BE811A2">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auto"/>
                <w:sz w:val="24"/>
                <w:szCs w:val="24"/>
                <w:highlight w:val="none"/>
                <w:u w:val="none" w:color="auto"/>
              </w:rPr>
            </w:pPr>
            <w:r>
              <w:rPr>
                <w:rFonts w:hint="eastAsia" w:ascii="Times New Roman" w:hAnsi="Times New Roman" w:eastAsia="宋体" w:cs="Times New Roman"/>
                <w:b/>
                <w:bCs/>
                <w:color w:val="auto"/>
                <w:sz w:val="24"/>
                <w:szCs w:val="24"/>
                <w:highlight w:val="none"/>
                <w:u w:val="none" w:color="auto"/>
                <w:lang w:val="en-US" w:eastAsia="zh-CN"/>
              </w:rPr>
              <w:t>3、</w:t>
            </w:r>
            <w:r>
              <w:rPr>
                <w:rFonts w:hint="default" w:ascii="Times New Roman" w:hAnsi="Times New Roman" w:eastAsia="宋体" w:cs="Times New Roman"/>
                <w:b/>
                <w:bCs/>
                <w:color w:val="auto"/>
                <w:sz w:val="24"/>
                <w:szCs w:val="24"/>
                <w:highlight w:val="none"/>
                <w:u w:val="none" w:color="auto"/>
              </w:rPr>
              <w:t>声环境</w:t>
            </w:r>
          </w:p>
          <w:p w14:paraId="5E5753C1">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lang w:val="en-US" w:eastAsia="zh-CN"/>
              </w:rPr>
              <w:t>本</w:t>
            </w:r>
            <w:r>
              <w:rPr>
                <w:rFonts w:hint="default" w:ascii="Times New Roman" w:hAnsi="Times New Roman" w:eastAsia="宋体" w:cs="Times New Roman"/>
                <w:color w:val="auto"/>
                <w:sz w:val="24"/>
                <w:szCs w:val="24"/>
                <w:highlight w:val="none"/>
                <w:u w:val="none" w:color="auto"/>
              </w:rPr>
              <w:t>项目</w:t>
            </w:r>
            <w:r>
              <w:rPr>
                <w:rFonts w:hint="eastAsia" w:ascii="Times New Roman" w:hAnsi="Times New Roman" w:eastAsia="宋体" w:cs="Times New Roman"/>
                <w:color w:val="auto"/>
                <w:sz w:val="24"/>
                <w:szCs w:val="24"/>
                <w:highlight w:val="none"/>
                <w:u w:val="none" w:color="auto"/>
                <w:lang w:val="en-US" w:eastAsia="zh-CN"/>
              </w:rPr>
              <w:t>声</w:t>
            </w:r>
            <w:r>
              <w:rPr>
                <w:rFonts w:hint="default" w:ascii="Times New Roman" w:hAnsi="Times New Roman" w:eastAsia="宋体" w:cs="Times New Roman"/>
                <w:color w:val="auto"/>
                <w:sz w:val="24"/>
                <w:szCs w:val="24"/>
                <w:highlight w:val="none"/>
                <w:u w:val="none" w:color="auto"/>
              </w:rPr>
              <w:t>环境保护目标分布情况见</w:t>
            </w:r>
            <w:r>
              <w:rPr>
                <w:rFonts w:hint="default" w:ascii="Times New Roman" w:hAnsi="Times New Roman" w:eastAsia="宋体" w:cs="Times New Roman"/>
                <w:color w:val="auto"/>
                <w:sz w:val="24"/>
                <w:szCs w:val="24"/>
                <w:highlight w:val="none"/>
                <w:u w:val="none" w:color="auto"/>
                <w:lang w:eastAsia="zh-CN"/>
              </w:rPr>
              <w:t>下表及</w:t>
            </w:r>
            <w:r>
              <w:rPr>
                <w:rFonts w:hint="default" w:ascii="Times New Roman" w:hAnsi="Times New Roman" w:eastAsia="宋体" w:cs="Times New Roman"/>
                <w:color w:val="auto"/>
                <w:sz w:val="24"/>
                <w:szCs w:val="24"/>
                <w:highlight w:val="none"/>
                <w:u w:val="none" w:color="auto"/>
              </w:rPr>
              <w:t>附图</w:t>
            </w:r>
            <w:r>
              <w:rPr>
                <w:rFonts w:hint="eastAsia" w:ascii="Times New Roman" w:hAnsi="Times New Roman" w:eastAsia="宋体" w:cs="Times New Roman"/>
                <w:color w:val="auto"/>
                <w:sz w:val="24"/>
                <w:szCs w:val="24"/>
                <w:highlight w:val="none"/>
                <w:u w:val="none" w:color="auto"/>
                <w:lang w:val="en-US" w:eastAsia="zh-CN"/>
              </w:rPr>
              <w:t>3</w:t>
            </w:r>
            <w:r>
              <w:rPr>
                <w:rFonts w:hint="default" w:ascii="Times New Roman" w:hAnsi="Times New Roman" w:eastAsia="宋体" w:cs="Times New Roman"/>
                <w:color w:val="auto"/>
                <w:sz w:val="24"/>
                <w:szCs w:val="24"/>
                <w:highlight w:val="none"/>
                <w:u w:val="none" w:color="auto"/>
              </w:rPr>
              <w:t>。</w:t>
            </w:r>
          </w:p>
          <w:p w14:paraId="0C07EC37">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color w:val="auto"/>
                <w:kern w:val="2"/>
                <w:sz w:val="21"/>
                <w:szCs w:val="21"/>
                <w:highlight w:val="none"/>
                <w:u w:val="none" w:color="auto"/>
                <w:lang w:val="en-US" w:eastAsia="zh-CN" w:bidi="ar-SA"/>
              </w:rPr>
            </w:pPr>
          </w:p>
          <w:p w14:paraId="5DCF26FE">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color w:val="auto"/>
                <w:kern w:val="2"/>
                <w:sz w:val="21"/>
                <w:szCs w:val="21"/>
                <w:highlight w:val="none"/>
                <w:u w:val="none" w:color="auto"/>
                <w:lang w:val="en-US" w:eastAsia="zh-CN" w:bidi="ar-SA"/>
              </w:rPr>
            </w:pPr>
            <w:r>
              <w:rPr>
                <w:rFonts w:hint="default" w:ascii="Times New Roman" w:hAnsi="Times New Roman" w:eastAsia="宋体" w:cs="Times New Roman"/>
                <w:b/>
                <w:bCs/>
                <w:color w:val="auto"/>
                <w:kern w:val="2"/>
                <w:sz w:val="21"/>
                <w:szCs w:val="21"/>
                <w:highlight w:val="none"/>
                <w:u w:val="none" w:color="auto"/>
                <w:lang w:val="en-US" w:eastAsia="zh-CN" w:bidi="ar-SA"/>
              </w:rPr>
              <w:t>表3-</w:t>
            </w:r>
            <w:r>
              <w:rPr>
                <w:rFonts w:hint="eastAsia" w:cs="Times New Roman"/>
                <w:b/>
                <w:bCs/>
                <w:color w:val="auto"/>
                <w:kern w:val="2"/>
                <w:sz w:val="21"/>
                <w:szCs w:val="21"/>
                <w:highlight w:val="none"/>
                <w:u w:val="none" w:color="auto"/>
                <w:lang w:val="en-US" w:eastAsia="zh-CN" w:bidi="ar-SA"/>
              </w:rPr>
              <w:t>6</w:t>
            </w:r>
            <w:r>
              <w:rPr>
                <w:rFonts w:hint="default" w:ascii="Times New Roman" w:hAnsi="Times New Roman" w:eastAsia="宋体" w:cs="Times New Roman"/>
                <w:b/>
                <w:bCs/>
                <w:color w:val="auto"/>
                <w:kern w:val="2"/>
                <w:sz w:val="21"/>
                <w:szCs w:val="21"/>
                <w:highlight w:val="none"/>
                <w:u w:val="none" w:color="auto"/>
                <w:lang w:val="en-US" w:eastAsia="zh-CN" w:bidi="ar-SA"/>
              </w:rPr>
              <w:t xml:space="preserve">   本项目</w:t>
            </w:r>
            <w:r>
              <w:rPr>
                <w:rFonts w:hint="eastAsia" w:ascii="Times New Roman" w:hAnsi="Times New Roman" w:eastAsia="宋体" w:cs="Times New Roman"/>
                <w:b/>
                <w:bCs/>
                <w:color w:val="auto"/>
                <w:kern w:val="2"/>
                <w:sz w:val="21"/>
                <w:szCs w:val="21"/>
                <w:highlight w:val="none"/>
                <w:u w:val="none" w:color="auto"/>
                <w:lang w:val="en-US" w:eastAsia="zh-CN" w:bidi="ar-SA"/>
              </w:rPr>
              <w:t>声</w:t>
            </w:r>
            <w:r>
              <w:rPr>
                <w:rFonts w:hint="default" w:ascii="Times New Roman" w:hAnsi="Times New Roman" w:eastAsia="宋体" w:cs="Times New Roman"/>
                <w:b/>
                <w:bCs/>
                <w:color w:val="auto"/>
                <w:kern w:val="2"/>
                <w:sz w:val="21"/>
                <w:szCs w:val="21"/>
                <w:highlight w:val="none"/>
                <w:u w:val="none" w:color="auto"/>
                <w:lang w:val="en-US" w:eastAsia="zh-CN" w:bidi="ar-SA"/>
              </w:rPr>
              <w:t>环境保护目标一览表</w:t>
            </w:r>
          </w:p>
          <w:tbl>
            <w:tblPr>
              <w:tblStyle w:val="31"/>
              <w:tblW w:w="4757"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51" w:type="dxa"/>
                <w:bottom w:w="0" w:type="dxa"/>
                <w:right w:w="51" w:type="dxa"/>
              </w:tblCellMar>
            </w:tblPr>
            <w:tblGrid>
              <w:gridCol w:w="686"/>
              <w:gridCol w:w="1200"/>
              <w:gridCol w:w="1003"/>
              <w:gridCol w:w="941"/>
              <w:gridCol w:w="650"/>
              <w:gridCol w:w="1200"/>
              <w:gridCol w:w="978"/>
              <w:gridCol w:w="1093"/>
            </w:tblGrid>
            <w:tr w14:paraId="0D7936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jc w:val="center"/>
              </w:trPr>
              <w:tc>
                <w:tcPr>
                  <w:tcW w:w="442" w:type="pct"/>
                  <w:vMerge w:val="restart"/>
                  <w:noWrap w:val="0"/>
                  <w:vAlign w:val="center"/>
                </w:tcPr>
                <w:p w14:paraId="5591F4D8">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类别</w:t>
                  </w:r>
                </w:p>
              </w:tc>
              <w:tc>
                <w:tcPr>
                  <w:tcW w:w="773" w:type="pct"/>
                  <w:vMerge w:val="restart"/>
                  <w:noWrap w:val="0"/>
                  <w:vAlign w:val="center"/>
                </w:tcPr>
                <w:p w14:paraId="22D80443">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名称</w:t>
                  </w:r>
                </w:p>
              </w:tc>
              <w:tc>
                <w:tcPr>
                  <w:tcW w:w="1253" w:type="pct"/>
                  <w:gridSpan w:val="2"/>
                  <w:noWrap w:val="0"/>
                  <w:vAlign w:val="center"/>
                </w:tcPr>
                <w:p w14:paraId="1BF0215C">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坐标</w:t>
                  </w:r>
                </w:p>
              </w:tc>
              <w:tc>
                <w:tcPr>
                  <w:tcW w:w="419" w:type="pct"/>
                  <w:vMerge w:val="restart"/>
                  <w:noWrap w:val="0"/>
                  <w:vAlign w:val="center"/>
                </w:tcPr>
                <w:p w14:paraId="4D8A8440">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保护</w:t>
                  </w:r>
                </w:p>
                <w:p w14:paraId="7BC53258">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对象</w:t>
                  </w:r>
                </w:p>
              </w:tc>
              <w:tc>
                <w:tcPr>
                  <w:tcW w:w="773" w:type="pct"/>
                  <w:vMerge w:val="restart"/>
                  <w:noWrap w:val="0"/>
                  <w:vAlign w:val="center"/>
                </w:tcPr>
                <w:p w14:paraId="6B309CE9">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规模</w:t>
                  </w:r>
                </w:p>
              </w:tc>
              <w:tc>
                <w:tcPr>
                  <w:tcW w:w="630" w:type="pct"/>
                  <w:vMerge w:val="restart"/>
                  <w:noWrap w:val="0"/>
                  <w:vAlign w:val="center"/>
                </w:tcPr>
                <w:p w14:paraId="40560C51">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相对厂址方位</w:t>
                  </w:r>
                </w:p>
              </w:tc>
              <w:tc>
                <w:tcPr>
                  <w:tcW w:w="705" w:type="pct"/>
                  <w:vMerge w:val="restart"/>
                  <w:noWrap w:val="0"/>
                  <w:vAlign w:val="center"/>
                </w:tcPr>
                <w:p w14:paraId="20D261BE">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相对</w:t>
                  </w:r>
                  <w:r>
                    <w:rPr>
                      <w:rFonts w:hint="eastAsia" w:ascii="Times New Roman" w:hAnsi="Times New Roman" w:eastAsia="宋体" w:cs="Times New Roman"/>
                      <w:b/>
                      <w:bCs w:val="0"/>
                      <w:color w:val="auto"/>
                      <w:spacing w:val="0"/>
                      <w:kern w:val="2"/>
                      <w:sz w:val="18"/>
                      <w:szCs w:val="18"/>
                      <w:highlight w:val="none"/>
                      <w:u w:val="none" w:color="auto"/>
                      <w:lang w:val="en-US" w:eastAsia="zh-CN" w:bidi="ar-SA"/>
                    </w:rPr>
                    <w:t>本项目</w:t>
                  </w: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距离/m</w:t>
                  </w:r>
                </w:p>
              </w:tc>
            </w:tr>
            <w:tr w14:paraId="496C0C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jc w:val="center"/>
              </w:trPr>
              <w:tc>
                <w:tcPr>
                  <w:tcW w:w="442" w:type="pct"/>
                  <w:vMerge w:val="continue"/>
                  <w:noWrap w:val="0"/>
                  <w:vAlign w:val="center"/>
                </w:tcPr>
                <w:p w14:paraId="59049182">
                  <w:pPr>
                    <w:widowControl w:val="0"/>
                    <w:spacing w:before="0" w:after="0" w:line="320" w:lineRule="exact"/>
                    <w:jc w:val="center"/>
                    <w:rPr>
                      <w:rFonts w:hint="default" w:ascii="Times New Roman" w:hAnsi="Times New Roman" w:eastAsia="宋体" w:cs="Times New Roman"/>
                      <w:b w:val="0"/>
                      <w:bCs/>
                      <w:color w:val="auto"/>
                      <w:spacing w:val="0"/>
                      <w:kern w:val="2"/>
                      <w:sz w:val="18"/>
                      <w:szCs w:val="18"/>
                      <w:highlight w:val="yellow"/>
                      <w:u w:val="none" w:color="auto"/>
                      <w:lang w:val="en-US" w:eastAsia="zh-CN" w:bidi="ar-SA"/>
                    </w:rPr>
                  </w:pPr>
                </w:p>
              </w:tc>
              <w:tc>
                <w:tcPr>
                  <w:tcW w:w="773" w:type="pct"/>
                  <w:vMerge w:val="continue"/>
                  <w:noWrap w:val="0"/>
                  <w:vAlign w:val="center"/>
                </w:tcPr>
                <w:p w14:paraId="31659843">
                  <w:pPr>
                    <w:widowControl w:val="0"/>
                    <w:spacing w:before="0" w:after="0" w:line="320" w:lineRule="exact"/>
                    <w:jc w:val="center"/>
                    <w:rPr>
                      <w:rFonts w:hint="default" w:ascii="Times New Roman" w:hAnsi="Times New Roman" w:eastAsia="宋体" w:cs="Times New Roman"/>
                      <w:b w:val="0"/>
                      <w:bCs/>
                      <w:color w:val="auto"/>
                      <w:spacing w:val="0"/>
                      <w:kern w:val="2"/>
                      <w:sz w:val="18"/>
                      <w:szCs w:val="18"/>
                      <w:highlight w:val="yellow"/>
                      <w:u w:val="none" w:color="auto"/>
                      <w:lang w:val="en-US" w:eastAsia="zh-CN" w:bidi="ar-SA"/>
                    </w:rPr>
                  </w:pPr>
                </w:p>
              </w:tc>
              <w:tc>
                <w:tcPr>
                  <w:tcW w:w="646" w:type="pct"/>
                  <w:noWrap w:val="0"/>
                  <w:vAlign w:val="center"/>
                </w:tcPr>
                <w:p w14:paraId="7B740827">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经度</w:t>
                  </w:r>
                </w:p>
              </w:tc>
              <w:tc>
                <w:tcPr>
                  <w:tcW w:w="607" w:type="pct"/>
                  <w:noWrap w:val="0"/>
                  <w:vAlign w:val="center"/>
                </w:tcPr>
                <w:p w14:paraId="626A287F">
                  <w:pPr>
                    <w:widowControl w:val="0"/>
                    <w:spacing w:before="0" w:after="0" w:line="320" w:lineRule="exact"/>
                    <w:jc w:val="center"/>
                    <w:rPr>
                      <w:rFonts w:hint="default" w:ascii="Times New Roman" w:hAnsi="Times New Roman" w:eastAsia="宋体" w:cs="Times New Roman"/>
                      <w:b/>
                      <w:bCs w:val="0"/>
                      <w:color w:val="auto"/>
                      <w:spacing w:val="0"/>
                      <w:kern w:val="2"/>
                      <w:sz w:val="18"/>
                      <w:szCs w:val="18"/>
                      <w:highlight w:val="none"/>
                      <w:u w:val="none" w:color="auto"/>
                      <w:lang w:val="en-US" w:eastAsia="zh-CN" w:bidi="ar-SA"/>
                    </w:rPr>
                  </w:pPr>
                  <w:r>
                    <w:rPr>
                      <w:rFonts w:hint="default" w:ascii="Times New Roman" w:hAnsi="Times New Roman" w:eastAsia="宋体" w:cs="Times New Roman"/>
                      <w:b/>
                      <w:bCs w:val="0"/>
                      <w:color w:val="auto"/>
                      <w:spacing w:val="0"/>
                      <w:kern w:val="2"/>
                      <w:sz w:val="18"/>
                      <w:szCs w:val="18"/>
                      <w:highlight w:val="none"/>
                      <w:u w:val="none" w:color="auto"/>
                      <w:lang w:val="en-US" w:eastAsia="zh-CN" w:bidi="ar-SA"/>
                    </w:rPr>
                    <w:t>纬度</w:t>
                  </w:r>
                </w:p>
              </w:tc>
              <w:tc>
                <w:tcPr>
                  <w:tcW w:w="419" w:type="pct"/>
                  <w:vMerge w:val="continue"/>
                  <w:noWrap w:val="0"/>
                  <w:vAlign w:val="center"/>
                </w:tcPr>
                <w:p w14:paraId="1D15FF55">
                  <w:pPr>
                    <w:widowControl w:val="0"/>
                    <w:spacing w:before="0" w:after="0" w:line="320" w:lineRule="exact"/>
                    <w:jc w:val="center"/>
                    <w:rPr>
                      <w:rFonts w:hint="default" w:ascii="Times New Roman" w:hAnsi="Times New Roman" w:eastAsia="宋体" w:cs="Times New Roman"/>
                      <w:b w:val="0"/>
                      <w:bCs/>
                      <w:color w:val="auto"/>
                      <w:spacing w:val="0"/>
                      <w:kern w:val="2"/>
                      <w:sz w:val="18"/>
                      <w:szCs w:val="18"/>
                      <w:highlight w:val="yellow"/>
                      <w:u w:val="none" w:color="auto"/>
                      <w:lang w:val="en-US" w:eastAsia="zh-CN" w:bidi="ar-SA"/>
                    </w:rPr>
                  </w:pPr>
                </w:p>
              </w:tc>
              <w:tc>
                <w:tcPr>
                  <w:tcW w:w="773" w:type="pct"/>
                  <w:vMerge w:val="continue"/>
                  <w:noWrap w:val="0"/>
                  <w:vAlign w:val="center"/>
                </w:tcPr>
                <w:p w14:paraId="0343363B">
                  <w:pPr>
                    <w:widowControl w:val="0"/>
                    <w:spacing w:before="0" w:after="0" w:line="320" w:lineRule="exact"/>
                    <w:jc w:val="center"/>
                    <w:rPr>
                      <w:rFonts w:hint="default" w:ascii="Times New Roman" w:hAnsi="Times New Roman" w:eastAsia="宋体" w:cs="Times New Roman"/>
                      <w:b w:val="0"/>
                      <w:bCs/>
                      <w:color w:val="auto"/>
                      <w:spacing w:val="0"/>
                      <w:kern w:val="2"/>
                      <w:sz w:val="18"/>
                      <w:szCs w:val="18"/>
                      <w:highlight w:val="yellow"/>
                      <w:u w:val="none" w:color="auto"/>
                      <w:lang w:val="en-US" w:eastAsia="zh-CN" w:bidi="ar-SA"/>
                    </w:rPr>
                  </w:pPr>
                </w:p>
              </w:tc>
              <w:tc>
                <w:tcPr>
                  <w:tcW w:w="630" w:type="pct"/>
                  <w:vMerge w:val="continue"/>
                  <w:noWrap w:val="0"/>
                  <w:vAlign w:val="center"/>
                </w:tcPr>
                <w:p w14:paraId="7A0C965F">
                  <w:pPr>
                    <w:widowControl w:val="0"/>
                    <w:spacing w:before="0" w:after="0" w:line="320" w:lineRule="exact"/>
                    <w:jc w:val="center"/>
                    <w:rPr>
                      <w:rFonts w:hint="default" w:ascii="Times New Roman" w:hAnsi="Times New Roman" w:eastAsia="宋体" w:cs="Times New Roman"/>
                      <w:b w:val="0"/>
                      <w:bCs/>
                      <w:color w:val="auto"/>
                      <w:spacing w:val="0"/>
                      <w:kern w:val="2"/>
                      <w:sz w:val="18"/>
                      <w:szCs w:val="18"/>
                      <w:highlight w:val="yellow"/>
                      <w:u w:val="none" w:color="auto"/>
                      <w:lang w:val="en-US" w:eastAsia="zh-CN" w:bidi="ar-SA"/>
                    </w:rPr>
                  </w:pPr>
                </w:p>
              </w:tc>
              <w:tc>
                <w:tcPr>
                  <w:tcW w:w="705" w:type="pct"/>
                  <w:vMerge w:val="continue"/>
                  <w:noWrap w:val="0"/>
                  <w:vAlign w:val="center"/>
                </w:tcPr>
                <w:p w14:paraId="7BCB0268">
                  <w:pPr>
                    <w:widowControl w:val="0"/>
                    <w:spacing w:before="0" w:after="0" w:line="320" w:lineRule="exact"/>
                    <w:jc w:val="center"/>
                    <w:rPr>
                      <w:rFonts w:hint="default" w:ascii="Times New Roman" w:hAnsi="Times New Roman" w:eastAsia="宋体" w:cs="Times New Roman"/>
                      <w:b w:val="0"/>
                      <w:bCs/>
                      <w:color w:val="auto"/>
                      <w:spacing w:val="0"/>
                      <w:kern w:val="2"/>
                      <w:sz w:val="18"/>
                      <w:szCs w:val="18"/>
                      <w:highlight w:val="yellow"/>
                      <w:u w:val="none" w:color="auto"/>
                      <w:lang w:val="en-US" w:eastAsia="zh-CN" w:bidi="ar-SA"/>
                    </w:rPr>
                  </w:pPr>
                </w:p>
              </w:tc>
            </w:tr>
            <w:tr w14:paraId="3A083A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jc w:val="center"/>
              </w:trPr>
              <w:tc>
                <w:tcPr>
                  <w:tcW w:w="686" w:type="dxa"/>
                  <w:noWrap w:val="0"/>
                  <w:vAlign w:val="center"/>
                </w:tcPr>
                <w:p w14:paraId="2033FEDC">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cs="Times New Roman"/>
                      <w:snapToGrid w:val="0"/>
                      <w:color w:val="auto"/>
                      <w:kern w:val="24"/>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声环境</w:t>
                  </w:r>
                </w:p>
              </w:tc>
              <w:tc>
                <w:tcPr>
                  <w:tcW w:w="1200" w:type="dxa"/>
                  <w:noWrap w:val="0"/>
                  <w:vAlign w:val="center"/>
                </w:tcPr>
                <w:p w14:paraId="6B1D2C6B">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cs="Times New Roman"/>
                      <w:snapToGrid w:val="0"/>
                      <w:color w:val="auto"/>
                      <w:kern w:val="24"/>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飞龙村散户居民点1</w:t>
                  </w:r>
                </w:p>
              </w:tc>
              <w:tc>
                <w:tcPr>
                  <w:tcW w:w="1003" w:type="dxa"/>
                  <w:noWrap w:val="0"/>
                  <w:vAlign w:val="center"/>
                </w:tcPr>
                <w:p w14:paraId="6C0AFE83">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cs="Times New Roman"/>
                      <w:snapToGrid w:val="0"/>
                      <w:color w:val="auto"/>
                      <w:kern w:val="24"/>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112.935493392</w:t>
                  </w:r>
                </w:p>
              </w:tc>
              <w:tc>
                <w:tcPr>
                  <w:tcW w:w="941" w:type="dxa"/>
                  <w:noWrap w:val="0"/>
                  <w:vAlign w:val="center"/>
                </w:tcPr>
                <w:p w14:paraId="22B06BC5">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cs="Times New Roman"/>
                      <w:snapToGrid w:val="0"/>
                      <w:color w:val="auto"/>
                      <w:kern w:val="24"/>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27.739848807</w:t>
                  </w:r>
                </w:p>
              </w:tc>
              <w:tc>
                <w:tcPr>
                  <w:tcW w:w="650" w:type="dxa"/>
                  <w:noWrap w:val="0"/>
                  <w:vAlign w:val="center"/>
                </w:tcPr>
                <w:p w14:paraId="1DE956B9">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cs="Times New Roman"/>
                      <w:snapToGrid w:val="0"/>
                      <w:color w:val="auto"/>
                      <w:kern w:val="24"/>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散户居民点</w:t>
                  </w:r>
                </w:p>
              </w:tc>
              <w:tc>
                <w:tcPr>
                  <w:tcW w:w="1200" w:type="dxa"/>
                  <w:noWrap w:val="0"/>
                  <w:vAlign w:val="center"/>
                </w:tcPr>
                <w:p w14:paraId="6979E5BF">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default" w:cs="Times New Roman"/>
                      <w:snapToGrid w:val="0"/>
                      <w:color w:val="auto"/>
                      <w:kern w:val="24"/>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5户，约15人</w:t>
                  </w:r>
                </w:p>
              </w:tc>
              <w:tc>
                <w:tcPr>
                  <w:tcW w:w="978" w:type="dxa"/>
                  <w:noWrap w:val="0"/>
                  <w:vAlign w:val="center"/>
                </w:tcPr>
                <w:p w14:paraId="616EC240">
                  <w:pPr>
                    <w:keepNext w:val="0"/>
                    <w:keepLines w:val="0"/>
                    <w:pageBreakBefore w:val="0"/>
                    <w:widowControl w:val="0"/>
                    <w:kinsoku/>
                    <w:wordWrap/>
                    <w:overflowPunct/>
                    <w:topLinePunct w:val="0"/>
                    <w:autoSpaceDE/>
                    <w:autoSpaceDN/>
                    <w:bidi w:val="0"/>
                    <w:adjustRightInd w:val="0"/>
                    <w:snapToGrid w:val="0"/>
                    <w:spacing w:before="0" w:after="0" w:line="280" w:lineRule="exact"/>
                    <w:ind w:firstLine="0" w:firstLineChars="0"/>
                    <w:jc w:val="center"/>
                    <w:textAlignment w:val="auto"/>
                    <w:rPr>
                      <w:rFonts w:hint="eastAsia" w:ascii="Times New Roman" w:hAnsi="Times New Roman" w:eastAsia="宋体" w:cs="Times New Roman"/>
                      <w:bCs/>
                      <w:color w:val="auto"/>
                      <w:spacing w:val="0"/>
                      <w:kern w:val="0"/>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南</w:t>
                  </w:r>
                </w:p>
              </w:tc>
              <w:tc>
                <w:tcPr>
                  <w:tcW w:w="1093" w:type="dxa"/>
                  <w:noWrap w:val="0"/>
                  <w:vAlign w:val="center"/>
                </w:tcPr>
                <w:p w14:paraId="15B21D45">
                  <w:pPr>
                    <w:keepNext w:val="0"/>
                    <w:keepLines w:val="0"/>
                    <w:pageBreakBefore w:val="0"/>
                    <w:widowControl w:val="0"/>
                    <w:kinsoku/>
                    <w:wordWrap/>
                    <w:overflowPunct/>
                    <w:topLinePunct w:val="0"/>
                    <w:autoSpaceDE/>
                    <w:autoSpaceDN/>
                    <w:bidi w:val="0"/>
                    <w:spacing w:before="0" w:after="0" w:line="280" w:lineRule="exact"/>
                    <w:ind w:firstLine="0" w:firstLineChars="0"/>
                    <w:jc w:val="center"/>
                    <w:textAlignment w:val="auto"/>
                    <w:rPr>
                      <w:rFonts w:hint="default" w:ascii="Times New Roman" w:hAnsi="Times New Roman" w:eastAsia="宋体" w:cs="Times New Roman"/>
                      <w:bCs/>
                      <w:color w:val="auto"/>
                      <w:spacing w:val="0"/>
                      <w:kern w:val="0"/>
                      <w:sz w:val="18"/>
                      <w:szCs w:val="18"/>
                      <w:highlight w:val="none"/>
                      <w:u w:val="none" w:color="auto"/>
                      <w:lang w:val="en-US" w:eastAsia="zh-CN" w:bidi="ar-SA"/>
                    </w:rPr>
                  </w:pPr>
                  <w:r>
                    <w:rPr>
                      <w:rFonts w:hint="eastAsia" w:cs="Times New Roman"/>
                      <w:snapToGrid w:val="0"/>
                      <w:color w:val="auto"/>
                      <w:kern w:val="24"/>
                      <w:sz w:val="18"/>
                      <w:szCs w:val="18"/>
                      <w:highlight w:val="none"/>
                      <w:u w:val="none" w:color="auto"/>
                      <w:lang w:val="en-US" w:eastAsia="zh-CN" w:bidi="ar-SA"/>
                    </w:rPr>
                    <w:t>8-30</w:t>
                  </w:r>
                </w:p>
              </w:tc>
            </w:tr>
          </w:tbl>
          <w:p w14:paraId="4EF87C77">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auto"/>
                <w:sz w:val="24"/>
                <w:szCs w:val="24"/>
                <w:highlight w:val="none"/>
                <w:u w:val="none" w:color="auto"/>
              </w:rPr>
            </w:pPr>
            <w:r>
              <w:rPr>
                <w:rFonts w:hint="eastAsia" w:ascii="Times New Roman" w:hAnsi="Times New Roman" w:eastAsia="宋体" w:cs="Times New Roman"/>
                <w:b/>
                <w:bCs/>
                <w:color w:val="auto"/>
                <w:sz w:val="24"/>
                <w:szCs w:val="24"/>
                <w:highlight w:val="none"/>
                <w:u w:val="none" w:color="auto"/>
                <w:lang w:val="en-US" w:eastAsia="zh-CN"/>
              </w:rPr>
              <w:t>4、</w:t>
            </w:r>
            <w:r>
              <w:rPr>
                <w:rFonts w:hint="default" w:ascii="Times New Roman" w:hAnsi="Times New Roman" w:eastAsia="宋体" w:cs="Times New Roman"/>
                <w:b/>
                <w:bCs/>
                <w:color w:val="auto"/>
                <w:sz w:val="24"/>
                <w:szCs w:val="24"/>
                <w:highlight w:val="none"/>
                <w:u w:val="none" w:color="auto"/>
              </w:rPr>
              <w:t>生态环境</w:t>
            </w:r>
          </w:p>
          <w:p w14:paraId="51A6B70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color w:val="auto"/>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本</w:t>
            </w:r>
            <w:r>
              <w:rPr>
                <w:rFonts w:hint="default" w:ascii="Times New Roman" w:hAnsi="Times New Roman" w:eastAsia="宋体" w:cs="Times New Roman"/>
                <w:color w:val="auto"/>
                <w:sz w:val="24"/>
                <w:szCs w:val="24"/>
                <w:highlight w:val="none"/>
                <w:u w:val="none" w:color="auto"/>
              </w:rPr>
              <w:t>项目</w:t>
            </w:r>
            <w:r>
              <w:rPr>
                <w:rFonts w:hint="eastAsia" w:ascii="Times New Roman" w:hAnsi="Times New Roman" w:eastAsia="宋体" w:cs="Times New Roman"/>
                <w:color w:val="auto"/>
                <w:sz w:val="24"/>
                <w:szCs w:val="24"/>
                <w:highlight w:val="none"/>
                <w:u w:val="none" w:color="auto"/>
                <w:lang w:val="en-US" w:eastAsia="zh-CN"/>
              </w:rPr>
              <w:t>位于湘潭县易俗河镇飞龙村龙大组内</w:t>
            </w:r>
            <w:r>
              <w:rPr>
                <w:rFonts w:hint="default" w:ascii="Times New Roman" w:hAnsi="Times New Roman" w:eastAsia="宋体"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rPr>
              <w:t>项目用地范围内不涉及生态环境保护目标。</w:t>
            </w:r>
          </w:p>
        </w:tc>
      </w:tr>
      <w:tr w14:paraId="5E5201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92" w:hRule="atLeast"/>
        </w:trPr>
        <w:tc>
          <w:tcPr>
            <w:tcW w:w="719" w:type="dxa"/>
            <w:noWrap w:val="0"/>
            <w:tcMar>
              <w:left w:w="28" w:type="dxa"/>
              <w:right w:w="28" w:type="dxa"/>
            </w:tcMar>
            <w:vAlign w:val="center"/>
          </w:tcPr>
          <w:p w14:paraId="3BD69714">
            <w:pPr>
              <w:adjustRightInd w:val="0"/>
              <w:snapToGrid w:val="0"/>
              <w:jc w:val="center"/>
              <w:rPr>
                <w:rFonts w:hint="default" w:ascii="Times New Roman" w:hAnsi="Times New Roman" w:eastAsia="宋体" w:cs="Times New Roman"/>
                <w:color w:val="auto"/>
                <w:kern w:val="0"/>
                <w:sz w:val="21"/>
                <w:szCs w:val="21"/>
                <w:highlight w:val="yellow"/>
                <w:u w:val="none" w:color="auto"/>
              </w:rPr>
            </w:pPr>
            <w:r>
              <w:rPr>
                <w:rFonts w:hint="default" w:ascii="Times New Roman" w:hAnsi="Times New Roman" w:eastAsia="宋体" w:cs="Times New Roman"/>
                <w:color w:val="auto"/>
                <w:kern w:val="0"/>
                <w:sz w:val="21"/>
                <w:szCs w:val="21"/>
                <w:highlight w:val="none"/>
                <w:u w:val="none" w:color="auto"/>
              </w:rPr>
              <w:t>污染物排放控制标准</w:t>
            </w:r>
          </w:p>
        </w:tc>
        <w:tc>
          <w:tcPr>
            <w:tcW w:w="8380" w:type="dxa"/>
            <w:noWrap w:val="0"/>
            <w:vAlign w:val="center"/>
          </w:tcPr>
          <w:p w14:paraId="7649585A">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482" w:firstLineChars="200"/>
              <w:jc w:val="left"/>
              <w:textAlignment w:val="auto"/>
              <w:rPr>
                <w:rFonts w:hint="default" w:ascii="Times New Roman" w:hAnsi="Times New Roman" w:eastAsia="宋体" w:cs="Times New Roman"/>
                <w:b/>
                <w:bCs/>
                <w:color w:val="auto"/>
                <w:sz w:val="24"/>
                <w:szCs w:val="24"/>
                <w:highlight w:val="none"/>
                <w:u w:val="none" w:color="auto"/>
              </w:rPr>
            </w:pPr>
            <w:r>
              <w:rPr>
                <w:rFonts w:hint="default" w:ascii="Times New Roman" w:hAnsi="Times New Roman" w:eastAsia="宋体" w:cs="Times New Roman"/>
                <w:b/>
                <w:bCs/>
                <w:i w:val="0"/>
                <w:iCs w:val="0"/>
                <w:color w:val="auto"/>
                <w:sz w:val="24"/>
                <w:szCs w:val="24"/>
                <w:highlight w:val="none"/>
                <w:u w:val="none" w:color="auto"/>
                <w:lang w:val="en-US" w:eastAsia="zh-CN"/>
              </w:rPr>
              <w:t>1、废水</w:t>
            </w:r>
            <w:r>
              <w:rPr>
                <w:rFonts w:hint="default" w:ascii="Times New Roman" w:hAnsi="Times New Roman" w:eastAsia="宋体" w:cs="Times New Roman"/>
                <w:b/>
                <w:bCs/>
                <w:i w:val="0"/>
                <w:iCs w:val="0"/>
                <w:color w:val="auto"/>
                <w:sz w:val="24"/>
                <w:szCs w:val="24"/>
                <w:highlight w:val="none"/>
                <w:u w:val="none" w:color="auto"/>
                <w:lang w:val="en-US"/>
              </w:rPr>
              <w:t>排放标准</w:t>
            </w:r>
          </w:p>
          <w:p w14:paraId="63B1606E">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color w:val="auto"/>
                <w:sz w:val="24"/>
                <w:szCs w:val="24"/>
                <w:highlight w:val="none"/>
                <w:u w:val="none" w:color="auto"/>
                <w:lang w:val="en-US" w:eastAsia="zh-CN"/>
              </w:rPr>
            </w:pPr>
            <w:r>
              <w:rPr>
                <w:rFonts w:hint="eastAsia" w:ascii="Calibri" w:eastAsia="宋体"/>
                <w:color w:val="auto"/>
                <w:sz w:val="24"/>
                <w:szCs w:val="24"/>
                <w:highlight w:val="none"/>
                <w:u w:val="none" w:color="auto"/>
                <w:lang w:val="en-US" w:eastAsia="zh-CN"/>
              </w:rPr>
              <w:t>生活污水经化粪池处理后用于周边林地浇灌，不外排。水帘废水作为危险废物处置，委托有资质单位外运处置，不外排。</w:t>
            </w:r>
          </w:p>
          <w:p w14:paraId="17F2A03B">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482" w:firstLineChars="200"/>
              <w:jc w:val="left"/>
              <w:textAlignment w:val="auto"/>
              <w:rPr>
                <w:rFonts w:hint="default" w:ascii="Times New Roman" w:hAnsi="Times New Roman" w:eastAsia="宋体" w:cs="Times New Roman"/>
                <w:b/>
                <w:bCs/>
                <w:i w:val="0"/>
                <w:iCs w:val="0"/>
                <w:color w:val="auto"/>
                <w:sz w:val="24"/>
                <w:szCs w:val="24"/>
                <w:highlight w:val="none"/>
                <w:u w:val="none" w:color="auto"/>
                <w:lang w:val="en-US" w:eastAsia="zh-CN"/>
              </w:rPr>
            </w:pPr>
            <w:r>
              <w:rPr>
                <w:rFonts w:hint="eastAsia" w:ascii="Times New Roman" w:hAnsi="Times New Roman" w:eastAsia="宋体" w:cs="Times New Roman"/>
                <w:b/>
                <w:bCs/>
                <w:i w:val="0"/>
                <w:iCs w:val="0"/>
                <w:color w:val="auto"/>
                <w:sz w:val="24"/>
                <w:szCs w:val="24"/>
                <w:highlight w:val="none"/>
                <w:u w:val="none" w:color="auto"/>
                <w:lang w:val="en-US" w:eastAsia="zh-CN"/>
              </w:rPr>
              <w:t>2、</w:t>
            </w:r>
            <w:r>
              <w:rPr>
                <w:rFonts w:hint="default" w:ascii="Times New Roman" w:hAnsi="Times New Roman" w:eastAsia="宋体" w:cs="Times New Roman"/>
                <w:b/>
                <w:bCs/>
                <w:i w:val="0"/>
                <w:iCs w:val="0"/>
                <w:color w:val="auto"/>
                <w:sz w:val="24"/>
                <w:szCs w:val="24"/>
                <w:highlight w:val="none"/>
                <w:u w:val="none" w:color="auto"/>
                <w:lang w:val="en-US" w:eastAsia="zh-CN"/>
              </w:rPr>
              <w:t>大气污染物排放标准</w:t>
            </w:r>
          </w:p>
          <w:p w14:paraId="5998F00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有组织</w:t>
            </w:r>
            <w:r>
              <w:rPr>
                <w:rFonts w:hint="eastAsia" w:cs="Times New Roman"/>
                <w:color w:val="auto"/>
                <w:sz w:val="24"/>
                <w:szCs w:val="24"/>
                <w:highlight w:val="none"/>
                <w:u w:val="none" w:color="auto"/>
                <w:lang w:val="en-US" w:eastAsia="zh-CN"/>
              </w:rPr>
              <w:t>废气DA001、DA002</w:t>
            </w:r>
            <w:r>
              <w:rPr>
                <w:rFonts w:hint="default" w:ascii="Times New Roman" w:hAnsi="Times New Roman" w:eastAsia="宋体" w:cs="Times New Roman"/>
                <w:color w:val="auto"/>
                <w:sz w:val="24"/>
                <w:szCs w:val="24"/>
                <w:highlight w:val="none"/>
                <w:u w:val="none" w:color="auto"/>
                <w:lang w:val="en-US" w:eastAsia="zh-CN"/>
              </w:rPr>
              <w:t>二甲苯、甲苯、挥发性有机物排放执行湖南省地方标准《表面涂装（汽车制造及维修）挥发性有机物、镍排放标准》（DB43/1356-2017）表1中排放标准，有组织</w:t>
            </w:r>
            <w:r>
              <w:rPr>
                <w:rFonts w:hint="eastAsia" w:cs="Times New Roman"/>
                <w:color w:val="auto"/>
                <w:sz w:val="24"/>
                <w:szCs w:val="24"/>
                <w:highlight w:val="none"/>
                <w:u w:val="none" w:color="auto"/>
                <w:lang w:val="en-US" w:eastAsia="zh-CN"/>
              </w:rPr>
              <w:t>废气DA001</w:t>
            </w:r>
            <w:r>
              <w:rPr>
                <w:rFonts w:hint="default" w:ascii="Times New Roman" w:hAnsi="Times New Roman" w:eastAsia="宋体" w:cs="Times New Roman"/>
                <w:color w:val="auto"/>
                <w:sz w:val="24"/>
                <w:szCs w:val="24"/>
                <w:highlight w:val="none"/>
                <w:u w:val="none" w:color="auto"/>
                <w:lang w:val="en-US" w:eastAsia="zh-CN"/>
              </w:rPr>
              <w:t>颗粒物、二氧化硫、氮氧化物执行《</w:t>
            </w:r>
            <w:r>
              <w:rPr>
                <w:rFonts w:hint="default" w:ascii="Times New Roman" w:hAnsi="Times New Roman" w:eastAsia="宋体" w:cs="Times New Roman"/>
                <w:color w:val="auto"/>
                <w:sz w:val="24"/>
                <w:szCs w:val="24"/>
                <w:highlight w:val="none"/>
                <w:u w:val="none" w:color="auto"/>
                <w:lang w:val="en-US" w:eastAsia="zh-CN"/>
              </w:rPr>
              <w:fldChar w:fldCharType="begin"/>
            </w:r>
            <w:r>
              <w:rPr>
                <w:rFonts w:hint="default" w:ascii="Times New Roman" w:hAnsi="Times New Roman" w:eastAsia="宋体" w:cs="Times New Roman"/>
                <w:color w:val="auto"/>
                <w:sz w:val="24"/>
                <w:szCs w:val="24"/>
                <w:highlight w:val="none"/>
                <w:u w:val="none" w:color="auto"/>
                <w:lang w:val="en-US" w:eastAsia="zh-CN"/>
              </w:rPr>
              <w:instrText xml:space="preserve"> HYPERLINK "https://www.so.com/link?m=uw3yJF+xPh8N0ci4NRmDz37M5GnDJers+WT0X9NSL3g46v8vcLt0Pqh/4zB2vxVir2UoPeYvf/VDDkAELAA9mg4YWmeX7TnVzyHrv4HeFFMbohsYPSNrzd7bVLFbDGZReZPdFk9vdQ3qnfqX6JvTHGEqQd/QVdNMu5YwF9Ji3pwREO0JqIxByRu74S9vIw7e3gn9hx8z2peCaiYDsxpSCQURyYkP1JtRA2kNKLD+2d+crb2JiPFMqQRo8256S9RKJP5QcB0Grx4Djf2KtFMj1mSUdbWconPHWWncLll3yQM/hNWDySGFdRgcmXG1fTXZsskA4xm+Oibv370hSxFPu8NgkC9zVYOzm819WC6IHOIZFSrrHI3baBaylKSW3RlEwlMv4VqvsbhYhL66nWDYmGY75mq+RXKcK7vYBkUGRmqDQHmol" \t "https://www.so.com/_blank" </w:instrText>
            </w:r>
            <w:r>
              <w:rPr>
                <w:rFonts w:hint="default" w:ascii="Times New Roman" w:hAnsi="Times New Roman" w:eastAsia="宋体" w:cs="Times New Roman"/>
                <w:color w:val="auto"/>
                <w:sz w:val="24"/>
                <w:szCs w:val="24"/>
                <w:highlight w:val="none"/>
                <w:u w:val="none" w:color="auto"/>
                <w:lang w:val="en-US" w:eastAsia="zh-CN"/>
              </w:rPr>
              <w:fldChar w:fldCharType="separate"/>
            </w:r>
            <w:r>
              <w:rPr>
                <w:rFonts w:hint="default" w:ascii="Times New Roman" w:hAnsi="Times New Roman" w:eastAsia="宋体" w:cs="Times New Roman"/>
                <w:color w:val="auto"/>
                <w:sz w:val="24"/>
                <w:szCs w:val="24"/>
                <w:highlight w:val="none"/>
                <w:u w:val="none" w:color="auto"/>
                <w:lang w:val="en-US" w:eastAsia="zh-CN"/>
              </w:rPr>
              <w:t>湖南省工业炉窑大气污染综合治理实施方案》（湘环发〔2020〕6号）</w:t>
            </w:r>
            <w:r>
              <w:rPr>
                <w:rFonts w:hint="default" w:ascii="Times New Roman" w:hAnsi="Times New Roman" w:eastAsia="宋体" w:cs="Times New Roman"/>
                <w:color w:val="auto"/>
                <w:sz w:val="24"/>
                <w:szCs w:val="24"/>
                <w:highlight w:val="none"/>
                <w:u w:val="none" w:color="auto"/>
                <w:lang w:val="en-US" w:eastAsia="zh-CN"/>
              </w:rPr>
              <w:fldChar w:fldCharType="end"/>
            </w:r>
            <w:r>
              <w:rPr>
                <w:rFonts w:hint="eastAsia" w:cs="Times New Roman"/>
                <w:color w:val="auto"/>
                <w:sz w:val="24"/>
                <w:szCs w:val="24"/>
                <w:highlight w:val="none"/>
                <w:u w:val="none" w:color="auto"/>
                <w:lang w:val="en-US" w:eastAsia="zh-CN"/>
              </w:rPr>
              <w:t>中限值要求，</w:t>
            </w:r>
            <w:r>
              <w:rPr>
                <w:rFonts w:hint="default" w:ascii="Times New Roman" w:hAnsi="Times New Roman" w:eastAsia="宋体" w:cs="Times New Roman"/>
                <w:color w:val="auto"/>
                <w:sz w:val="24"/>
                <w:szCs w:val="24"/>
                <w:highlight w:val="none"/>
                <w:u w:val="none" w:color="auto"/>
                <w:lang w:val="en-US" w:eastAsia="zh-CN"/>
              </w:rPr>
              <w:t>有组织</w:t>
            </w:r>
            <w:r>
              <w:rPr>
                <w:rFonts w:hint="eastAsia" w:cs="Times New Roman"/>
                <w:color w:val="auto"/>
                <w:sz w:val="24"/>
                <w:szCs w:val="24"/>
                <w:highlight w:val="none"/>
                <w:u w:val="none" w:color="auto"/>
                <w:lang w:val="en-US" w:eastAsia="zh-CN"/>
              </w:rPr>
              <w:t>废气DA002</w:t>
            </w:r>
            <w:r>
              <w:rPr>
                <w:rFonts w:hint="default" w:ascii="Times New Roman" w:hAnsi="Times New Roman" w:eastAsia="宋体" w:cs="Times New Roman"/>
                <w:color w:val="auto"/>
                <w:sz w:val="24"/>
                <w:szCs w:val="24"/>
                <w:highlight w:val="none"/>
                <w:u w:val="none" w:color="auto"/>
                <w:lang w:val="en-US" w:eastAsia="zh-CN"/>
              </w:rPr>
              <w:t>颗粒物</w:t>
            </w:r>
            <w:r>
              <w:rPr>
                <w:rFonts w:hint="eastAsia" w:cs="Times New Roman"/>
                <w:color w:val="auto"/>
                <w:sz w:val="24"/>
                <w:szCs w:val="24"/>
                <w:highlight w:val="none"/>
                <w:u w:val="none" w:color="auto"/>
                <w:lang w:val="en-US" w:eastAsia="zh-CN"/>
              </w:rPr>
              <w:t>执行《大气污染物综合排放标准》（GB16297-1996）表2中的二级排放标准</w:t>
            </w:r>
            <w:r>
              <w:rPr>
                <w:rFonts w:hint="default" w:ascii="Times New Roman" w:hAnsi="Times New Roman" w:eastAsia="宋体" w:cs="Times New Roman"/>
                <w:color w:val="auto"/>
                <w:sz w:val="24"/>
                <w:szCs w:val="24"/>
                <w:highlight w:val="none"/>
                <w:u w:val="none" w:color="auto"/>
                <w:lang w:val="en-US" w:eastAsia="zh-CN"/>
              </w:rPr>
              <w:t>；无组织挥发性有机物执行湖南省地方标准《表面涂装（汽车制造及维修）挥发性有机物、镍排放标准》（DB43/1356-2017）表3中排放标准，甲苯、二甲苯、颗粒物</w:t>
            </w:r>
            <w:r>
              <w:rPr>
                <w:rFonts w:hint="eastAsia" w:cs="Times New Roman"/>
                <w:color w:val="auto"/>
                <w:sz w:val="24"/>
                <w:szCs w:val="24"/>
                <w:highlight w:val="none"/>
                <w:u w:val="none" w:color="auto"/>
                <w:lang w:val="en-US" w:eastAsia="zh-CN"/>
              </w:rPr>
              <w:t>、二氧化硫、氮氧化物</w:t>
            </w:r>
            <w:r>
              <w:rPr>
                <w:rFonts w:hint="default" w:ascii="Times New Roman" w:hAnsi="Times New Roman" w:eastAsia="宋体" w:cs="Times New Roman"/>
                <w:color w:val="auto"/>
                <w:sz w:val="24"/>
                <w:szCs w:val="24"/>
                <w:highlight w:val="none"/>
                <w:u w:val="none" w:color="auto"/>
                <w:lang w:val="en-US" w:eastAsia="zh-CN"/>
              </w:rPr>
              <w:t>执行《大气污染物综合排放标准》（GB16297-1996）无组织排放浓度限值。</w:t>
            </w:r>
          </w:p>
          <w:p w14:paraId="0C1AE923">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eastAsia="宋体" w:cs="Times New Roman"/>
                <w:color w:val="auto"/>
                <w:sz w:val="24"/>
                <w:szCs w:val="24"/>
                <w:highlight w:val="none"/>
                <w:u w:val="none" w:color="auto"/>
                <w:lang w:eastAsia="zh-CN"/>
              </w:rPr>
            </w:pPr>
            <w:r>
              <w:rPr>
                <w:rFonts w:hint="default" w:ascii="Times New Roman" w:hAnsi="Times New Roman" w:eastAsia="宋体" w:cs="Times New Roman"/>
                <w:color w:val="auto"/>
                <w:kern w:val="0"/>
                <w:sz w:val="24"/>
                <w:szCs w:val="24"/>
                <w:highlight w:val="none"/>
                <w:u w:val="none" w:color="auto"/>
                <w:lang w:val="en-US" w:eastAsia="zh-CN"/>
              </w:rPr>
              <w:t>厂区内</w:t>
            </w:r>
            <w:r>
              <w:rPr>
                <w:rFonts w:hint="default" w:ascii="Times New Roman" w:hAnsi="Times New Roman" w:eastAsia="宋体" w:cs="Times New Roman"/>
                <w:color w:val="auto"/>
                <w:kern w:val="0"/>
                <w:sz w:val="24"/>
                <w:szCs w:val="24"/>
                <w:highlight w:val="none"/>
                <w:u w:val="none" w:color="auto"/>
                <w:lang w:val="en-US"/>
              </w:rPr>
              <w:t>VOCs无组织排放执行《挥发性有机物无组织排放控制标准》（GB37822-2019）</w:t>
            </w:r>
            <w:r>
              <w:rPr>
                <w:rFonts w:hint="default" w:ascii="Times New Roman" w:hAnsi="Times New Roman" w:eastAsia="宋体" w:cs="Times New Roman"/>
                <w:color w:val="auto"/>
                <w:kern w:val="0"/>
                <w:sz w:val="24"/>
                <w:szCs w:val="24"/>
                <w:highlight w:val="none"/>
                <w:u w:val="none" w:color="auto"/>
                <w:lang w:val="en-US" w:eastAsia="zh-CN"/>
              </w:rPr>
              <w:t>表A.1厂区内</w:t>
            </w:r>
            <w:r>
              <w:rPr>
                <w:rFonts w:hint="default" w:ascii="Times New Roman" w:hAnsi="Times New Roman" w:eastAsia="宋体" w:cs="Times New Roman"/>
                <w:color w:val="auto"/>
                <w:kern w:val="0"/>
                <w:sz w:val="24"/>
                <w:szCs w:val="24"/>
                <w:highlight w:val="none"/>
                <w:u w:val="none" w:color="auto"/>
                <w:lang w:val="en-US"/>
              </w:rPr>
              <w:t>VOCs</w:t>
            </w:r>
            <w:r>
              <w:rPr>
                <w:rFonts w:hint="default" w:ascii="Times New Roman" w:hAnsi="Times New Roman" w:eastAsia="宋体" w:cs="Times New Roman"/>
                <w:color w:val="auto"/>
                <w:kern w:val="0"/>
                <w:sz w:val="24"/>
                <w:szCs w:val="24"/>
                <w:highlight w:val="none"/>
                <w:u w:val="none" w:color="auto"/>
                <w:lang w:val="en-US" w:eastAsia="zh-CN"/>
              </w:rPr>
              <w:t>无组织排放限值（</w:t>
            </w:r>
            <w:r>
              <w:rPr>
                <w:rFonts w:hint="default" w:ascii="Times New Roman" w:hAnsi="Times New Roman" w:eastAsia="宋体" w:cs="Times New Roman"/>
                <w:color w:val="auto"/>
                <w:kern w:val="0"/>
                <w:sz w:val="24"/>
                <w:szCs w:val="24"/>
                <w:highlight w:val="none"/>
                <w:u w:val="none" w:color="auto"/>
                <w:lang w:val="en-US"/>
              </w:rPr>
              <w:t>监控点处1h平均浓度值10mg/m</w:t>
            </w:r>
            <w:r>
              <w:rPr>
                <w:rFonts w:hint="default" w:ascii="Times New Roman" w:hAnsi="Times New Roman" w:eastAsia="宋体" w:cs="Times New Roman"/>
                <w:color w:val="auto"/>
                <w:kern w:val="0"/>
                <w:sz w:val="24"/>
                <w:szCs w:val="24"/>
                <w:highlight w:val="none"/>
                <w:u w:val="none" w:color="auto"/>
                <w:vertAlign w:val="superscript"/>
                <w:lang w:val="en-US"/>
              </w:rPr>
              <w:t>3</w:t>
            </w:r>
            <w:r>
              <w:rPr>
                <w:rFonts w:hint="default" w:ascii="Times New Roman" w:hAnsi="Times New Roman" w:eastAsia="宋体" w:cs="Times New Roman"/>
                <w:color w:val="auto"/>
                <w:kern w:val="0"/>
                <w:sz w:val="24"/>
                <w:szCs w:val="24"/>
                <w:highlight w:val="none"/>
                <w:u w:val="none" w:color="auto"/>
                <w:lang w:val="en-US" w:eastAsia="zh-CN"/>
              </w:rPr>
              <w:t>；</w:t>
            </w:r>
            <w:r>
              <w:rPr>
                <w:rFonts w:hint="default" w:ascii="Times New Roman" w:hAnsi="Times New Roman" w:eastAsia="宋体" w:cs="Times New Roman"/>
                <w:color w:val="auto"/>
                <w:kern w:val="0"/>
                <w:sz w:val="24"/>
                <w:szCs w:val="24"/>
                <w:highlight w:val="none"/>
                <w:u w:val="none" w:color="auto"/>
                <w:lang w:val="en-US"/>
              </w:rPr>
              <w:t>监控点处任意一次浓度值30mg/m</w:t>
            </w:r>
            <w:r>
              <w:rPr>
                <w:rFonts w:hint="default" w:ascii="Times New Roman" w:hAnsi="Times New Roman" w:eastAsia="宋体" w:cs="Times New Roman"/>
                <w:color w:val="auto"/>
                <w:kern w:val="0"/>
                <w:sz w:val="24"/>
                <w:szCs w:val="24"/>
                <w:highlight w:val="none"/>
                <w:u w:val="none" w:color="auto"/>
                <w:vertAlign w:val="superscript"/>
                <w:lang w:val="en-US"/>
              </w:rPr>
              <w:t>3</w:t>
            </w:r>
            <w:r>
              <w:rPr>
                <w:rFonts w:hint="default" w:ascii="Times New Roman" w:hAnsi="Times New Roman" w:eastAsia="宋体" w:cs="Times New Roman"/>
                <w:color w:val="auto"/>
                <w:kern w:val="0"/>
                <w:sz w:val="24"/>
                <w:szCs w:val="24"/>
                <w:highlight w:val="none"/>
                <w:u w:val="none" w:color="auto"/>
                <w:lang w:val="en-US" w:eastAsia="zh-CN"/>
              </w:rPr>
              <w:t>）</w:t>
            </w:r>
            <w:r>
              <w:rPr>
                <w:rFonts w:hint="eastAsia" w:cs="Times New Roman"/>
                <w:color w:val="auto"/>
                <w:kern w:val="0"/>
                <w:sz w:val="24"/>
                <w:szCs w:val="24"/>
                <w:highlight w:val="none"/>
                <w:u w:val="none" w:color="auto"/>
                <w:lang w:val="en-US" w:eastAsia="zh-CN"/>
              </w:rPr>
              <w:t>。</w:t>
            </w:r>
          </w:p>
          <w:p w14:paraId="61D46AC9">
            <w:pPr>
              <w:keepNext w:val="0"/>
              <w:keepLines w:val="0"/>
              <w:pageBreakBefore w:val="0"/>
              <w:widowControl w:val="0"/>
              <w:kinsoku/>
              <w:wordWrap/>
              <w:overflowPunct/>
              <w:topLinePunct w:val="0"/>
              <w:autoSpaceDE/>
              <w:autoSpaceDN/>
              <w:bidi w:val="0"/>
              <w:adjustRightInd/>
              <w:snapToGrid/>
              <w:spacing w:line="480" w:lineRule="exact"/>
              <w:ind w:firstLine="468" w:firstLineChars="200"/>
              <w:textAlignment w:val="auto"/>
              <w:rPr>
                <w:rFonts w:hint="eastAsia" w:ascii="Times New Roman" w:hAnsi="Times New Roman" w:eastAsia="宋体" w:cs="Times New Roman"/>
                <w:b/>
                <w:bCs/>
                <w:snapToGrid/>
                <w:color w:val="auto"/>
                <w:kern w:val="2"/>
                <w:sz w:val="21"/>
                <w:szCs w:val="21"/>
                <w:highlight w:val="none"/>
                <w:u w:val="none" w:color="auto"/>
                <w:lang w:val="en-US" w:eastAsia="zh-CN" w:bidi="ar"/>
              </w:rPr>
            </w:pPr>
            <w:r>
              <w:rPr>
                <w:color w:val="auto"/>
                <w:spacing w:val="-3"/>
                <w:sz w:val="24"/>
                <w:szCs w:val="24"/>
                <w:highlight w:val="none"/>
                <w:u w:val="none" w:color="auto"/>
              </w:rPr>
              <w:t>具体标准限值详见下表。</w:t>
            </w:r>
          </w:p>
          <w:p w14:paraId="5845A7F6">
            <w:pPr>
              <w:keepNext w:val="0"/>
              <w:keepLines w:val="0"/>
              <w:widowControl w:val="0"/>
              <w:suppressLineNumbers w:val="0"/>
              <w:spacing w:before="0" w:beforeAutospacing="0" w:after="0" w:afterAutospacing="0" w:line="360" w:lineRule="exact"/>
              <w:ind w:left="0" w:right="0" w:firstLine="0" w:firstLineChars="0"/>
              <w:jc w:val="center"/>
              <w:outlineLvl w:val="9"/>
              <w:rPr>
                <w:rFonts w:hint="eastAsia" w:ascii="Times New Roman" w:hAnsi="Times New Roman" w:eastAsia="宋体" w:cs="Times New Roman"/>
                <w:b/>
                <w:bCs/>
                <w:snapToGrid/>
                <w:color w:val="auto"/>
                <w:kern w:val="2"/>
                <w:sz w:val="21"/>
                <w:szCs w:val="21"/>
                <w:highlight w:val="none"/>
                <w:u w:val="none" w:color="auto"/>
                <w:lang w:val="en-US" w:eastAsia="zh-CN" w:bidi="ar"/>
              </w:rPr>
            </w:pPr>
          </w:p>
          <w:p w14:paraId="7A483127">
            <w:pPr>
              <w:keepNext w:val="0"/>
              <w:keepLines w:val="0"/>
              <w:widowControl w:val="0"/>
              <w:suppressLineNumbers w:val="0"/>
              <w:spacing w:before="0" w:beforeAutospacing="0" w:after="0" w:afterAutospacing="0" w:line="360" w:lineRule="exact"/>
              <w:ind w:left="0" w:right="0" w:firstLine="0" w:firstLineChars="0"/>
              <w:jc w:val="center"/>
              <w:outlineLvl w:val="9"/>
              <w:rPr>
                <w:rFonts w:hint="eastAsia" w:ascii="Times New Roman" w:hAnsi="Times New Roman" w:eastAsia="宋体" w:cs="Times New Roman"/>
                <w:b/>
                <w:bCs/>
                <w:snapToGrid/>
                <w:color w:val="auto"/>
                <w:kern w:val="2"/>
                <w:sz w:val="21"/>
                <w:szCs w:val="21"/>
                <w:highlight w:val="none"/>
                <w:u w:val="none" w:color="auto"/>
                <w:lang w:val="en-US" w:eastAsia="zh-CN" w:bidi="ar"/>
              </w:rPr>
            </w:pPr>
          </w:p>
          <w:p w14:paraId="1184087B">
            <w:pPr>
              <w:keepNext w:val="0"/>
              <w:keepLines w:val="0"/>
              <w:widowControl w:val="0"/>
              <w:suppressLineNumbers w:val="0"/>
              <w:spacing w:before="0" w:beforeAutospacing="0" w:after="0" w:afterAutospacing="0" w:line="360" w:lineRule="exact"/>
              <w:ind w:left="0" w:right="0" w:firstLine="0" w:firstLineChars="0"/>
              <w:jc w:val="center"/>
              <w:outlineLvl w:val="9"/>
              <w:rPr>
                <w:rFonts w:hint="eastAsia" w:ascii="Times New Roman" w:hAnsi="Times New Roman" w:eastAsia="宋体" w:cs="Times New Roman"/>
                <w:b/>
                <w:bCs/>
                <w:snapToGrid/>
                <w:color w:val="auto"/>
                <w:kern w:val="2"/>
                <w:sz w:val="21"/>
                <w:szCs w:val="21"/>
                <w:highlight w:val="none"/>
                <w:u w:val="none" w:color="auto"/>
                <w:lang w:val="en-US" w:eastAsia="zh-CN" w:bidi="ar"/>
              </w:rPr>
            </w:pPr>
          </w:p>
          <w:p w14:paraId="392512C6">
            <w:pPr>
              <w:keepNext w:val="0"/>
              <w:keepLines w:val="0"/>
              <w:widowControl w:val="0"/>
              <w:suppressLineNumbers w:val="0"/>
              <w:spacing w:before="0" w:beforeAutospacing="0" w:after="0" w:afterAutospacing="0" w:line="360" w:lineRule="exact"/>
              <w:ind w:left="0" w:right="0" w:firstLine="0" w:firstLineChars="0"/>
              <w:jc w:val="both"/>
              <w:outlineLvl w:val="9"/>
              <w:rPr>
                <w:rFonts w:hint="eastAsia" w:ascii="Times New Roman" w:hAnsi="Times New Roman" w:eastAsia="宋体" w:cs="Times New Roman"/>
                <w:b/>
                <w:bCs/>
                <w:snapToGrid/>
                <w:color w:val="auto"/>
                <w:kern w:val="2"/>
                <w:sz w:val="21"/>
                <w:szCs w:val="21"/>
                <w:highlight w:val="none"/>
                <w:u w:val="none" w:color="auto"/>
                <w:lang w:val="en-US" w:eastAsia="zh-CN" w:bidi="ar"/>
              </w:rPr>
            </w:pPr>
          </w:p>
          <w:p w14:paraId="60A246A5">
            <w:pPr>
              <w:keepNext w:val="0"/>
              <w:keepLines w:val="0"/>
              <w:widowControl w:val="0"/>
              <w:suppressLineNumbers w:val="0"/>
              <w:spacing w:before="0" w:beforeAutospacing="0" w:after="0" w:afterAutospacing="0" w:line="360" w:lineRule="exact"/>
              <w:ind w:left="0" w:right="0" w:firstLine="0" w:firstLineChars="0"/>
              <w:jc w:val="center"/>
              <w:outlineLvl w:val="9"/>
              <w:rPr>
                <w:rFonts w:hint="eastAsia" w:ascii="Times New Roman" w:hAnsi="Times New Roman" w:eastAsia="宋体" w:cs="Times New Roman"/>
                <w:b/>
                <w:bCs/>
                <w:snapToGrid/>
                <w:color w:val="auto"/>
                <w:kern w:val="2"/>
                <w:sz w:val="21"/>
                <w:szCs w:val="21"/>
                <w:highlight w:val="none"/>
                <w:u w:val="none" w:color="auto"/>
                <w:lang w:val="en-US" w:eastAsia="zh-CN" w:bidi="ar"/>
              </w:rPr>
            </w:pPr>
            <w:r>
              <w:rPr>
                <w:rFonts w:hint="eastAsia" w:ascii="Times New Roman" w:hAnsi="Times New Roman" w:eastAsia="宋体" w:cs="Times New Roman"/>
                <w:b/>
                <w:bCs/>
                <w:snapToGrid/>
                <w:color w:val="auto"/>
                <w:kern w:val="2"/>
                <w:sz w:val="21"/>
                <w:szCs w:val="21"/>
                <w:highlight w:val="none"/>
                <w:u w:val="none" w:color="auto"/>
                <w:lang w:val="en-US" w:eastAsia="zh-CN" w:bidi="ar"/>
              </w:rPr>
              <w:t>表3-</w:t>
            </w:r>
            <w:r>
              <w:rPr>
                <w:rFonts w:hint="eastAsia" w:cs="Times New Roman"/>
                <w:b/>
                <w:bCs/>
                <w:snapToGrid/>
                <w:color w:val="auto"/>
                <w:kern w:val="2"/>
                <w:sz w:val="21"/>
                <w:szCs w:val="21"/>
                <w:highlight w:val="none"/>
                <w:u w:val="none" w:color="auto"/>
                <w:lang w:val="en-US" w:eastAsia="zh-CN" w:bidi="ar"/>
              </w:rPr>
              <w:t>7</w:t>
            </w:r>
            <w:r>
              <w:rPr>
                <w:rFonts w:hint="eastAsia" w:ascii="Times New Roman" w:hAnsi="Times New Roman" w:eastAsia="宋体" w:cs="Times New Roman"/>
                <w:b/>
                <w:bCs/>
                <w:snapToGrid/>
                <w:color w:val="auto"/>
                <w:kern w:val="2"/>
                <w:sz w:val="21"/>
                <w:szCs w:val="21"/>
                <w:highlight w:val="none"/>
                <w:u w:val="none" w:color="auto"/>
                <w:lang w:val="en-US" w:eastAsia="zh-CN" w:bidi="ar"/>
              </w:rPr>
              <w:t xml:space="preserve">   大气污染物有组织排放执行标准</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1154"/>
              <w:gridCol w:w="1688"/>
              <w:gridCol w:w="1286"/>
              <w:gridCol w:w="2451"/>
            </w:tblGrid>
            <w:tr w14:paraId="4DD7D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1479" w:type="dxa"/>
                  <w:vMerge w:val="restart"/>
                  <w:tcBorders>
                    <w:tl2br w:val="nil"/>
                    <w:tr2bl w:val="nil"/>
                  </w:tcBorders>
                  <w:noWrap w:val="0"/>
                  <w:vAlign w:val="center"/>
                </w:tcPr>
                <w:p w14:paraId="12BBDFF4">
                  <w:pPr>
                    <w:widowControl/>
                    <w:snapToGrid w:val="0"/>
                    <w:spacing w:before="0" w:beforeAutospacing="0" w:after="0" w:afterAutospacing="0" w:line="260" w:lineRule="exact"/>
                    <w:jc w:val="center"/>
                    <w:rPr>
                      <w:rFonts w:hint="default" w:ascii="Times New Roman" w:hAnsi="Times New Roman" w:eastAsia="宋体" w:cs="Times New Roman"/>
                      <w:b/>
                      <w:bCs/>
                      <w:color w:val="auto"/>
                      <w:kern w:val="0"/>
                      <w:sz w:val="21"/>
                      <w:szCs w:val="21"/>
                      <w:highlight w:val="none"/>
                      <w:u w:val="none" w:color="auto"/>
                      <w:lang w:val="en-US" w:eastAsia="zh-CN" w:bidi="ar-SA"/>
                    </w:rPr>
                  </w:pPr>
                  <w:r>
                    <w:rPr>
                      <w:rFonts w:hint="default" w:ascii="Times New Roman" w:hAnsi="Times New Roman" w:eastAsia="宋体" w:cs="Times New Roman"/>
                      <w:b/>
                      <w:bCs/>
                      <w:color w:val="auto"/>
                      <w:kern w:val="0"/>
                      <w:sz w:val="21"/>
                      <w:szCs w:val="21"/>
                      <w:highlight w:val="none"/>
                      <w:u w:val="none" w:color="auto"/>
                      <w:lang w:val="en-US" w:eastAsia="zh-CN" w:bidi="ar-SA"/>
                    </w:rPr>
                    <w:t>污染源</w:t>
                  </w:r>
                </w:p>
              </w:tc>
              <w:tc>
                <w:tcPr>
                  <w:tcW w:w="1154" w:type="dxa"/>
                  <w:vMerge w:val="restart"/>
                  <w:tcBorders>
                    <w:tl2br w:val="nil"/>
                    <w:tr2bl w:val="nil"/>
                  </w:tcBorders>
                  <w:noWrap w:val="0"/>
                  <w:vAlign w:val="center"/>
                </w:tcPr>
                <w:p w14:paraId="60D6E6A9">
                  <w:pPr>
                    <w:widowControl/>
                    <w:snapToGrid w:val="0"/>
                    <w:spacing w:before="0" w:beforeAutospacing="0" w:after="0" w:afterAutospacing="0" w:line="260" w:lineRule="exact"/>
                    <w:jc w:val="center"/>
                    <w:rPr>
                      <w:rFonts w:hint="default" w:ascii="Times New Roman" w:hAnsi="Times New Roman" w:eastAsia="宋体" w:cs="Times New Roman"/>
                      <w:b/>
                      <w:bCs/>
                      <w:color w:val="auto"/>
                      <w:kern w:val="24"/>
                      <w:sz w:val="21"/>
                      <w:szCs w:val="21"/>
                      <w:highlight w:val="none"/>
                      <w:u w:val="none" w:color="auto"/>
                      <w:lang w:val="en-US" w:eastAsia="zh-CN" w:bidi="ar"/>
                    </w:rPr>
                  </w:pPr>
                  <w:r>
                    <w:rPr>
                      <w:rFonts w:hint="default" w:ascii="Times New Roman" w:hAnsi="Times New Roman" w:eastAsia="宋体" w:cs="Times New Roman"/>
                      <w:b/>
                      <w:bCs/>
                      <w:color w:val="auto"/>
                      <w:kern w:val="24"/>
                      <w:sz w:val="21"/>
                      <w:szCs w:val="21"/>
                      <w:highlight w:val="none"/>
                      <w:u w:val="none" w:color="auto"/>
                      <w:lang w:val="en-US" w:eastAsia="zh-CN" w:bidi="ar"/>
                    </w:rPr>
                    <w:t>污染因子</w:t>
                  </w:r>
                </w:p>
              </w:tc>
              <w:tc>
                <w:tcPr>
                  <w:tcW w:w="2974" w:type="dxa"/>
                  <w:gridSpan w:val="2"/>
                  <w:tcBorders>
                    <w:tl2br w:val="nil"/>
                    <w:tr2bl w:val="nil"/>
                  </w:tcBorders>
                  <w:noWrap w:val="0"/>
                  <w:vAlign w:val="center"/>
                </w:tcPr>
                <w:p w14:paraId="464C2BDB">
                  <w:pPr>
                    <w:widowControl/>
                    <w:snapToGrid w:val="0"/>
                    <w:spacing w:before="0" w:beforeAutospacing="0" w:after="0" w:afterAutospacing="0" w:line="260" w:lineRule="exact"/>
                    <w:jc w:val="center"/>
                    <w:rPr>
                      <w:rFonts w:hint="default" w:ascii="Times New Roman" w:hAnsi="Times New Roman" w:eastAsia="宋体" w:cs="Times New Roman"/>
                      <w:b/>
                      <w:bCs/>
                      <w:color w:val="auto"/>
                      <w:kern w:val="0"/>
                      <w:sz w:val="21"/>
                      <w:szCs w:val="21"/>
                      <w:highlight w:val="none"/>
                      <w:u w:val="none" w:color="auto"/>
                      <w:lang w:val="en-US" w:eastAsia="zh-CN" w:bidi="ar-SA"/>
                    </w:rPr>
                  </w:pPr>
                  <w:r>
                    <w:rPr>
                      <w:rFonts w:hint="default" w:ascii="Times New Roman" w:hAnsi="Times New Roman" w:eastAsia="宋体" w:cs="Times New Roman"/>
                      <w:b/>
                      <w:bCs/>
                      <w:color w:val="auto"/>
                      <w:kern w:val="24"/>
                      <w:sz w:val="21"/>
                      <w:szCs w:val="21"/>
                      <w:highlight w:val="none"/>
                      <w:u w:val="none" w:color="auto"/>
                      <w:lang w:val="en-US" w:eastAsia="zh-CN" w:bidi="ar"/>
                    </w:rPr>
                    <w:t>排放限值</w:t>
                  </w:r>
                </w:p>
              </w:tc>
              <w:tc>
                <w:tcPr>
                  <w:tcW w:w="2451" w:type="dxa"/>
                  <w:vMerge w:val="restart"/>
                  <w:tcBorders>
                    <w:tl2br w:val="nil"/>
                    <w:tr2bl w:val="nil"/>
                  </w:tcBorders>
                  <w:noWrap w:val="0"/>
                  <w:vAlign w:val="center"/>
                </w:tcPr>
                <w:p w14:paraId="4493852F">
                  <w:pPr>
                    <w:widowControl/>
                    <w:snapToGrid w:val="0"/>
                    <w:spacing w:before="0" w:beforeAutospacing="0" w:after="0" w:afterAutospacing="0" w:line="260" w:lineRule="exact"/>
                    <w:jc w:val="center"/>
                    <w:rPr>
                      <w:rFonts w:hint="default" w:ascii="Times New Roman" w:hAnsi="Times New Roman" w:eastAsia="宋体" w:cs="Times New Roman"/>
                      <w:b/>
                      <w:bCs/>
                      <w:color w:val="auto"/>
                      <w:kern w:val="0"/>
                      <w:sz w:val="21"/>
                      <w:szCs w:val="21"/>
                      <w:highlight w:val="none"/>
                      <w:u w:val="none" w:color="auto"/>
                      <w:lang w:val="en-US" w:eastAsia="zh-CN" w:bidi="ar-SA"/>
                    </w:rPr>
                  </w:pPr>
                  <w:r>
                    <w:rPr>
                      <w:rFonts w:hint="eastAsia" w:ascii="Times New Roman" w:hAnsi="Times New Roman" w:eastAsia="宋体" w:cs="Times New Roman"/>
                      <w:b/>
                      <w:bCs/>
                      <w:color w:val="auto"/>
                      <w:kern w:val="24"/>
                      <w:sz w:val="21"/>
                      <w:szCs w:val="21"/>
                      <w:highlight w:val="none"/>
                      <w:u w:val="none" w:color="auto"/>
                      <w:lang w:val="en-US" w:eastAsia="zh-CN" w:bidi="ar"/>
                    </w:rPr>
                    <w:t>执行标准</w:t>
                  </w:r>
                </w:p>
              </w:tc>
            </w:tr>
            <w:tr w14:paraId="38EEB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jc w:val="center"/>
              </w:trPr>
              <w:tc>
                <w:tcPr>
                  <w:tcW w:w="1479" w:type="dxa"/>
                  <w:vMerge w:val="continue"/>
                  <w:tcBorders>
                    <w:tl2br w:val="nil"/>
                    <w:tr2bl w:val="nil"/>
                  </w:tcBorders>
                  <w:noWrap w:val="0"/>
                  <w:vAlign w:val="center"/>
                </w:tcPr>
                <w:p w14:paraId="11E3DFB3">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p>
              </w:tc>
              <w:tc>
                <w:tcPr>
                  <w:tcW w:w="1154" w:type="dxa"/>
                  <w:vMerge w:val="continue"/>
                  <w:tcBorders>
                    <w:tl2br w:val="nil"/>
                    <w:tr2bl w:val="nil"/>
                  </w:tcBorders>
                  <w:noWrap w:val="0"/>
                  <w:vAlign w:val="center"/>
                </w:tcPr>
                <w:p w14:paraId="2F765BDC">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p>
              </w:tc>
              <w:tc>
                <w:tcPr>
                  <w:tcW w:w="1688" w:type="dxa"/>
                  <w:tcBorders>
                    <w:tl2br w:val="nil"/>
                    <w:tr2bl w:val="nil"/>
                  </w:tcBorders>
                  <w:noWrap w:val="0"/>
                  <w:vAlign w:val="center"/>
                </w:tcPr>
                <w:p w14:paraId="2484154C">
                  <w:pPr>
                    <w:widowControl/>
                    <w:snapToGrid w:val="0"/>
                    <w:spacing w:before="0" w:beforeAutospacing="0" w:after="0" w:afterAutospacing="0" w:line="260" w:lineRule="exact"/>
                    <w:jc w:val="center"/>
                    <w:rPr>
                      <w:rFonts w:hint="default" w:ascii="Times New Roman" w:hAnsi="Times New Roman" w:eastAsia="宋体" w:cs="Times New Roman"/>
                      <w:b/>
                      <w:bCs/>
                      <w:color w:val="auto"/>
                      <w:kern w:val="24"/>
                      <w:sz w:val="21"/>
                      <w:szCs w:val="21"/>
                      <w:highlight w:val="none"/>
                      <w:u w:val="none" w:color="auto"/>
                      <w:lang w:val="en-US" w:eastAsia="zh-CN" w:bidi="ar"/>
                    </w:rPr>
                  </w:pPr>
                  <w:r>
                    <w:rPr>
                      <w:rFonts w:hint="default" w:ascii="Times New Roman" w:hAnsi="Times New Roman" w:eastAsia="宋体" w:cs="Times New Roman"/>
                      <w:b/>
                      <w:bCs/>
                      <w:color w:val="auto"/>
                      <w:kern w:val="24"/>
                      <w:sz w:val="21"/>
                      <w:szCs w:val="21"/>
                      <w:highlight w:val="none"/>
                      <w:u w:val="none" w:color="auto"/>
                      <w:lang w:val="en-US" w:eastAsia="zh-CN" w:bidi="ar"/>
                    </w:rPr>
                    <w:t>最高允许排放浓度限值</w:t>
                  </w:r>
                </w:p>
              </w:tc>
              <w:tc>
                <w:tcPr>
                  <w:tcW w:w="1286" w:type="dxa"/>
                  <w:tcBorders>
                    <w:tl2br w:val="nil"/>
                    <w:tr2bl w:val="nil"/>
                  </w:tcBorders>
                  <w:noWrap w:val="0"/>
                  <w:vAlign w:val="center"/>
                </w:tcPr>
                <w:p w14:paraId="599F442A">
                  <w:pPr>
                    <w:widowControl/>
                    <w:snapToGrid w:val="0"/>
                    <w:spacing w:before="0" w:beforeAutospacing="0" w:after="0" w:afterAutospacing="0" w:line="260" w:lineRule="exact"/>
                    <w:jc w:val="center"/>
                    <w:rPr>
                      <w:rFonts w:hint="default" w:ascii="Times New Roman" w:hAnsi="Times New Roman" w:eastAsia="宋体" w:cs="Times New Roman"/>
                      <w:b/>
                      <w:bCs/>
                      <w:color w:val="auto"/>
                      <w:kern w:val="24"/>
                      <w:sz w:val="21"/>
                      <w:szCs w:val="21"/>
                      <w:highlight w:val="none"/>
                      <w:u w:val="none" w:color="auto"/>
                      <w:lang w:val="en-US" w:eastAsia="zh-CN" w:bidi="ar"/>
                    </w:rPr>
                  </w:pPr>
                  <w:r>
                    <w:rPr>
                      <w:rFonts w:hint="default" w:ascii="Times New Roman" w:hAnsi="Times New Roman" w:eastAsia="宋体" w:cs="Times New Roman"/>
                      <w:b/>
                      <w:bCs/>
                      <w:color w:val="auto"/>
                      <w:kern w:val="24"/>
                      <w:sz w:val="21"/>
                      <w:szCs w:val="21"/>
                      <w:highlight w:val="none"/>
                      <w:u w:val="none" w:color="auto"/>
                      <w:lang w:val="en-US" w:eastAsia="zh-CN" w:bidi="ar"/>
                    </w:rPr>
                    <w:t>最高允许排放速率限值</w:t>
                  </w:r>
                </w:p>
              </w:tc>
              <w:tc>
                <w:tcPr>
                  <w:tcW w:w="2451" w:type="dxa"/>
                  <w:vMerge w:val="continue"/>
                  <w:tcBorders>
                    <w:tl2br w:val="nil"/>
                    <w:tr2bl w:val="nil"/>
                  </w:tcBorders>
                  <w:noWrap w:val="0"/>
                  <w:vAlign w:val="center"/>
                </w:tcPr>
                <w:p w14:paraId="587804BA">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yellow"/>
                      <w:u w:val="none" w:color="auto"/>
                      <w:lang w:val="en-US" w:eastAsia="zh-CN" w:bidi="ar-SA"/>
                    </w:rPr>
                  </w:pPr>
                </w:p>
              </w:tc>
            </w:tr>
            <w:tr w14:paraId="2B1D8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jc w:val="center"/>
              </w:trPr>
              <w:tc>
                <w:tcPr>
                  <w:tcW w:w="1479" w:type="dxa"/>
                  <w:vMerge w:val="restart"/>
                  <w:tcBorders>
                    <w:tl2br w:val="nil"/>
                    <w:tr2bl w:val="nil"/>
                  </w:tcBorders>
                  <w:noWrap w:val="0"/>
                  <w:vAlign w:val="center"/>
                </w:tcPr>
                <w:p w14:paraId="0BF7A6AA">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cs="Times New Roman"/>
                      <w:color w:val="auto"/>
                      <w:kern w:val="0"/>
                      <w:sz w:val="21"/>
                      <w:szCs w:val="21"/>
                      <w:highlight w:val="none"/>
                      <w:u w:val="none" w:color="auto"/>
                      <w:lang w:val="en-US" w:eastAsia="zh-CN" w:bidi="ar-SA"/>
                    </w:rPr>
                    <w:t>DA001</w:t>
                  </w:r>
                </w:p>
              </w:tc>
              <w:tc>
                <w:tcPr>
                  <w:tcW w:w="1154" w:type="dxa"/>
                  <w:tcBorders>
                    <w:tl2br w:val="nil"/>
                    <w:tr2bl w:val="nil"/>
                  </w:tcBorders>
                  <w:noWrap w:val="0"/>
                  <w:vAlign w:val="center"/>
                </w:tcPr>
                <w:p w14:paraId="792684AF">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r>
                    <w:rPr>
                      <w:rFonts w:hint="default" w:ascii="Times New Roman" w:hAnsi="Times New Roman" w:eastAsia="宋体" w:cs="Times New Roman"/>
                      <w:color w:val="auto"/>
                      <w:kern w:val="0"/>
                      <w:sz w:val="21"/>
                      <w:szCs w:val="21"/>
                      <w:highlight w:val="none"/>
                      <w:u w:val="none" w:color="auto"/>
                      <w:lang w:val="en-US" w:eastAsia="zh-CN" w:bidi="ar-SA"/>
                    </w:rPr>
                    <w:t>颗粒物</w:t>
                  </w:r>
                </w:p>
              </w:tc>
              <w:tc>
                <w:tcPr>
                  <w:tcW w:w="1688" w:type="dxa"/>
                  <w:tcBorders>
                    <w:tl2br w:val="nil"/>
                    <w:tr2bl w:val="nil"/>
                  </w:tcBorders>
                  <w:noWrap w:val="0"/>
                  <w:vAlign w:val="center"/>
                </w:tcPr>
                <w:p w14:paraId="19AC5568">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cs="Times New Roman"/>
                      <w:color w:val="auto"/>
                      <w:kern w:val="24"/>
                      <w:sz w:val="21"/>
                      <w:szCs w:val="21"/>
                      <w:highlight w:val="none"/>
                      <w:u w:val="none" w:color="auto"/>
                      <w:lang w:val="en-US" w:eastAsia="zh-CN" w:bidi="ar"/>
                    </w:rPr>
                    <w:t>30</w:t>
                  </w:r>
                  <w:r>
                    <w:rPr>
                      <w:rFonts w:hint="default" w:ascii="Times New Roman" w:hAnsi="Times New Roman" w:eastAsia="宋体" w:cs="Times New Roman"/>
                      <w:color w:val="auto"/>
                      <w:kern w:val="24"/>
                      <w:sz w:val="21"/>
                      <w:szCs w:val="21"/>
                      <w:highlight w:val="none"/>
                      <w:u w:val="none" w:color="auto"/>
                      <w:lang w:val="en-US" w:eastAsia="zh-CN" w:bidi="ar"/>
                    </w:rPr>
                    <w:t>mg/m</w:t>
                  </w:r>
                  <w:r>
                    <w:rPr>
                      <w:rFonts w:hint="default" w:ascii="Times New Roman" w:hAnsi="Times New Roman" w:eastAsia="宋体" w:cs="Times New Roman"/>
                      <w:color w:val="auto"/>
                      <w:kern w:val="24"/>
                      <w:sz w:val="21"/>
                      <w:szCs w:val="21"/>
                      <w:highlight w:val="none"/>
                      <w:u w:val="none" w:color="auto"/>
                      <w:vertAlign w:val="superscript"/>
                      <w:lang w:val="en-US" w:eastAsia="zh-CN" w:bidi="ar"/>
                    </w:rPr>
                    <w:t>3</w:t>
                  </w:r>
                </w:p>
              </w:tc>
              <w:tc>
                <w:tcPr>
                  <w:tcW w:w="1286" w:type="dxa"/>
                  <w:tcBorders>
                    <w:tl2br w:val="nil"/>
                    <w:tr2bl w:val="nil"/>
                  </w:tcBorders>
                  <w:noWrap w:val="0"/>
                  <w:vAlign w:val="center"/>
                </w:tcPr>
                <w:p w14:paraId="58F4E848">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cs="Times New Roman"/>
                      <w:color w:val="auto"/>
                      <w:kern w:val="24"/>
                      <w:sz w:val="21"/>
                      <w:szCs w:val="21"/>
                      <w:highlight w:val="none"/>
                      <w:u w:val="none" w:color="auto"/>
                      <w:lang w:val="en-US" w:eastAsia="zh-CN" w:bidi="ar"/>
                    </w:rPr>
                    <w:t>/</w:t>
                  </w:r>
                </w:p>
              </w:tc>
              <w:tc>
                <w:tcPr>
                  <w:tcW w:w="2451" w:type="dxa"/>
                  <w:vMerge w:val="restart"/>
                  <w:tcBorders>
                    <w:tl2br w:val="nil"/>
                    <w:tr2bl w:val="nil"/>
                  </w:tcBorders>
                  <w:noWrap w:val="0"/>
                  <w:vAlign w:val="center"/>
                </w:tcPr>
                <w:p w14:paraId="0EC73A05">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cs="Times New Roman"/>
                      <w:color w:val="auto"/>
                      <w:kern w:val="0"/>
                      <w:sz w:val="21"/>
                      <w:szCs w:val="21"/>
                      <w:highlight w:val="none"/>
                      <w:u w:val="none" w:color="auto"/>
                      <w:lang w:val="en-US" w:eastAsia="zh-CN" w:bidi="ar-SA"/>
                    </w:rPr>
                    <w:t>《</w:t>
                  </w:r>
                  <w:r>
                    <w:rPr>
                      <w:rFonts w:hint="default" w:ascii="Times New Roman" w:hAnsi="Times New Roman" w:eastAsia="宋体" w:cs="Times New Roman"/>
                      <w:color w:val="auto"/>
                      <w:kern w:val="0"/>
                      <w:sz w:val="21"/>
                      <w:szCs w:val="21"/>
                      <w:highlight w:val="none"/>
                      <w:u w:val="none" w:color="auto"/>
                      <w:lang w:val="en-US" w:eastAsia="zh-CN" w:bidi="ar-SA"/>
                    </w:rPr>
                    <w:fldChar w:fldCharType="begin"/>
                  </w:r>
                  <w:r>
                    <w:rPr>
                      <w:rFonts w:hint="default" w:ascii="Times New Roman" w:hAnsi="Times New Roman" w:eastAsia="宋体" w:cs="Times New Roman"/>
                      <w:color w:val="auto"/>
                      <w:kern w:val="0"/>
                      <w:sz w:val="21"/>
                      <w:szCs w:val="21"/>
                      <w:highlight w:val="none"/>
                      <w:u w:val="none" w:color="auto"/>
                      <w:lang w:val="en-US" w:eastAsia="zh-CN" w:bidi="ar-SA"/>
                    </w:rPr>
                    <w:instrText xml:space="preserve"> HYPERLINK "https://www.so.com/link?m=uw3yJF+xPh8N0ci4NRmDz37M5GnDJers+WT0X9NSL3g46v8vcLt0Pqh/4zB2vxVir2UoPeYvf/VDDkAELAA9mg4YWmeX7TnVzyHrv4HeFFMbohsYPSNrzd7bVLFbDGZReZPdFk9vdQ3qnfqX6JvTHGEqQd/QVdNMu5YwF9Ji3pwREO0JqIxByRu74S9vIw7e3gn9hx8z2peCaiYDsxpSCQURyYkP1JtRA2kNKLD+2d+crb2JiPFMqQRo8256S9RKJP5QcB0Grx4Djf2KtFMj1mSUdbWconPHWWncLll3yQM/hNWDySGFdRgcmXG1fTXZsskA4xm+Oibv370hSxFPu8NgkC9zVYOzm819WC6IHOIZFSrrHI3baBaylKSW3RlEwlMv4VqvsbhYhL66nWDYmGY75mq+RXKcK7vYBkUGRmqDQHmol" \t "https://www.so.com/_blank" </w:instrText>
                  </w:r>
                  <w:r>
                    <w:rPr>
                      <w:rFonts w:hint="default" w:ascii="Times New Roman" w:hAnsi="Times New Roman" w:eastAsia="宋体" w:cs="Times New Roman"/>
                      <w:color w:val="auto"/>
                      <w:kern w:val="0"/>
                      <w:sz w:val="21"/>
                      <w:szCs w:val="21"/>
                      <w:highlight w:val="none"/>
                      <w:u w:val="none" w:color="auto"/>
                      <w:lang w:val="en-US" w:eastAsia="zh-CN" w:bidi="ar-SA"/>
                    </w:rPr>
                    <w:fldChar w:fldCharType="separate"/>
                  </w:r>
                  <w:r>
                    <w:rPr>
                      <w:rFonts w:hint="default" w:ascii="Times New Roman" w:hAnsi="Times New Roman" w:eastAsia="宋体" w:cs="Times New Roman"/>
                      <w:color w:val="auto"/>
                      <w:kern w:val="0"/>
                      <w:sz w:val="21"/>
                      <w:szCs w:val="21"/>
                      <w:highlight w:val="none"/>
                      <w:u w:val="none" w:color="auto"/>
                      <w:lang w:val="en-US" w:eastAsia="zh-CN" w:bidi="ar-SA"/>
                    </w:rPr>
                    <w:t>湖南省工业炉窑大气污染综合治理实施方案</w:t>
                  </w:r>
                  <w:r>
                    <w:rPr>
                      <w:rFonts w:hint="eastAsia" w:cs="Times New Roman"/>
                      <w:color w:val="auto"/>
                      <w:kern w:val="0"/>
                      <w:sz w:val="21"/>
                      <w:szCs w:val="21"/>
                      <w:highlight w:val="none"/>
                      <w:u w:val="none" w:color="auto"/>
                      <w:lang w:val="en-US" w:eastAsia="zh-CN" w:bidi="ar-SA"/>
                    </w:rPr>
                    <w:t>》（</w:t>
                  </w:r>
                  <w:r>
                    <w:rPr>
                      <w:rFonts w:hint="default" w:ascii="Times New Roman" w:hAnsi="Times New Roman" w:eastAsia="宋体" w:cs="Times New Roman"/>
                      <w:color w:val="auto"/>
                      <w:kern w:val="0"/>
                      <w:sz w:val="21"/>
                      <w:szCs w:val="21"/>
                      <w:highlight w:val="none"/>
                      <w:u w:val="none" w:color="auto"/>
                      <w:lang w:val="en-US" w:eastAsia="zh-CN" w:bidi="ar-SA"/>
                    </w:rPr>
                    <w:t>湘环发〔2020〕6号</w:t>
                  </w:r>
                  <w:r>
                    <w:rPr>
                      <w:rFonts w:hint="eastAsia" w:cs="Times New Roman"/>
                      <w:color w:val="auto"/>
                      <w:kern w:val="0"/>
                      <w:sz w:val="21"/>
                      <w:szCs w:val="21"/>
                      <w:highlight w:val="none"/>
                      <w:u w:val="none" w:color="auto"/>
                      <w:lang w:val="en-US" w:eastAsia="zh-CN" w:bidi="ar-SA"/>
                    </w:rPr>
                    <w:t>）</w:t>
                  </w:r>
                  <w:r>
                    <w:rPr>
                      <w:rFonts w:hint="default" w:ascii="Times New Roman" w:hAnsi="Times New Roman" w:eastAsia="宋体" w:cs="Times New Roman"/>
                      <w:color w:val="auto"/>
                      <w:kern w:val="0"/>
                      <w:sz w:val="21"/>
                      <w:szCs w:val="21"/>
                      <w:highlight w:val="none"/>
                      <w:u w:val="none" w:color="auto"/>
                      <w:lang w:val="en-US" w:eastAsia="zh-CN" w:bidi="ar-SA"/>
                    </w:rPr>
                    <w:fldChar w:fldCharType="end"/>
                  </w:r>
                </w:p>
                <w:p w14:paraId="650631C4">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p>
              </w:tc>
            </w:tr>
            <w:tr w14:paraId="03EA9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jc w:val="center"/>
              </w:trPr>
              <w:tc>
                <w:tcPr>
                  <w:tcW w:w="1479" w:type="dxa"/>
                  <w:vMerge w:val="continue"/>
                  <w:tcBorders>
                    <w:tl2br w:val="nil"/>
                    <w:tr2bl w:val="nil"/>
                  </w:tcBorders>
                  <w:noWrap w:val="0"/>
                  <w:vAlign w:val="center"/>
                </w:tcPr>
                <w:p w14:paraId="18141E22">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p>
              </w:tc>
              <w:tc>
                <w:tcPr>
                  <w:tcW w:w="1154" w:type="dxa"/>
                  <w:tcBorders>
                    <w:tl2br w:val="nil"/>
                    <w:tr2bl w:val="nil"/>
                  </w:tcBorders>
                  <w:noWrap w:val="0"/>
                  <w:vAlign w:val="center"/>
                </w:tcPr>
                <w:p w14:paraId="4DF3ECD7">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cs="Times New Roman"/>
                      <w:color w:val="auto"/>
                      <w:kern w:val="0"/>
                      <w:sz w:val="21"/>
                      <w:szCs w:val="21"/>
                      <w:highlight w:val="none"/>
                      <w:u w:val="none" w:color="auto"/>
                      <w:lang w:val="en-US" w:eastAsia="zh-CN" w:bidi="ar-SA"/>
                    </w:rPr>
                    <w:t>二氧化硫</w:t>
                  </w:r>
                </w:p>
              </w:tc>
              <w:tc>
                <w:tcPr>
                  <w:tcW w:w="1688" w:type="dxa"/>
                  <w:tcBorders>
                    <w:tl2br w:val="nil"/>
                    <w:tr2bl w:val="nil"/>
                  </w:tcBorders>
                  <w:noWrap w:val="0"/>
                  <w:vAlign w:val="center"/>
                </w:tcPr>
                <w:p w14:paraId="682E0728">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cs="Times New Roman"/>
                      <w:color w:val="auto"/>
                      <w:kern w:val="24"/>
                      <w:sz w:val="21"/>
                      <w:szCs w:val="21"/>
                      <w:highlight w:val="none"/>
                      <w:u w:val="none" w:color="auto"/>
                      <w:lang w:val="en-US" w:eastAsia="zh-CN" w:bidi="ar"/>
                    </w:rPr>
                    <w:t>200</w:t>
                  </w:r>
                  <w:r>
                    <w:rPr>
                      <w:rFonts w:hint="default" w:ascii="Times New Roman" w:hAnsi="Times New Roman" w:eastAsia="宋体" w:cs="Times New Roman"/>
                      <w:color w:val="auto"/>
                      <w:kern w:val="24"/>
                      <w:sz w:val="21"/>
                      <w:szCs w:val="21"/>
                      <w:highlight w:val="none"/>
                      <w:u w:val="none" w:color="auto"/>
                      <w:lang w:val="en-US" w:eastAsia="zh-CN" w:bidi="ar"/>
                    </w:rPr>
                    <w:t>mg/m</w:t>
                  </w:r>
                  <w:r>
                    <w:rPr>
                      <w:rFonts w:hint="default" w:ascii="Times New Roman" w:hAnsi="Times New Roman" w:eastAsia="宋体" w:cs="Times New Roman"/>
                      <w:color w:val="auto"/>
                      <w:kern w:val="24"/>
                      <w:sz w:val="21"/>
                      <w:szCs w:val="21"/>
                      <w:highlight w:val="none"/>
                      <w:u w:val="none" w:color="auto"/>
                      <w:vertAlign w:val="superscript"/>
                      <w:lang w:val="en-US" w:eastAsia="zh-CN" w:bidi="ar"/>
                    </w:rPr>
                    <w:t>3</w:t>
                  </w:r>
                </w:p>
              </w:tc>
              <w:tc>
                <w:tcPr>
                  <w:tcW w:w="1286" w:type="dxa"/>
                  <w:tcBorders>
                    <w:tl2br w:val="nil"/>
                    <w:tr2bl w:val="nil"/>
                  </w:tcBorders>
                  <w:noWrap w:val="0"/>
                  <w:vAlign w:val="center"/>
                </w:tcPr>
                <w:p w14:paraId="6FEFE806">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cs="Times New Roman"/>
                      <w:color w:val="auto"/>
                      <w:kern w:val="24"/>
                      <w:sz w:val="21"/>
                      <w:szCs w:val="21"/>
                      <w:highlight w:val="none"/>
                      <w:u w:val="none" w:color="auto"/>
                      <w:lang w:val="en-US" w:eastAsia="zh-CN" w:bidi="ar"/>
                    </w:rPr>
                    <w:t>/</w:t>
                  </w:r>
                </w:p>
              </w:tc>
              <w:tc>
                <w:tcPr>
                  <w:tcW w:w="2451" w:type="dxa"/>
                  <w:vMerge w:val="continue"/>
                  <w:tcBorders>
                    <w:tl2br w:val="nil"/>
                    <w:tr2bl w:val="nil"/>
                  </w:tcBorders>
                  <w:noWrap w:val="0"/>
                  <w:vAlign w:val="center"/>
                </w:tcPr>
                <w:p w14:paraId="6DA88215">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p>
              </w:tc>
            </w:tr>
            <w:tr w14:paraId="11D10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jc w:val="center"/>
              </w:trPr>
              <w:tc>
                <w:tcPr>
                  <w:tcW w:w="1479" w:type="dxa"/>
                  <w:vMerge w:val="continue"/>
                  <w:tcBorders>
                    <w:tl2br w:val="nil"/>
                    <w:tr2bl w:val="nil"/>
                  </w:tcBorders>
                  <w:noWrap w:val="0"/>
                  <w:vAlign w:val="center"/>
                </w:tcPr>
                <w:p w14:paraId="5B75A1F7">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p>
              </w:tc>
              <w:tc>
                <w:tcPr>
                  <w:tcW w:w="1154" w:type="dxa"/>
                  <w:tcBorders>
                    <w:tl2br w:val="nil"/>
                    <w:tr2bl w:val="nil"/>
                  </w:tcBorders>
                  <w:noWrap w:val="0"/>
                  <w:vAlign w:val="center"/>
                </w:tcPr>
                <w:p w14:paraId="39E0004B">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cs="Times New Roman"/>
                      <w:color w:val="auto"/>
                      <w:kern w:val="0"/>
                      <w:sz w:val="21"/>
                      <w:szCs w:val="21"/>
                      <w:highlight w:val="none"/>
                      <w:u w:val="none" w:color="auto"/>
                      <w:lang w:val="en-US" w:eastAsia="zh-CN" w:bidi="ar-SA"/>
                    </w:rPr>
                    <w:t>氮氧化物</w:t>
                  </w:r>
                </w:p>
              </w:tc>
              <w:tc>
                <w:tcPr>
                  <w:tcW w:w="1688" w:type="dxa"/>
                  <w:tcBorders>
                    <w:tl2br w:val="nil"/>
                    <w:tr2bl w:val="nil"/>
                  </w:tcBorders>
                  <w:noWrap w:val="0"/>
                  <w:vAlign w:val="center"/>
                </w:tcPr>
                <w:p w14:paraId="00BD68F3">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cs="Times New Roman"/>
                      <w:color w:val="auto"/>
                      <w:kern w:val="24"/>
                      <w:sz w:val="21"/>
                      <w:szCs w:val="21"/>
                      <w:highlight w:val="none"/>
                      <w:u w:val="none" w:color="auto"/>
                      <w:lang w:val="en-US" w:eastAsia="zh-CN" w:bidi="ar"/>
                    </w:rPr>
                    <w:t>300</w:t>
                  </w:r>
                  <w:r>
                    <w:rPr>
                      <w:rFonts w:hint="default" w:ascii="Times New Roman" w:hAnsi="Times New Roman" w:eastAsia="宋体" w:cs="Times New Roman"/>
                      <w:color w:val="auto"/>
                      <w:kern w:val="24"/>
                      <w:sz w:val="21"/>
                      <w:szCs w:val="21"/>
                      <w:highlight w:val="none"/>
                      <w:u w:val="none" w:color="auto"/>
                      <w:lang w:val="en-US" w:eastAsia="zh-CN" w:bidi="ar"/>
                    </w:rPr>
                    <w:t>mg/m</w:t>
                  </w:r>
                  <w:r>
                    <w:rPr>
                      <w:rFonts w:hint="default" w:ascii="Times New Roman" w:hAnsi="Times New Roman" w:eastAsia="宋体" w:cs="Times New Roman"/>
                      <w:color w:val="auto"/>
                      <w:kern w:val="24"/>
                      <w:sz w:val="21"/>
                      <w:szCs w:val="21"/>
                      <w:highlight w:val="none"/>
                      <w:u w:val="none" w:color="auto"/>
                      <w:vertAlign w:val="superscript"/>
                      <w:lang w:val="en-US" w:eastAsia="zh-CN" w:bidi="ar"/>
                    </w:rPr>
                    <w:t>3</w:t>
                  </w:r>
                </w:p>
              </w:tc>
              <w:tc>
                <w:tcPr>
                  <w:tcW w:w="1286" w:type="dxa"/>
                  <w:tcBorders>
                    <w:tl2br w:val="nil"/>
                    <w:tr2bl w:val="nil"/>
                  </w:tcBorders>
                  <w:noWrap w:val="0"/>
                  <w:vAlign w:val="center"/>
                </w:tcPr>
                <w:p w14:paraId="574BAF7D">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cs="Times New Roman"/>
                      <w:color w:val="auto"/>
                      <w:kern w:val="24"/>
                      <w:sz w:val="21"/>
                      <w:szCs w:val="21"/>
                      <w:highlight w:val="none"/>
                      <w:u w:val="none" w:color="auto"/>
                      <w:lang w:val="en-US" w:eastAsia="zh-CN" w:bidi="ar"/>
                    </w:rPr>
                    <w:t>/</w:t>
                  </w:r>
                </w:p>
              </w:tc>
              <w:tc>
                <w:tcPr>
                  <w:tcW w:w="2451" w:type="dxa"/>
                  <w:vMerge w:val="continue"/>
                  <w:tcBorders>
                    <w:tl2br w:val="nil"/>
                    <w:tr2bl w:val="nil"/>
                  </w:tcBorders>
                  <w:noWrap w:val="0"/>
                  <w:vAlign w:val="center"/>
                </w:tcPr>
                <w:p w14:paraId="26BC7B20">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p>
              </w:tc>
            </w:tr>
            <w:tr w14:paraId="3B75C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1479" w:type="dxa"/>
                  <w:vMerge w:val="restart"/>
                  <w:tcBorders>
                    <w:tl2br w:val="nil"/>
                    <w:tr2bl w:val="nil"/>
                  </w:tcBorders>
                  <w:noWrap w:val="0"/>
                  <w:vAlign w:val="center"/>
                </w:tcPr>
                <w:p w14:paraId="2E9DAAA2">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cs="Times New Roman"/>
                      <w:color w:val="auto"/>
                      <w:kern w:val="0"/>
                      <w:sz w:val="21"/>
                      <w:szCs w:val="21"/>
                      <w:highlight w:val="none"/>
                      <w:u w:val="none" w:color="auto"/>
                      <w:lang w:val="en-US" w:eastAsia="zh-CN" w:bidi="ar-SA"/>
                    </w:rPr>
                    <w:t>DA001、DA002</w:t>
                  </w:r>
                </w:p>
              </w:tc>
              <w:tc>
                <w:tcPr>
                  <w:tcW w:w="1154" w:type="dxa"/>
                  <w:tcBorders>
                    <w:tl2br w:val="nil"/>
                    <w:tr2bl w:val="nil"/>
                  </w:tcBorders>
                  <w:noWrap w:val="0"/>
                  <w:vAlign w:val="center"/>
                </w:tcPr>
                <w:p w14:paraId="40223CB9">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r>
                    <w:rPr>
                      <w:rFonts w:hint="default" w:ascii="Times New Roman" w:hAnsi="Times New Roman" w:eastAsia="宋体" w:cs="Times New Roman"/>
                      <w:color w:val="auto"/>
                      <w:kern w:val="0"/>
                      <w:sz w:val="21"/>
                      <w:szCs w:val="21"/>
                      <w:highlight w:val="none"/>
                      <w:u w:val="none" w:color="auto"/>
                      <w:lang w:val="en-US" w:eastAsia="zh-CN" w:bidi="ar-SA"/>
                    </w:rPr>
                    <w:t>二甲苯</w:t>
                  </w:r>
                </w:p>
              </w:tc>
              <w:tc>
                <w:tcPr>
                  <w:tcW w:w="1688" w:type="dxa"/>
                  <w:tcBorders>
                    <w:tl2br w:val="nil"/>
                    <w:tr2bl w:val="nil"/>
                  </w:tcBorders>
                  <w:noWrap w:val="0"/>
                  <w:vAlign w:val="center"/>
                </w:tcPr>
                <w:p w14:paraId="633487D7">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ascii="Times New Roman" w:hAnsi="Times New Roman" w:eastAsia="宋体" w:cs="Times New Roman"/>
                      <w:color w:val="auto"/>
                      <w:kern w:val="24"/>
                      <w:sz w:val="21"/>
                      <w:szCs w:val="21"/>
                      <w:highlight w:val="none"/>
                      <w:u w:val="none" w:color="auto"/>
                      <w:lang w:val="en-US" w:eastAsia="zh-CN" w:bidi="ar"/>
                    </w:rPr>
                    <w:t>17</w:t>
                  </w:r>
                  <w:r>
                    <w:rPr>
                      <w:rFonts w:hint="default" w:ascii="Times New Roman" w:hAnsi="Times New Roman" w:eastAsia="宋体" w:cs="Times New Roman"/>
                      <w:color w:val="auto"/>
                      <w:kern w:val="24"/>
                      <w:sz w:val="21"/>
                      <w:szCs w:val="21"/>
                      <w:highlight w:val="none"/>
                      <w:u w:val="none" w:color="auto"/>
                      <w:lang w:val="en-US" w:eastAsia="zh-CN" w:bidi="ar"/>
                    </w:rPr>
                    <w:t>mg/m</w:t>
                  </w:r>
                  <w:r>
                    <w:rPr>
                      <w:rFonts w:hint="default" w:ascii="Times New Roman" w:hAnsi="Times New Roman" w:eastAsia="宋体" w:cs="Times New Roman"/>
                      <w:color w:val="auto"/>
                      <w:kern w:val="24"/>
                      <w:sz w:val="21"/>
                      <w:szCs w:val="21"/>
                      <w:highlight w:val="none"/>
                      <w:u w:val="none" w:color="auto"/>
                      <w:vertAlign w:val="superscript"/>
                      <w:lang w:val="en-US" w:eastAsia="zh-CN" w:bidi="ar"/>
                    </w:rPr>
                    <w:t>3</w:t>
                  </w:r>
                  <w:r>
                    <w:rPr>
                      <w:rFonts w:hint="default" w:ascii="Times New Roman" w:hAnsi="Times New Roman" w:eastAsia="宋体" w:cs="Times New Roman"/>
                      <w:color w:val="auto"/>
                      <w:kern w:val="0"/>
                      <w:sz w:val="21"/>
                      <w:szCs w:val="21"/>
                      <w:highlight w:val="none"/>
                      <w:u w:val="none" w:color="auto"/>
                      <w:lang w:val="en-US" w:eastAsia="zh-CN" w:bidi="ar-SA"/>
                    </w:rPr>
                    <w:t>（参照</w:t>
                  </w:r>
                  <w:r>
                    <w:rPr>
                      <w:rFonts w:hint="eastAsia" w:ascii="Times New Roman" w:hAnsi="Times New Roman" w:eastAsia="宋体" w:cs="Times New Roman"/>
                      <w:color w:val="auto"/>
                      <w:kern w:val="0"/>
                      <w:sz w:val="21"/>
                      <w:szCs w:val="21"/>
                      <w:highlight w:val="none"/>
                      <w:u w:val="none" w:color="auto"/>
                      <w:lang w:val="en-US" w:eastAsia="zh-CN" w:bidi="ar-SA"/>
                    </w:rPr>
                    <w:t>汽车制造</w:t>
                  </w:r>
                  <w:r>
                    <w:rPr>
                      <w:rFonts w:hint="default" w:ascii="Times New Roman" w:hAnsi="Times New Roman" w:eastAsia="宋体" w:cs="Times New Roman"/>
                      <w:color w:val="auto"/>
                      <w:kern w:val="0"/>
                      <w:sz w:val="21"/>
                      <w:szCs w:val="21"/>
                      <w:highlight w:val="none"/>
                      <w:u w:val="none" w:color="auto"/>
                      <w:lang w:val="en-US" w:eastAsia="zh-CN" w:bidi="ar-SA"/>
                    </w:rPr>
                    <w:t>限值）</w:t>
                  </w:r>
                </w:p>
              </w:tc>
              <w:tc>
                <w:tcPr>
                  <w:tcW w:w="1286" w:type="dxa"/>
                  <w:tcBorders>
                    <w:tl2br w:val="nil"/>
                    <w:tr2bl w:val="nil"/>
                  </w:tcBorders>
                  <w:noWrap w:val="0"/>
                  <w:vAlign w:val="center"/>
                </w:tcPr>
                <w:p w14:paraId="35C4B604">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w:t>
                  </w:r>
                </w:p>
              </w:tc>
              <w:tc>
                <w:tcPr>
                  <w:tcW w:w="2451" w:type="dxa"/>
                  <w:vMerge w:val="restart"/>
                  <w:tcBorders>
                    <w:tl2br w:val="nil"/>
                    <w:tr2bl w:val="nil"/>
                  </w:tcBorders>
                  <w:noWrap w:val="0"/>
                  <w:vAlign w:val="center"/>
                </w:tcPr>
                <w:p w14:paraId="4C6CECEC">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yellow"/>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湖南省地方标准《表面涂装（汽车制造及维修）挥发性有机物、镍排放标准》（DB43/1356-2017）表1中排放标准</w:t>
                  </w:r>
                </w:p>
              </w:tc>
            </w:tr>
            <w:tr w14:paraId="6AC10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jc w:val="center"/>
              </w:trPr>
              <w:tc>
                <w:tcPr>
                  <w:tcW w:w="1479" w:type="dxa"/>
                  <w:vMerge w:val="continue"/>
                  <w:tcBorders>
                    <w:tl2br w:val="nil"/>
                    <w:tr2bl w:val="nil"/>
                  </w:tcBorders>
                  <w:noWrap w:val="0"/>
                  <w:vAlign w:val="center"/>
                </w:tcPr>
                <w:p w14:paraId="1CB42174">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p>
              </w:tc>
              <w:tc>
                <w:tcPr>
                  <w:tcW w:w="1154" w:type="dxa"/>
                  <w:tcBorders>
                    <w:tl2br w:val="nil"/>
                    <w:tr2bl w:val="nil"/>
                  </w:tcBorders>
                  <w:noWrap w:val="0"/>
                  <w:vAlign w:val="center"/>
                </w:tcPr>
                <w:p w14:paraId="4B9CFF72">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cs="Times New Roman"/>
                      <w:color w:val="auto"/>
                      <w:kern w:val="24"/>
                      <w:sz w:val="21"/>
                      <w:szCs w:val="21"/>
                      <w:highlight w:val="none"/>
                      <w:u w:val="none" w:color="auto"/>
                      <w:lang w:val="en-US" w:eastAsia="zh-CN" w:bidi="ar"/>
                    </w:rPr>
                    <w:t>总挥发性有机物</w:t>
                  </w:r>
                </w:p>
              </w:tc>
              <w:tc>
                <w:tcPr>
                  <w:tcW w:w="1688" w:type="dxa"/>
                  <w:tcBorders>
                    <w:tl2br w:val="nil"/>
                    <w:tr2bl w:val="nil"/>
                  </w:tcBorders>
                  <w:noWrap w:val="0"/>
                  <w:vAlign w:val="center"/>
                </w:tcPr>
                <w:p w14:paraId="7474ACB5">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default" w:ascii="Times New Roman" w:hAnsi="Times New Roman" w:eastAsia="宋体" w:cs="Times New Roman"/>
                      <w:color w:val="auto"/>
                      <w:kern w:val="24"/>
                      <w:sz w:val="21"/>
                      <w:szCs w:val="21"/>
                      <w:highlight w:val="none"/>
                      <w:u w:val="none" w:color="auto"/>
                      <w:lang w:val="en-US" w:eastAsia="zh-CN" w:bidi="ar"/>
                    </w:rPr>
                    <w:t>50mg/m</w:t>
                  </w:r>
                  <w:r>
                    <w:rPr>
                      <w:rFonts w:hint="default" w:ascii="Times New Roman" w:hAnsi="Times New Roman" w:eastAsia="宋体" w:cs="Times New Roman"/>
                      <w:color w:val="auto"/>
                      <w:kern w:val="24"/>
                      <w:sz w:val="21"/>
                      <w:szCs w:val="21"/>
                      <w:highlight w:val="none"/>
                      <w:u w:val="none" w:color="auto"/>
                      <w:vertAlign w:val="superscript"/>
                      <w:lang w:val="en-US" w:eastAsia="zh-CN" w:bidi="ar"/>
                    </w:rPr>
                    <w:t>3</w:t>
                  </w:r>
                  <w:r>
                    <w:rPr>
                      <w:rFonts w:hint="default" w:ascii="Times New Roman" w:hAnsi="Times New Roman" w:eastAsia="宋体" w:cs="Times New Roman"/>
                      <w:color w:val="auto"/>
                      <w:kern w:val="0"/>
                      <w:sz w:val="21"/>
                      <w:szCs w:val="21"/>
                      <w:highlight w:val="none"/>
                      <w:u w:val="none" w:color="auto"/>
                      <w:lang w:val="en-US" w:eastAsia="zh-CN" w:bidi="ar-SA"/>
                    </w:rPr>
                    <w:t>（参照</w:t>
                  </w:r>
                  <w:r>
                    <w:rPr>
                      <w:rFonts w:hint="eastAsia" w:ascii="Times New Roman" w:hAnsi="Times New Roman" w:eastAsia="宋体" w:cs="Times New Roman"/>
                      <w:color w:val="auto"/>
                      <w:kern w:val="0"/>
                      <w:sz w:val="21"/>
                      <w:szCs w:val="21"/>
                      <w:highlight w:val="none"/>
                      <w:u w:val="none" w:color="auto"/>
                      <w:lang w:val="en-US" w:eastAsia="zh-CN" w:bidi="ar-SA"/>
                    </w:rPr>
                    <w:t>汽车制造中</w:t>
                  </w:r>
                  <w:r>
                    <w:rPr>
                      <w:rFonts w:hint="default" w:ascii="Times New Roman" w:hAnsi="Times New Roman" w:eastAsia="宋体" w:cs="Times New Roman"/>
                      <w:color w:val="auto"/>
                      <w:kern w:val="0"/>
                      <w:sz w:val="21"/>
                      <w:szCs w:val="21"/>
                      <w:highlight w:val="none"/>
                      <w:u w:val="none" w:color="auto"/>
                      <w:lang w:val="en-US" w:eastAsia="zh-CN" w:bidi="ar-SA"/>
                    </w:rPr>
                    <w:t>乘用车限值）</w:t>
                  </w:r>
                </w:p>
              </w:tc>
              <w:tc>
                <w:tcPr>
                  <w:tcW w:w="1286" w:type="dxa"/>
                  <w:tcBorders>
                    <w:tl2br w:val="nil"/>
                    <w:tr2bl w:val="nil"/>
                  </w:tcBorders>
                  <w:noWrap w:val="0"/>
                  <w:vAlign w:val="center"/>
                </w:tcPr>
                <w:p w14:paraId="5F90429F">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ascii="Times New Roman" w:hAnsi="Times New Roman" w:eastAsia="宋体" w:cs="Times New Roman"/>
                      <w:color w:val="auto"/>
                      <w:kern w:val="24"/>
                      <w:sz w:val="21"/>
                      <w:szCs w:val="21"/>
                      <w:highlight w:val="none"/>
                      <w:u w:val="none" w:color="auto"/>
                      <w:lang w:val="en-US" w:eastAsia="zh-CN" w:bidi="ar"/>
                    </w:rPr>
                    <w:t>/</w:t>
                  </w:r>
                </w:p>
              </w:tc>
              <w:tc>
                <w:tcPr>
                  <w:tcW w:w="2451" w:type="dxa"/>
                  <w:vMerge w:val="continue"/>
                  <w:tcBorders>
                    <w:tl2br w:val="nil"/>
                    <w:tr2bl w:val="nil"/>
                  </w:tcBorders>
                  <w:noWrap w:val="0"/>
                  <w:vAlign w:val="center"/>
                </w:tcPr>
                <w:p w14:paraId="61A3BDCF">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yellow"/>
                      <w:u w:val="none" w:color="auto"/>
                      <w:lang w:val="zh-CN" w:eastAsia="zh-CN" w:bidi="ar"/>
                    </w:rPr>
                  </w:pPr>
                </w:p>
              </w:tc>
            </w:tr>
            <w:tr w14:paraId="2B4A3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jc w:val="center"/>
              </w:trPr>
              <w:tc>
                <w:tcPr>
                  <w:tcW w:w="1479" w:type="dxa"/>
                  <w:vMerge w:val="continue"/>
                  <w:tcBorders>
                    <w:tl2br w:val="nil"/>
                    <w:tr2bl w:val="nil"/>
                  </w:tcBorders>
                  <w:noWrap w:val="0"/>
                  <w:vAlign w:val="center"/>
                </w:tcPr>
                <w:p w14:paraId="1B4F0BB4">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p>
              </w:tc>
              <w:tc>
                <w:tcPr>
                  <w:tcW w:w="1154" w:type="dxa"/>
                  <w:tcBorders>
                    <w:tl2br w:val="nil"/>
                    <w:tr2bl w:val="nil"/>
                  </w:tcBorders>
                  <w:noWrap w:val="0"/>
                  <w:vAlign w:val="center"/>
                </w:tcPr>
                <w:p w14:paraId="471BB427">
                  <w:pPr>
                    <w:widowControl/>
                    <w:snapToGrid w:val="0"/>
                    <w:spacing w:before="0" w:beforeAutospacing="0" w:after="0" w:afterAutospacing="0" w:line="260" w:lineRule="exact"/>
                    <w:jc w:val="center"/>
                    <w:rPr>
                      <w:rFonts w:hint="default" w:cs="Times New Roman"/>
                      <w:color w:val="auto"/>
                      <w:kern w:val="24"/>
                      <w:sz w:val="21"/>
                      <w:szCs w:val="21"/>
                      <w:highlight w:val="none"/>
                      <w:u w:val="none" w:color="auto"/>
                      <w:lang w:val="en-US" w:eastAsia="zh-CN" w:bidi="ar"/>
                    </w:rPr>
                  </w:pPr>
                  <w:r>
                    <w:rPr>
                      <w:rFonts w:hint="eastAsia" w:cs="Times New Roman"/>
                      <w:color w:val="auto"/>
                      <w:kern w:val="24"/>
                      <w:sz w:val="21"/>
                      <w:szCs w:val="21"/>
                      <w:highlight w:val="none"/>
                      <w:u w:val="none" w:color="auto"/>
                      <w:lang w:val="en-US" w:eastAsia="zh-CN" w:bidi="ar"/>
                    </w:rPr>
                    <w:t>甲苯</w:t>
                  </w:r>
                </w:p>
              </w:tc>
              <w:tc>
                <w:tcPr>
                  <w:tcW w:w="1688" w:type="dxa"/>
                  <w:tcBorders>
                    <w:tl2br w:val="nil"/>
                    <w:tr2bl w:val="nil"/>
                  </w:tcBorders>
                  <w:noWrap w:val="0"/>
                  <w:vAlign w:val="center"/>
                </w:tcPr>
                <w:p w14:paraId="65BDC5F1">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cs="Times New Roman"/>
                      <w:color w:val="auto"/>
                      <w:kern w:val="24"/>
                      <w:sz w:val="21"/>
                      <w:szCs w:val="21"/>
                      <w:highlight w:val="none"/>
                      <w:u w:val="none" w:color="auto"/>
                      <w:lang w:val="en-US" w:eastAsia="zh-CN" w:bidi="ar"/>
                    </w:rPr>
                    <w:t>3</w:t>
                  </w:r>
                  <w:r>
                    <w:rPr>
                      <w:rFonts w:hint="default" w:ascii="Times New Roman" w:hAnsi="Times New Roman" w:eastAsia="宋体" w:cs="Times New Roman"/>
                      <w:color w:val="auto"/>
                      <w:kern w:val="24"/>
                      <w:sz w:val="21"/>
                      <w:szCs w:val="21"/>
                      <w:highlight w:val="none"/>
                      <w:u w:val="none" w:color="auto"/>
                      <w:lang w:val="en-US" w:eastAsia="zh-CN" w:bidi="ar"/>
                    </w:rPr>
                    <w:t>mg/m</w:t>
                  </w:r>
                  <w:r>
                    <w:rPr>
                      <w:rFonts w:hint="default" w:ascii="Times New Roman" w:hAnsi="Times New Roman" w:eastAsia="宋体" w:cs="Times New Roman"/>
                      <w:color w:val="auto"/>
                      <w:kern w:val="24"/>
                      <w:sz w:val="21"/>
                      <w:szCs w:val="21"/>
                      <w:highlight w:val="none"/>
                      <w:u w:val="none" w:color="auto"/>
                      <w:vertAlign w:val="superscript"/>
                      <w:lang w:val="en-US" w:eastAsia="zh-CN" w:bidi="ar"/>
                    </w:rPr>
                    <w:t>3</w:t>
                  </w:r>
                  <w:r>
                    <w:rPr>
                      <w:rFonts w:hint="default" w:ascii="Times New Roman" w:hAnsi="Times New Roman" w:eastAsia="宋体" w:cs="Times New Roman"/>
                      <w:color w:val="auto"/>
                      <w:kern w:val="0"/>
                      <w:sz w:val="21"/>
                      <w:szCs w:val="21"/>
                      <w:highlight w:val="none"/>
                      <w:u w:val="none" w:color="auto"/>
                      <w:lang w:val="en-US" w:eastAsia="zh-CN" w:bidi="ar-SA"/>
                    </w:rPr>
                    <w:t>（参照</w:t>
                  </w:r>
                  <w:r>
                    <w:rPr>
                      <w:rFonts w:hint="eastAsia" w:ascii="Times New Roman" w:hAnsi="Times New Roman" w:eastAsia="宋体" w:cs="Times New Roman"/>
                      <w:color w:val="auto"/>
                      <w:kern w:val="0"/>
                      <w:sz w:val="21"/>
                      <w:szCs w:val="21"/>
                      <w:highlight w:val="none"/>
                      <w:u w:val="none" w:color="auto"/>
                      <w:lang w:val="en-US" w:eastAsia="zh-CN" w:bidi="ar-SA"/>
                    </w:rPr>
                    <w:t>汽车制造</w:t>
                  </w:r>
                  <w:r>
                    <w:rPr>
                      <w:rFonts w:hint="default" w:ascii="Times New Roman" w:hAnsi="Times New Roman" w:eastAsia="宋体" w:cs="Times New Roman"/>
                      <w:color w:val="auto"/>
                      <w:kern w:val="0"/>
                      <w:sz w:val="21"/>
                      <w:szCs w:val="21"/>
                      <w:highlight w:val="none"/>
                      <w:u w:val="none" w:color="auto"/>
                      <w:lang w:val="en-US" w:eastAsia="zh-CN" w:bidi="ar-SA"/>
                    </w:rPr>
                    <w:t>限值）</w:t>
                  </w:r>
                </w:p>
              </w:tc>
              <w:tc>
                <w:tcPr>
                  <w:tcW w:w="1286" w:type="dxa"/>
                  <w:tcBorders>
                    <w:tl2br w:val="nil"/>
                    <w:tr2bl w:val="nil"/>
                  </w:tcBorders>
                  <w:noWrap w:val="0"/>
                  <w:vAlign w:val="center"/>
                </w:tcPr>
                <w:p w14:paraId="45964FA4">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cs="Times New Roman"/>
                      <w:color w:val="auto"/>
                      <w:kern w:val="24"/>
                      <w:sz w:val="21"/>
                      <w:szCs w:val="21"/>
                      <w:highlight w:val="none"/>
                      <w:u w:val="none" w:color="auto"/>
                      <w:lang w:val="en-US" w:eastAsia="zh-CN" w:bidi="ar"/>
                    </w:rPr>
                    <w:t>/</w:t>
                  </w:r>
                </w:p>
              </w:tc>
              <w:tc>
                <w:tcPr>
                  <w:tcW w:w="2451" w:type="dxa"/>
                  <w:vMerge w:val="continue"/>
                  <w:tcBorders>
                    <w:tl2br w:val="nil"/>
                    <w:tr2bl w:val="nil"/>
                  </w:tcBorders>
                  <w:noWrap w:val="0"/>
                  <w:vAlign w:val="center"/>
                </w:tcPr>
                <w:p w14:paraId="7022525A">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yellow"/>
                      <w:u w:val="none" w:color="auto"/>
                      <w:lang w:val="zh-CN" w:eastAsia="zh-CN" w:bidi="ar"/>
                    </w:rPr>
                  </w:pPr>
                </w:p>
              </w:tc>
            </w:tr>
            <w:tr w14:paraId="4D4C4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jc w:val="center"/>
              </w:trPr>
              <w:tc>
                <w:tcPr>
                  <w:tcW w:w="1479" w:type="dxa"/>
                  <w:tcBorders>
                    <w:tl2br w:val="nil"/>
                    <w:tr2bl w:val="nil"/>
                  </w:tcBorders>
                  <w:noWrap w:val="0"/>
                  <w:vAlign w:val="center"/>
                </w:tcPr>
                <w:p w14:paraId="23E3871B">
                  <w:pPr>
                    <w:widowControl/>
                    <w:snapToGrid w:val="0"/>
                    <w:spacing w:before="0" w:beforeAutospacing="0" w:after="0" w:afterAutospacing="0" w:line="260" w:lineRule="exact"/>
                    <w:jc w:val="center"/>
                    <w:rPr>
                      <w:rFonts w:hint="default" w:ascii="Times New Roman" w:hAnsi="Times New Roman" w:eastAsia="宋体" w:cs="Times New Roman"/>
                      <w:color w:val="auto"/>
                      <w:kern w:val="24"/>
                      <w:sz w:val="21"/>
                      <w:szCs w:val="21"/>
                      <w:highlight w:val="none"/>
                      <w:u w:val="none" w:color="auto"/>
                      <w:lang w:val="en-US" w:eastAsia="zh-CN" w:bidi="ar"/>
                    </w:rPr>
                  </w:pPr>
                  <w:r>
                    <w:rPr>
                      <w:rFonts w:hint="eastAsia" w:cs="Times New Roman"/>
                      <w:color w:val="auto"/>
                      <w:kern w:val="0"/>
                      <w:sz w:val="21"/>
                      <w:szCs w:val="21"/>
                      <w:highlight w:val="none"/>
                      <w:u w:val="none" w:color="auto"/>
                      <w:lang w:val="en-US" w:eastAsia="zh-CN" w:bidi="ar-SA"/>
                    </w:rPr>
                    <w:t>DA002</w:t>
                  </w:r>
                </w:p>
              </w:tc>
              <w:tc>
                <w:tcPr>
                  <w:tcW w:w="1154" w:type="dxa"/>
                  <w:tcBorders>
                    <w:tl2br w:val="nil"/>
                    <w:tr2bl w:val="nil"/>
                  </w:tcBorders>
                  <w:shd w:val="clear" w:color="auto" w:fill="auto"/>
                  <w:noWrap w:val="0"/>
                  <w:vAlign w:val="center"/>
                </w:tcPr>
                <w:p w14:paraId="537208B6">
                  <w:pPr>
                    <w:widowControl/>
                    <w:snapToGrid w:val="0"/>
                    <w:spacing w:before="0" w:beforeAutospacing="0" w:after="0" w:afterAutospacing="0" w:line="260" w:lineRule="exact"/>
                    <w:jc w:val="center"/>
                    <w:rPr>
                      <w:rFonts w:hint="eastAsia" w:ascii="Times New Roman" w:hAnsi="Times New Roman" w:eastAsia="宋体" w:cs="Times New Roman"/>
                      <w:color w:val="auto"/>
                      <w:kern w:val="0"/>
                      <w:sz w:val="21"/>
                      <w:szCs w:val="21"/>
                      <w:highlight w:val="none"/>
                      <w:u w:val="none" w:color="auto"/>
                      <w:lang w:val="en-US" w:eastAsia="zh-CN" w:bidi="ar-SA"/>
                    </w:rPr>
                  </w:pPr>
                  <w:r>
                    <w:rPr>
                      <w:rFonts w:hint="default" w:ascii="Times New Roman" w:hAnsi="Times New Roman" w:eastAsia="宋体" w:cs="Times New Roman"/>
                      <w:color w:val="auto"/>
                      <w:kern w:val="0"/>
                      <w:sz w:val="21"/>
                      <w:szCs w:val="21"/>
                      <w:highlight w:val="none"/>
                      <w:u w:val="none" w:color="auto"/>
                      <w:lang w:val="en-US" w:eastAsia="zh-CN" w:bidi="ar-SA"/>
                    </w:rPr>
                    <w:t>颗粒物</w:t>
                  </w:r>
                </w:p>
              </w:tc>
              <w:tc>
                <w:tcPr>
                  <w:tcW w:w="1688" w:type="dxa"/>
                  <w:tcBorders>
                    <w:tl2br w:val="nil"/>
                    <w:tr2bl w:val="nil"/>
                  </w:tcBorders>
                  <w:shd w:val="clear" w:color="auto" w:fill="auto"/>
                  <w:noWrap w:val="0"/>
                  <w:vAlign w:val="center"/>
                </w:tcPr>
                <w:p w14:paraId="6F127E2A">
                  <w:pPr>
                    <w:widowControl/>
                    <w:snapToGrid w:val="0"/>
                    <w:spacing w:before="0" w:beforeAutospacing="0" w:after="0" w:afterAutospacing="0" w:line="260" w:lineRule="exact"/>
                    <w:jc w:val="center"/>
                    <w:rPr>
                      <w:rFonts w:hint="eastAsia" w:ascii="Times New Roman" w:hAnsi="Times New Roman" w:eastAsia="宋体" w:cs="Times New Roman"/>
                      <w:color w:val="auto"/>
                      <w:kern w:val="24"/>
                      <w:sz w:val="21"/>
                      <w:szCs w:val="21"/>
                      <w:highlight w:val="none"/>
                      <w:u w:val="none" w:color="auto"/>
                      <w:vertAlign w:val="baseline"/>
                      <w:lang w:val="en-US" w:eastAsia="zh-CN" w:bidi="ar"/>
                    </w:rPr>
                  </w:pPr>
                  <w:r>
                    <w:rPr>
                      <w:rFonts w:hint="eastAsia" w:cs="Times New Roman"/>
                      <w:color w:val="auto"/>
                      <w:kern w:val="24"/>
                      <w:sz w:val="21"/>
                      <w:szCs w:val="21"/>
                      <w:highlight w:val="none"/>
                      <w:u w:val="none" w:color="auto"/>
                      <w:lang w:val="en-US" w:eastAsia="zh-CN" w:bidi="ar"/>
                    </w:rPr>
                    <w:t>120</w:t>
                  </w:r>
                  <w:r>
                    <w:rPr>
                      <w:rFonts w:hint="default" w:ascii="Times New Roman" w:hAnsi="Times New Roman" w:eastAsia="宋体" w:cs="Times New Roman"/>
                      <w:color w:val="auto"/>
                      <w:kern w:val="24"/>
                      <w:sz w:val="21"/>
                      <w:szCs w:val="21"/>
                      <w:highlight w:val="none"/>
                      <w:u w:val="none" w:color="auto"/>
                      <w:lang w:val="en-US" w:eastAsia="zh-CN" w:bidi="ar"/>
                    </w:rPr>
                    <w:t>mg/m</w:t>
                  </w:r>
                  <w:r>
                    <w:rPr>
                      <w:rFonts w:hint="default" w:ascii="Times New Roman" w:hAnsi="Times New Roman" w:eastAsia="宋体" w:cs="Times New Roman"/>
                      <w:color w:val="auto"/>
                      <w:kern w:val="24"/>
                      <w:sz w:val="21"/>
                      <w:szCs w:val="21"/>
                      <w:highlight w:val="none"/>
                      <w:u w:val="none" w:color="auto"/>
                      <w:vertAlign w:val="superscript"/>
                      <w:lang w:val="en-US" w:eastAsia="zh-CN" w:bidi="ar"/>
                    </w:rPr>
                    <w:t>3</w:t>
                  </w:r>
                </w:p>
              </w:tc>
              <w:tc>
                <w:tcPr>
                  <w:tcW w:w="1286" w:type="dxa"/>
                  <w:tcBorders>
                    <w:tl2br w:val="nil"/>
                    <w:tr2bl w:val="nil"/>
                  </w:tcBorders>
                  <w:noWrap w:val="0"/>
                  <w:vAlign w:val="center"/>
                </w:tcPr>
                <w:p w14:paraId="470AEDFA">
                  <w:pPr>
                    <w:widowControl/>
                    <w:snapToGrid w:val="0"/>
                    <w:spacing w:before="0" w:beforeAutospacing="0" w:after="0" w:afterAutospacing="0" w:line="260" w:lineRule="exact"/>
                    <w:jc w:val="center"/>
                    <w:rPr>
                      <w:rFonts w:hint="default" w:cs="Times New Roman"/>
                      <w:color w:val="auto"/>
                      <w:kern w:val="24"/>
                      <w:sz w:val="21"/>
                      <w:szCs w:val="21"/>
                      <w:highlight w:val="none"/>
                      <w:u w:val="none" w:color="auto"/>
                      <w:lang w:val="en-US" w:eastAsia="zh-CN" w:bidi="ar"/>
                    </w:rPr>
                  </w:pPr>
                  <w:r>
                    <w:rPr>
                      <w:rFonts w:hint="eastAsia" w:cs="Times New Roman"/>
                      <w:color w:val="auto"/>
                      <w:kern w:val="24"/>
                      <w:sz w:val="21"/>
                      <w:szCs w:val="21"/>
                      <w:highlight w:val="none"/>
                      <w:u w:val="none" w:color="auto"/>
                      <w:lang w:val="en-US" w:eastAsia="zh-CN" w:bidi="ar"/>
                    </w:rPr>
                    <w:t>3.5kg/h</w:t>
                  </w:r>
                </w:p>
              </w:tc>
              <w:tc>
                <w:tcPr>
                  <w:tcW w:w="2451" w:type="dxa"/>
                  <w:tcBorders>
                    <w:tl2br w:val="nil"/>
                    <w:tr2bl w:val="nil"/>
                  </w:tcBorders>
                  <w:noWrap w:val="0"/>
                  <w:vAlign w:val="center"/>
                </w:tcPr>
                <w:p w14:paraId="273B6B5E">
                  <w:pPr>
                    <w:widowControl/>
                    <w:snapToGrid w:val="0"/>
                    <w:spacing w:before="0" w:beforeAutospacing="0" w:after="0" w:afterAutospacing="0" w:line="260" w:lineRule="exact"/>
                    <w:jc w:val="center"/>
                    <w:rPr>
                      <w:rFonts w:hint="default" w:ascii="Times New Roman" w:hAnsi="Times New Roman" w:eastAsia="宋体" w:cs="Times New Roman"/>
                      <w:color w:val="auto"/>
                      <w:kern w:val="0"/>
                      <w:sz w:val="21"/>
                      <w:szCs w:val="21"/>
                      <w:highlight w:val="none"/>
                      <w:u w:val="none" w:color="auto"/>
                      <w:lang w:val="zh-CN" w:eastAsia="zh-CN" w:bidi="ar-SA"/>
                    </w:rPr>
                  </w:pPr>
                  <w:r>
                    <w:rPr>
                      <w:rFonts w:hint="default" w:ascii="Times New Roman" w:hAnsi="Times New Roman" w:eastAsia="宋体" w:cs="Times New Roman"/>
                      <w:color w:val="auto"/>
                      <w:kern w:val="0"/>
                      <w:sz w:val="21"/>
                      <w:szCs w:val="21"/>
                      <w:highlight w:val="none"/>
                      <w:u w:val="none" w:color="auto"/>
                      <w:lang w:val="zh-CN" w:eastAsia="zh-CN" w:bidi="ar-SA"/>
                    </w:rPr>
                    <w:t>《大气污染物综合排放标准》（GB16297-1996）表2中的二级排放标准</w:t>
                  </w:r>
                </w:p>
              </w:tc>
            </w:tr>
          </w:tbl>
          <w:p w14:paraId="40EE8C1F">
            <w:pPr>
              <w:keepNext w:val="0"/>
              <w:keepLines w:val="0"/>
              <w:widowControl w:val="0"/>
              <w:suppressLineNumbers w:val="0"/>
              <w:spacing w:before="0" w:beforeAutospacing="0" w:after="0" w:afterAutospacing="0" w:line="360" w:lineRule="exact"/>
              <w:ind w:left="0" w:right="0" w:firstLine="0" w:firstLineChars="0"/>
              <w:jc w:val="center"/>
              <w:outlineLvl w:val="9"/>
              <w:rPr>
                <w:rFonts w:hint="eastAsia" w:ascii="Times New Roman" w:hAnsi="Times New Roman" w:eastAsia="宋体" w:cs="Times New Roman"/>
                <w:b/>
                <w:bCs/>
                <w:snapToGrid/>
                <w:color w:val="auto"/>
                <w:kern w:val="2"/>
                <w:sz w:val="21"/>
                <w:szCs w:val="21"/>
                <w:highlight w:val="none"/>
                <w:u w:val="none" w:color="auto"/>
                <w:lang w:val="en-US" w:eastAsia="zh-CN" w:bidi="ar"/>
              </w:rPr>
            </w:pPr>
            <w:r>
              <w:rPr>
                <w:rFonts w:hint="eastAsia" w:ascii="Times New Roman" w:hAnsi="Times New Roman" w:eastAsia="宋体" w:cs="Times New Roman"/>
                <w:b/>
                <w:bCs/>
                <w:snapToGrid/>
                <w:color w:val="auto"/>
                <w:kern w:val="2"/>
                <w:sz w:val="21"/>
                <w:szCs w:val="21"/>
                <w:highlight w:val="none"/>
                <w:u w:val="none" w:color="auto"/>
                <w:lang w:val="en-US" w:eastAsia="zh-CN" w:bidi="ar"/>
              </w:rPr>
              <w:t>表3-</w:t>
            </w:r>
            <w:r>
              <w:rPr>
                <w:rFonts w:hint="eastAsia" w:cs="Times New Roman"/>
                <w:b/>
                <w:bCs/>
                <w:snapToGrid/>
                <w:color w:val="auto"/>
                <w:kern w:val="2"/>
                <w:sz w:val="21"/>
                <w:szCs w:val="21"/>
                <w:highlight w:val="none"/>
                <w:u w:val="none" w:color="auto"/>
                <w:lang w:val="en-US" w:eastAsia="zh-CN" w:bidi="ar"/>
              </w:rPr>
              <w:t>8</w:t>
            </w:r>
            <w:r>
              <w:rPr>
                <w:rFonts w:hint="eastAsia" w:ascii="Times New Roman" w:hAnsi="Times New Roman" w:eastAsia="宋体" w:cs="Times New Roman"/>
                <w:b/>
                <w:bCs/>
                <w:snapToGrid/>
                <w:color w:val="auto"/>
                <w:kern w:val="2"/>
                <w:sz w:val="21"/>
                <w:szCs w:val="21"/>
                <w:highlight w:val="none"/>
                <w:u w:val="none" w:color="auto"/>
                <w:lang w:val="en-US" w:eastAsia="zh-CN" w:bidi="ar"/>
              </w:rPr>
              <w:t xml:space="preserve">   大气污染物无组织排放执行标准</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1"/>
              <w:gridCol w:w="1587"/>
              <w:gridCol w:w="1813"/>
              <w:gridCol w:w="3230"/>
            </w:tblGrid>
            <w:tr w14:paraId="467D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933" w:type="pct"/>
                  <w:vMerge w:val="restart"/>
                  <w:noWrap w:val="0"/>
                  <w:vAlign w:val="center"/>
                </w:tcPr>
                <w:p w14:paraId="3D06C73D">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b/>
                      <w:bCs/>
                      <w:color w:val="auto"/>
                      <w:kern w:val="0"/>
                      <w:sz w:val="21"/>
                      <w:szCs w:val="21"/>
                      <w:highlight w:val="none"/>
                      <w:u w:val="none" w:color="auto"/>
                      <w:lang w:val="en-US" w:eastAsia="zh-CN" w:bidi="ar-SA"/>
                    </w:rPr>
                  </w:pPr>
                  <w:r>
                    <w:rPr>
                      <w:rFonts w:ascii="Times New Roman" w:hAnsi="Times New Roman" w:eastAsia="宋体" w:cs="Times New Roman"/>
                      <w:b/>
                      <w:bCs/>
                      <w:color w:val="auto"/>
                      <w:kern w:val="0"/>
                      <w:sz w:val="21"/>
                      <w:szCs w:val="21"/>
                      <w:highlight w:val="none"/>
                      <w:u w:val="none" w:color="auto"/>
                      <w:lang w:val="en-US" w:eastAsia="zh-CN" w:bidi="ar-SA"/>
                    </w:rPr>
                    <w:t>污染物</w:t>
                  </w:r>
                </w:p>
              </w:tc>
              <w:tc>
                <w:tcPr>
                  <w:tcW w:w="2085" w:type="pct"/>
                  <w:gridSpan w:val="2"/>
                  <w:noWrap w:val="0"/>
                  <w:vAlign w:val="center"/>
                </w:tcPr>
                <w:p w14:paraId="2267B59E">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b/>
                      <w:bCs/>
                      <w:color w:val="auto"/>
                      <w:kern w:val="0"/>
                      <w:sz w:val="21"/>
                      <w:szCs w:val="21"/>
                      <w:highlight w:val="none"/>
                      <w:u w:val="none" w:color="auto"/>
                      <w:lang w:val="en-US" w:eastAsia="zh-CN" w:bidi="ar-SA"/>
                    </w:rPr>
                  </w:pPr>
                  <w:r>
                    <w:rPr>
                      <w:rFonts w:ascii="Times New Roman" w:hAnsi="Times New Roman" w:eastAsia="宋体" w:cs="Times New Roman"/>
                      <w:b/>
                      <w:bCs/>
                      <w:color w:val="auto"/>
                      <w:kern w:val="0"/>
                      <w:sz w:val="21"/>
                      <w:szCs w:val="21"/>
                      <w:highlight w:val="none"/>
                      <w:u w:val="none" w:color="auto"/>
                      <w:lang w:val="en-US" w:eastAsia="zh-CN" w:bidi="ar-SA"/>
                    </w:rPr>
                    <w:t>无组织排放</w:t>
                  </w:r>
                </w:p>
              </w:tc>
              <w:tc>
                <w:tcPr>
                  <w:tcW w:w="1981" w:type="pct"/>
                  <w:vMerge w:val="restart"/>
                  <w:noWrap w:val="0"/>
                  <w:vAlign w:val="center"/>
                </w:tcPr>
                <w:p w14:paraId="53C1CEBF">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b/>
                      <w:bCs/>
                      <w:color w:val="auto"/>
                      <w:kern w:val="0"/>
                      <w:sz w:val="21"/>
                      <w:szCs w:val="21"/>
                      <w:highlight w:val="none"/>
                      <w:u w:val="none" w:color="auto"/>
                      <w:lang w:val="en-US" w:eastAsia="zh-CN" w:bidi="ar-SA"/>
                    </w:rPr>
                  </w:pPr>
                  <w:r>
                    <w:rPr>
                      <w:rFonts w:ascii="Times New Roman" w:hAnsi="Times New Roman" w:eastAsia="宋体" w:cs="Times New Roman"/>
                      <w:b/>
                      <w:bCs/>
                      <w:color w:val="auto"/>
                      <w:kern w:val="0"/>
                      <w:sz w:val="21"/>
                      <w:szCs w:val="21"/>
                      <w:highlight w:val="none"/>
                      <w:u w:val="none" w:color="auto"/>
                      <w:lang w:val="en-US" w:eastAsia="zh-CN" w:bidi="ar-SA"/>
                    </w:rPr>
                    <w:t>执行标准</w:t>
                  </w:r>
                </w:p>
              </w:tc>
            </w:tr>
            <w:tr w14:paraId="29AE1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blHeader/>
                <w:jc w:val="center"/>
              </w:trPr>
              <w:tc>
                <w:tcPr>
                  <w:tcW w:w="933" w:type="pct"/>
                  <w:vMerge w:val="continue"/>
                  <w:noWrap w:val="0"/>
                  <w:vAlign w:val="center"/>
                </w:tcPr>
                <w:p w14:paraId="66E584D0">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none"/>
                      <w:u w:val="none" w:color="auto"/>
                      <w:lang w:val="en-US" w:eastAsia="zh-CN" w:bidi="ar-SA"/>
                    </w:rPr>
                  </w:pPr>
                </w:p>
              </w:tc>
              <w:tc>
                <w:tcPr>
                  <w:tcW w:w="973" w:type="pct"/>
                  <w:noWrap w:val="0"/>
                  <w:vAlign w:val="center"/>
                </w:tcPr>
                <w:p w14:paraId="5F4B0E35">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b/>
                      <w:bCs/>
                      <w:color w:val="auto"/>
                      <w:kern w:val="0"/>
                      <w:sz w:val="21"/>
                      <w:szCs w:val="21"/>
                      <w:highlight w:val="none"/>
                      <w:u w:val="none" w:color="auto"/>
                      <w:lang w:val="en-US" w:eastAsia="zh-CN" w:bidi="ar-SA"/>
                    </w:rPr>
                  </w:pPr>
                  <w:r>
                    <w:rPr>
                      <w:rFonts w:ascii="Times New Roman" w:hAnsi="Times New Roman" w:eastAsia="宋体" w:cs="Times New Roman"/>
                      <w:b/>
                      <w:bCs/>
                      <w:color w:val="auto"/>
                      <w:kern w:val="0"/>
                      <w:sz w:val="21"/>
                      <w:szCs w:val="21"/>
                      <w:highlight w:val="none"/>
                      <w:u w:val="none" w:color="auto"/>
                      <w:lang w:val="en-US" w:eastAsia="zh-CN" w:bidi="ar-SA"/>
                    </w:rPr>
                    <w:t>排放浓度(mg/m</w:t>
                  </w:r>
                  <w:r>
                    <w:rPr>
                      <w:rFonts w:ascii="Times New Roman" w:hAnsi="Times New Roman" w:eastAsia="宋体" w:cs="Times New Roman"/>
                      <w:b/>
                      <w:bCs/>
                      <w:color w:val="auto"/>
                      <w:kern w:val="0"/>
                      <w:sz w:val="21"/>
                      <w:szCs w:val="21"/>
                      <w:highlight w:val="none"/>
                      <w:u w:val="none" w:color="auto"/>
                      <w:vertAlign w:val="superscript"/>
                      <w:lang w:val="en-US" w:eastAsia="zh-CN" w:bidi="ar-SA"/>
                    </w:rPr>
                    <w:t>3</w:t>
                  </w:r>
                  <w:r>
                    <w:rPr>
                      <w:rFonts w:ascii="Times New Roman" w:hAnsi="Times New Roman" w:eastAsia="宋体" w:cs="Times New Roman"/>
                      <w:b/>
                      <w:bCs/>
                      <w:color w:val="auto"/>
                      <w:kern w:val="0"/>
                      <w:sz w:val="21"/>
                      <w:szCs w:val="21"/>
                      <w:highlight w:val="none"/>
                      <w:u w:val="none" w:color="auto"/>
                      <w:lang w:val="en-US" w:eastAsia="zh-CN" w:bidi="ar-SA"/>
                    </w:rPr>
                    <w:t>)</w:t>
                  </w:r>
                </w:p>
              </w:tc>
              <w:tc>
                <w:tcPr>
                  <w:tcW w:w="1112" w:type="pct"/>
                  <w:noWrap w:val="0"/>
                  <w:vAlign w:val="center"/>
                </w:tcPr>
                <w:p w14:paraId="7353C29F">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b/>
                      <w:bCs/>
                      <w:color w:val="auto"/>
                      <w:kern w:val="0"/>
                      <w:sz w:val="21"/>
                      <w:szCs w:val="21"/>
                      <w:highlight w:val="none"/>
                      <w:u w:val="none" w:color="auto"/>
                      <w:lang w:val="en-US" w:eastAsia="zh-CN" w:bidi="ar-SA"/>
                    </w:rPr>
                  </w:pPr>
                  <w:r>
                    <w:rPr>
                      <w:rFonts w:ascii="Times New Roman" w:hAnsi="Times New Roman" w:eastAsia="宋体" w:cs="Times New Roman"/>
                      <w:b/>
                      <w:bCs/>
                      <w:color w:val="auto"/>
                      <w:kern w:val="0"/>
                      <w:sz w:val="21"/>
                      <w:szCs w:val="21"/>
                      <w:highlight w:val="none"/>
                      <w:u w:val="none" w:color="auto"/>
                      <w:lang w:val="en-US" w:eastAsia="zh-CN" w:bidi="ar-SA"/>
                    </w:rPr>
                    <w:t>监控点</w:t>
                  </w:r>
                </w:p>
              </w:tc>
              <w:tc>
                <w:tcPr>
                  <w:tcW w:w="1981" w:type="pct"/>
                  <w:vMerge w:val="continue"/>
                  <w:noWrap w:val="0"/>
                  <w:vAlign w:val="center"/>
                </w:tcPr>
                <w:p w14:paraId="38B07563">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none"/>
                      <w:u w:val="none" w:color="auto"/>
                      <w:lang w:val="en-US" w:eastAsia="zh-CN" w:bidi="ar-SA"/>
                    </w:rPr>
                  </w:pPr>
                </w:p>
              </w:tc>
            </w:tr>
            <w:tr w14:paraId="34C16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933" w:type="pct"/>
                  <w:noWrap w:val="0"/>
                  <w:vAlign w:val="center"/>
                </w:tcPr>
                <w:p w14:paraId="1285BDA9">
                  <w:pPr>
                    <w:keepNext w:val="0"/>
                    <w:keepLines w:val="0"/>
                    <w:pageBreakBefore w:val="0"/>
                    <w:widowControl w:val="0"/>
                    <w:kinsoku/>
                    <w:wordWrap/>
                    <w:overflowPunct/>
                    <w:topLinePunct w:val="0"/>
                    <w:autoSpaceDE/>
                    <w:autoSpaceDN/>
                    <w:bidi w:val="0"/>
                    <w:spacing w:line="260" w:lineRule="exact"/>
                    <w:jc w:val="center"/>
                    <w:textAlignment w:val="auto"/>
                    <w:rPr>
                      <w:rFonts w:hint="eastAsia" w:ascii="Times New Roman" w:hAnsi="Times New Roman" w:eastAsia="宋体" w:cs="Times New Roman"/>
                      <w:color w:val="auto"/>
                      <w:kern w:val="0"/>
                      <w:sz w:val="21"/>
                      <w:szCs w:val="21"/>
                      <w:highlight w:val="none"/>
                      <w:u w:val="none" w:color="auto"/>
                      <w:lang w:val="en-US" w:eastAsia="zh-CN" w:bidi="ar-SA"/>
                    </w:rPr>
                  </w:pPr>
                  <w:r>
                    <w:rPr>
                      <w:rFonts w:hint="eastAsia" w:ascii="Times New Roman" w:hAnsi="Times New Roman" w:eastAsia="宋体" w:cs="Times New Roman"/>
                      <w:color w:val="auto"/>
                      <w:kern w:val="0"/>
                      <w:sz w:val="21"/>
                      <w:szCs w:val="21"/>
                      <w:highlight w:val="none"/>
                      <w:u w:val="none" w:color="auto"/>
                      <w:lang w:val="en-US" w:eastAsia="zh-CN" w:bidi="ar-SA"/>
                    </w:rPr>
                    <w:t>颗粒物</w:t>
                  </w:r>
                </w:p>
              </w:tc>
              <w:tc>
                <w:tcPr>
                  <w:tcW w:w="973" w:type="pct"/>
                  <w:noWrap w:val="0"/>
                  <w:vAlign w:val="center"/>
                </w:tcPr>
                <w:p w14:paraId="27680893">
                  <w:pPr>
                    <w:keepNext w:val="0"/>
                    <w:keepLines w:val="0"/>
                    <w:pageBreakBefore w:val="0"/>
                    <w:widowControl w:val="0"/>
                    <w:kinsoku/>
                    <w:wordWrap/>
                    <w:overflowPunct/>
                    <w:topLinePunct w:val="0"/>
                    <w:autoSpaceDE/>
                    <w:autoSpaceDN/>
                    <w:bidi w:val="0"/>
                    <w:spacing w:line="260" w:lineRule="exact"/>
                    <w:jc w:val="center"/>
                    <w:textAlignment w:val="auto"/>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ascii="Times New Roman" w:hAnsi="Times New Roman" w:eastAsia="宋体" w:cs="Times New Roman"/>
                      <w:color w:val="auto"/>
                      <w:kern w:val="0"/>
                      <w:sz w:val="21"/>
                      <w:szCs w:val="21"/>
                      <w:highlight w:val="none"/>
                      <w:u w:val="none" w:color="auto"/>
                      <w:lang w:val="en-US" w:eastAsia="zh-CN" w:bidi="ar-SA"/>
                    </w:rPr>
                    <w:t>1.0</w:t>
                  </w:r>
                </w:p>
              </w:tc>
              <w:tc>
                <w:tcPr>
                  <w:tcW w:w="1112" w:type="pct"/>
                  <w:vMerge w:val="restart"/>
                  <w:noWrap w:val="0"/>
                  <w:vAlign w:val="center"/>
                </w:tcPr>
                <w:p w14:paraId="4B5C8F2D">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none"/>
                      <w:u w:val="none" w:color="auto"/>
                      <w:lang w:val="en-US" w:eastAsia="zh-CN" w:bidi="ar-SA"/>
                    </w:rPr>
                  </w:pPr>
                  <w:r>
                    <w:rPr>
                      <w:rFonts w:ascii="Times New Roman" w:hAnsi="Times New Roman" w:eastAsia="宋体" w:cs="Times New Roman"/>
                      <w:color w:val="auto"/>
                      <w:kern w:val="0"/>
                      <w:sz w:val="21"/>
                      <w:szCs w:val="21"/>
                      <w:highlight w:val="none"/>
                      <w:u w:val="none" w:color="auto"/>
                      <w:lang w:val="en-US" w:eastAsia="zh-CN" w:bidi="ar-SA"/>
                    </w:rPr>
                    <w:t>周界外浓度最高点</w:t>
                  </w:r>
                </w:p>
              </w:tc>
              <w:tc>
                <w:tcPr>
                  <w:tcW w:w="1981" w:type="pct"/>
                  <w:vMerge w:val="restart"/>
                  <w:noWrap w:val="0"/>
                  <w:vAlign w:val="center"/>
                </w:tcPr>
                <w:p w14:paraId="0C28E97B">
                  <w:pPr>
                    <w:keepNext w:val="0"/>
                    <w:keepLines w:val="0"/>
                    <w:pageBreakBefore w:val="0"/>
                    <w:widowControl w:val="0"/>
                    <w:kinsoku/>
                    <w:wordWrap/>
                    <w:overflowPunct/>
                    <w:topLinePunct w:val="0"/>
                    <w:autoSpaceDE/>
                    <w:autoSpaceDN/>
                    <w:bidi w:val="0"/>
                    <w:spacing w:line="260" w:lineRule="exact"/>
                    <w:jc w:val="center"/>
                    <w:textAlignment w:val="auto"/>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ascii="Times New Roman" w:hAnsi="Times New Roman" w:eastAsia="宋体" w:cs="Times New Roman"/>
                      <w:color w:val="auto"/>
                      <w:kern w:val="0"/>
                      <w:sz w:val="21"/>
                      <w:szCs w:val="21"/>
                      <w:highlight w:val="none"/>
                      <w:u w:val="none" w:color="auto"/>
                      <w:lang w:val="en-US" w:eastAsia="zh-CN" w:bidi="ar-SA"/>
                    </w:rPr>
                    <w:t>《</w:t>
                  </w:r>
                  <w:r>
                    <w:rPr>
                      <w:rFonts w:hint="default" w:ascii="Times New Roman" w:hAnsi="Times New Roman" w:eastAsia="宋体" w:cs="Times New Roman"/>
                      <w:color w:val="auto"/>
                      <w:kern w:val="0"/>
                      <w:sz w:val="21"/>
                      <w:szCs w:val="21"/>
                      <w:highlight w:val="none"/>
                      <w:u w:val="none" w:color="auto"/>
                      <w:lang w:val="en-US" w:eastAsia="zh-CN" w:bidi="ar-SA"/>
                    </w:rPr>
                    <w:t>大气污染物综合排放标准</w:t>
                  </w:r>
                  <w:r>
                    <w:rPr>
                      <w:rFonts w:hint="eastAsia" w:ascii="Times New Roman" w:hAnsi="Times New Roman" w:eastAsia="宋体" w:cs="Times New Roman"/>
                      <w:color w:val="auto"/>
                      <w:kern w:val="0"/>
                      <w:sz w:val="21"/>
                      <w:szCs w:val="21"/>
                      <w:highlight w:val="none"/>
                      <w:u w:val="none" w:color="auto"/>
                      <w:lang w:val="en-US" w:eastAsia="zh-CN" w:bidi="ar-SA"/>
                    </w:rPr>
                    <w:t>》</w:t>
                  </w:r>
                  <w:r>
                    <w:rPr>
                      <w:rFonts w:hint="default" w:ascii="Times New Roman" w:hAnsi="Times New Roman" w:eastAsia="宋体" w:cs="Times New Roman"/>
                      <w:color w:val="auto"/>
                      <w:kern w:val="0"/>
                      <w:sz w:val="21"/>
                      <w:szCs w:val="21"/>
                      <w:highlight w:val="none"/>
                      <w:u w:val="none" w:color="auto"/>
                      <w:lang w:val="en-US" w:eastAsia="zh-CN" w:bidi="ar-SA"/>
                    </w:rPr>
                    <w:t>（GB16297-1996）</w:t>
                  </w:r>
                  <w:r>
                    <w:rPr>
                      <w:rFonts w:hint="eastAsia" w:cs="Times New Roman"/>
                      <w:color w:val="auto"/>
                      <w:kern w:val="0"/>
                      <w:sz w:val="21"/>
                      <w:szCs w:val="21"/>
                      <w:highlight w:val="none"/>
                      <w:u w:val="none" w:color="auto"/>
                      <w:lang w:val="en-US" w:eastAsia="zh-CN" w:bidi="ar-SA"/>
                    </w:rPr>
                    <w:t>无组织限制要求</w:t>
                  </w:r>
                </w:p>
              </w:tc>
            </w:tr>
            <w:tr w14:paraId="684C3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933" w:type="pct"/>
                  <w:noWrap w:val="0"/>
                  <w:vAlign w:val="center"/>
                </w:tcPr>
                <w:p w14:paraId="5246DEF8">
                  <w:pPr>
                    <w:keepNext w:val="0"/>
                    <w:keepLines w:val="0"/>
                    <w:pageBreakBefore w:val="0"/>
                    <w:widowControl w:val="0"/>
                    <w:kinsoku/>
                    <w:wordWrap/>
                    <w:overflowPunct/>
                    <w:topLinePunct w:val="0"/>
                    <w:autoSpaceDE/>
                    <w:autoSpaceDN/>
                    <w:bidi w:val="0"/>
                    <w:spacing w:line="260" w:lineRule="exact"/>
                    <w:jc w:val="center"/>
                    <w:textAlignment w:val="auto"/>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ascii="Times New Roman" w:hAnsi="Times New Roman" w:eastAsia="宋体" w:cs="Times New Roman"/>
                      <w:color w:val="auto"/>
                      <w:kern w:val="0"/>
                      <w:sz w:val="21"/>
                      <w:szCs w:val="21"/>
                      <w:highlight w:val="none"/>
                      <w:u w:val="none" w:color="auto"/>
                      <w:lang w:val="en-US" w:eastAsia="zh-CN" w:bidi="ar-SA"/>
                    </w:rPr>
                    <w:t>甲苯</w:t>
                  </w:r>
                </w:p>
              </w:tc>
              <w:tc>
                <w:tcPr>
                  <w:tcW w:w="973" w:type="pct"/>
                  <w:noWrap w:val="0"/>
                  <w:vAlign w:val="center"/>
                </w:tcPr>
                <w:p w14:paraId="538EAF08">
                  <w:pPr>
                    <w:keepNext w:val="0"/>
                    <w:keepLines w:val="0"/>
                    <w:pageBreakBefore w:val="0"/>
                    <w:widowControl w:val="0"/>
                    <w:kinsoku/>
                    <w:wordWrap/>
                    <w:overflowPunct/>
                    <w:topLinePunct w:val="0"/>
                    <w:autoSpaceDE/>
                    <w:autoSpaceDN/>
                    <w:bidi w:val="0"/>
                    <w:spacing w:line="260" w:lineRule="exact"/>
                    <w:jc w:val="center"/>
                    <w:textAlignment w:val="auto"/>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ascii="Times New Roman" w:hAnsi="Times New Roman" w:eastAsia="宋体" w:cs="Times New Roman"/>
                      <w:color w:val="auto"/>
                      <w:kern w:val="0"/>
                      <w:sz w:val="21"/>
                      <w:szCs w:val="21"/>
                      <w:highlight w:val="none"/>
                      <w:u w:val="none" w:color="auto"/>
                      <w:lang w:val="en-US" w:eastAsia="zh-CN" w:bidi="ar-SA"/>
                    </w:rPr>
                    <w:t>2.4</w:t>
                  </w:r>
                </w:p>
              </w:tc>
              <w:tc>
                <w:tcPr>
                  <w:tcW w:w="1112" w:type="pct"/>
                  <w:vMerge w:val="continue"/>
                  <w:noWrap w:val="0"/>
                  <w:vAlign w:val="center"/>
                </w:tcPr>
                <w:p w14:paraId="5FF8C608">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none"/>
                      <w:u w:val="none" w:color="auto"/>
                      <w:lang w:val="en-US" w:eastAsia="zh-CN" w:bidi="ar-SA"/>
                    </w:rPr>
                  </w:pPr>
                </w:p>
              </w:tc>
              <w:tc>
                <w:tcPr>
                  <w:tcW w:w="1981" w:type="pct"/>
                  <w:vMerge w:val="continue"/>
                  <w:noWrap w:val="0"/>
                  <w:vAlign w:val="center"/>
                </w:tcPr>
                <w:p w14:paraId="3187091E">
                  <w:pPr>
                    <w:keepNext w:val="0"/>
                    <w:keepLines w:val="0"/>
                    <w:pageBreakBefore w:val="0"/>
                    <w:widowControl w:val="0"/>
                    <w:kinsoku/>
                    <w:wordWrap/>
                    <w:overflowPunct/>
                    <w:topLinePunct w:val="0"/>
                    <w:autoSpaceDE/>
                    <w:autoSpaceDN/>
                    <w:bidi w:val="0"/>
                    <w:spacing w:line="260" w:lineRule="exact"/>
                    <w:jc w:val="center"/>
                    <w:textAlignment w:val="auto"/>
                    <w:rPr>
                      <w:rFonts w:hint="eastAsia" w:ascii="Times New Roman" w:hAnsi="Times New Roman" w:eastAsia="宋体" w:cs="Times New Roman"/>
                      <w:color w:val="auto"/>
                      <w:kern w:val="0"/>
                      <w:sz w:val="21"/>
                      <w:szCs w:val="21"/>
                      <w:highlight w:val="none"/>
                      <w:u w:val="none" w:color="auto"/>
                      <w:lang w:val="en-US" w:eastAsia="zh-CN" w:bidi="ar-SA"/>
                    </w:rPr>
                  </w:pPr>
                </w:p>
              </w:tc>
            </w:tr>
            <w:tr w14:paraId="5EAFA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blHeader/>
                <w:jc w:val="center"/>
              </w:trPr>
              <w:tc>
                <w:tcPr>
                  <w:tcW w:w="933" w:type="pct"/>
                  <w:noWrap w:val="0"/>
                  <w:vAlign w:val="center"/>
                </w:tcPr>
                <w:p w14:paraId="40DC7344">
                  <w:pPr>
                    <w:keepNext w:val="0"/>
                    <w:keepLines w:val="0"/>
                    <w:pageBreakBefore w:val="0"/>
                    <w:widowControl w:val="0"/>
                    <w:kinsoku/>
                    <w:wordWrap/>
                    <w:overflowPunct/>
                    <w:topLinePunct w:val="0"/>
                    <w:autoSpaceDE/>
                    <w:autoSpaceDN/>
                    <w:bidi w:val="0"/>
                    <w:spacing w:line="260" w:lineRule="exact"/>
                    <w:jc w:val="center"/>
                    <w:textAlignment w:val="auto"/>
                    <w:rPr>
                      <w:rFonts w:hint="eastAsia" w:ascii="Times New Roman" w:hAnsi="Times New Roman" w:eastAsia="宋体" w:cs="Times New Roman"/>
                      <w:color w:val="auto"/>
                      <w:kern w:val="0"/>
                      <w:sz w:val="21"/>
                      <w:szCs w:val="21"/>
                      <w:highlight w:val="none"/>
                      <w:u w:val="none" w:color="auto"/>
                      <w:lang w:val="en-US" w:eastAsia="zh-CN" w:bidi="ar-SA"/>
                    </w:rPr>
                  </w:pPr>
                  <w:r>
                    <w:rPr>
                      <w:rFonts w:hint="eastAsia" w:ascii="Times New Roman" w:hAnsi="Times New Roman" w:eastAsia="宋体" w:cs="Times New Roman"/>
                      <w:color w:val="auto"/>
                      <w:kern w:val="0"/>
                      <w:sz w:val="21"/>
                      <w:szCs w:val="21"/>
                      <w:highlight w:val="none"/>
                      <w:u w:val="none" w:color="auto"/>
                      <w:lang w:val="en-US" w:eastAsia="zh-CN" w:bidi="ar-SA"/>
                    </w:rPr>
                    <w:t>二甲苯</w:t>
                  </w:r>
                </w:p>
              </w:tc>
              <w:tc>
                <w:tcPr>
                  <w:tcW w:w="973" w:type="pct"/>
                  <w:noWrap w:val="0"/>
                  <w:vAlign w:val="center"/>
                </w:tcPr>
                <w:p w14:paraId="690FD77D">
                  <w:pPr>
                    <w:keepNext w:val="0"/>
                    <w:keepLines w:val="0"/>
                    <w:pageBreakBefore w:val="0"/>
                    <w:widowControl w:val="0"/>
                    <w:kinsoku/>
                    <w:wordWrap/>
                    <w:overflowPunct/>
                    <w:topLinePunct w:val="0"/>
                    <w:autoSpaceDE/>
                    <w:autoSpaceDN/>
                    <w:bidi w:val="0"/>
                    <w:spacing w:line="260" w:lineRule="exact"/>
                    <w:jc w:val="center"/>
                    <w:textAlignment w:val="auto"/>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ascii="Times New Roman" w:hAnsi="Times New Roman" w:eastAsia="宋体" w:cs="Times New Roman"/>
                      <w:color w:val="auto"/>
                      <w:kern w:val="0"/>
                      <w:sz w:val="21"/>
                      <w:szCs w:val="21"/>
                      <w:highlight w:val="none"/>
                      <w:u w:val="none" w:color="auto"/>
                      <w:lang w:val="en-US" w:eastAsia="zh-CN" w:bidi="ar-SA"/>
                    </w:rPr>
                    <w:t>1.2</w:t>
                  </w:r>
                </w:p>
              </w:tc>
              <w:tc>
                <w:tcPr>
                  <w:tcW w:w="1112" w:type="pct"/>
                  <w:vMerge w:val="continue"/>
                  <w:noWrap w:val="0"/>
                  <w:vAlign w:val="center"/>
                </w:tcPr>
                <w:p w14:paraId="619C586F">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none"/>
                      <w:u w:val="none" w:color="auto"/>
                      <w:lang w:val="en-US" w:eastAsia="zh-CN" w:bidi="ar-SA"/>
                    </w:rPr>
                  </w:pPr>
                </w:p>
              </w:tc>
              <w:tc>
                <w:tcPr>
                  <w:tcW w:w="1981" w:type="pct"/>
                  <w:vMerge w:val="continue"/>
                  <w:noWrap w:val="0"/>
                  <w:vAlign w:val="center"/>
                </w:tcPr>
                <w:p w14:paraId="6EC86F9D">
                  <w:pPr>
                    <w:keepNext w:val="0"/>
                    <w:keepLines w:val="0"/>
                    <w:pageBreakBefore w:val="0"/>
                    <w:widowControl w:val="0"/>
                    <w:kinsoku/>
                    <w:wordWrap/>
                    <w:overflowPunct/>
                    <w:topLinePunct w:val="0"/>
                    <w:autoSpaceDE/>
                    <w:autoSpaceDN/>
                    <w:bidi w:val="0"/>
                    <w:spacing w:line="260" w:lineRule="exact"/>
                    <w:jc w:val="center"/>
                    <w:textAlignment w:val="auto"/>
                    <w:rPr>
                      <w:rFonts w:hint="eastAsia" w:ascii="Times New Roman" w:hAnsi="Times New Roman" w:eastAsia="宋体" w:cs="Times New Roman"/>
                      <w:color w:val="auto"/>
                      <w:kern w:val="0"/>
                      <w:sz w:val="21"/>
                      <w:szCs w:val="21"/>
                      <w:highlight w:val="none"/>
                      <w:u w:val="none" w:color="auto"/>
                      <w:lang w:val="en-US" w:eastAsia="zh-CN" w:bidi="ar-SA"/>
                    </w:rPr>
                  </w:pPr>
                </w:p>
              </w:tc>
            </w:tr>
            <w:tr w14:paraId="1B87E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blHeader/>
                <w:jc w:val="center"/>
              </w:trPr>
              <w:tc>
                <w:tcPr>
                  <w:tcW w:w="933" w:type="pct"/>
                  <w:noWrap w:val="0"/>
                  <w:vAlign w:val="center"/>
                </w:tcPr>
                <w:p w14:paraId="51FFE3E8">
                  <w:pPr>
                    <w:keepNext w:val="0"/>
                    <w:keepLines w:val="0"/>
                    <w:pageBreakBefore w:val="0"/>
                    <w:widowControl w:val="0"/>
                    <w:kinsoku/>
                    <w:wordWrap/>
                    <w:overflowPunct/>
                    <w:topLinePunct w:val="0"/>
                    <w:autoSpaceDE/>
                    <w:autoSpaceDN/>
                    <w:bidi w:val="0"/>
                    <w:spacing w:line="260" w:lineRule="exact"/>
                    <w:jc w:val="center"/>
                    <w:textAlignment w:val="auto"/>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cs="Times New Roman"/>
                      <w:color w:val="auto"/>
                      <w:kern w:val="0"/>
                      <w:sz w:val="21"/>
                      <w:szCs w:val="21"/>
                      <w:highlight w:val="none"/>
                      <w:u w:val="none" w:color="auto"/>
                      <w:lang w:val="en-US" w:eastAsia="zh-CN" w:bidi="ar-SA"/>
                    </w:rPr>
                    <w:t>二氧化硫</w:t>
                  </w:r>
                </w:p>
              </w:tc>
              <w:tc>
                <w:tcPr>
                  <w:tcW w:w="973" w:type="pct"/>
                  <w:noWrap w:val="0"/>
                  <w:vAlign w:val="center"/>
                </w:tcPr>
                <w:p w14:paraId="3EA28938">
                  <w:pPr>
                    <w:keepNext w:val="0"/>
                    <w:keepLines w:val="0"/>
                    <w:pageBreakBefore w:val="0"/>
                    <w:widowControl w:val="0"/>
                    <w:kinsoku/>
                    <w:wordWrap/>
                    <w:overflowPunct/>
                    <w:topLinePunct w:val="0"/>
                    <w:autoSpaceDE/>
                    <w:autoSpaceDN/>
                    <w:bidi w:val="0"/>
                    <w:spacing w:line="260" w:lineRule="exact"/>
                    <w:jc w:val="center"/>
                    <w:textAlignment w:val="auto"/>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cs="Times New Roman"/>
                      <w:color w:val="auto"/>
                      <w:kern w:val="0"/>
                      <w:sz w:val="21"/>
                      <w:szCs w:val="21"/>
                      <w:highlight w:val="none"/>
                      <w:u w:val="none" w:color="auto"/>
                      <w:lang w:val="en-US" w:eastAsia="zh-CN" w:bidi="ar-SA"/>
                    </w:rPr>
                    <w:t>0.4</w:t>
                  </w:r>
                </w:p>
              </w:tc>
              <w:tc>
                <w:tcPr>
                  <w:tcW w:w="1112" w:type="pct"/>
                  <w:vMerge w:val="continue"/>
                  <w:noWrap w:val="0"/>
                  <w:vAlign w:val="center"/>
                </w:tcPr>
                <w:p w14:paraId="51A5FEF6">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none"/>
                      <w:u w:val="none" w:color="auto"/>
                      <w:lang w:val="en-US" w:eastAsia="zh-CN" w:bidi="ar-SA"/>
                    </w:rPr>
                  </w:pPr>
                </w:p>
              </w:tc>
              <w:tc>
                <w:tcPr>
                  <w:tcW w:w="1981" w:type="pct"/>
                  <w:vMerge w:val="continue"/>
                  <w:noWrap w:val="0"/>
                  <w:vAlign w:val="center"/>
                </w:tcPr>
                <w:p w14:paraId="27668673">
                  <w:pPr>
                    <w:keepNext w:val="0"/>
                    <w:keepLines w:val="0"/>
                    <w:pageBreakBefore w:val="0"/>
                    <w:widowControl w:val="0"/>
                    <w:kinsoku/>
                    <w:wordWrap/>
                    <w:overflowPunct/>
                    <w:topLinePunct w:val="0"/>
                    <w:autoSpaceDE/>
                    <w:autoSpaceDN/>
                    <w:bidi w:val="0"/>
                    <w:spacing w:line="260" w:lineRule="exact"/>
                    <w:jc w:val="center"/>
                    <w:textAlignment w:val="auto"/>
                    <w:rPr>
                      <w:rFonts w:hint="eastAsia" w:ascii="Times New Roman" w:hAnsi="Times New Roman" w:eastAsia="宋体" w:cs="Times New Roman"/>
                      <w:color w:val="auto"/>
                      <w:kern w:val="0"/>
                      <w:sz w:val="21"/>
                      <w:szCs w:val="21"/>
                      <w:highlight w:val="none"/>
                      <w:u w:val="none" w:color="auto"/>
                      <w:lang w:val="en-US" w:eastAsia="zh-CN" w:bidi="ar-SA"/>
                    </w:rPr>
                  </w:pPr>
                </w:p>
              </w:tc>
            </w:tr>
            <w:tr w14:paraId="0842A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blHeader/>
                <w:jc w:val="center"/>
              </w:trPr>
              <w:tc>
                <w:tcPr>
                  <w:tcW w:w="933" w:type="pct"/>
                  <w:noWrap w:val="0"/>
                  <w:vAlign w:val="center"/>
                </w:tcPr>
                <w:p w14:paraId="4DC91C24">
                  <w:pPr>
                    <w:keepNext w:val="0"/>
                    <w:keepLines w:val="0"/>
                    <w:pageBreakBefore w:val="0"/>
                    <w:widowControl w:val="0"/>
                    <w:kinsoku/>
                    <w:wordWrap/>
                    <w:overflowPunct/>
                    <w:topLinePunct w:val="0"/>
                    <w:autoSpaceDE/>
                    <w:autoSpaceDN/>
                    <w:bidi w:val="0"/>
                    <w:spacing w:line="260" w:lineRule="exact"/>
                    <w:jc w:val="center"/>
                    <w:textAlignment w:val="auto"/>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cs="Times New Roman"/>
                      <w:color w:val="auto"/>
                      <w:kern w:val="0"/>
                      <w:sz w:val="21"/>
                      <w:szCs w:val="21"/>
                      <w:highlight w:val="none"/>
                      <w:u w:val="none" w:color="auto"/>
                      <w:lang w:val="en-US" w:eastAsia="zh-CN" w:bidi="ar-SA"/>
                    </w:rPr>
                    <w:t>氮氧化物</w:t>
                  </w:r>
                </w:p>
              </w:tc>
              <w:tc>
                <w:tcPr>
                  <w:tcW w:w="973" w:type="pct"/>
                  <w:noWrap w:val="0"/>
                  <w:vAlign w:val="center"/>
                </w:tcPr>
                <w:p w14:paraId="3CB7CDC7">
                  <w:pPr>
                    <w:keepNext w:val="0"/>
                    <w:keepLines w:val="0"/>
                    <w:pageBreakBefore w:val="0"/>
                    <w:widowControl w:val="0"/>
                    <w:kinsoku/>
                    <w:wordWrap/>
                    <w:overflowPunct/>
                    <w:topLinePunct w:val="0"/>
                    <w:autoSpaceDE/>
                    <w:autoSpaceDN/>
                    <w:bidi w:val="0"/>
                    <w:spacing w:line="260" w:lineRule="exact"/>
                    <w:jc w:val="center"/>
                    <w:textAlignment w:val="auto"/>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cs="Times New Roman"/>
                      <w:color w:val="auto"/>
                      <w:kern w:val="0"/>
                      <w:sz w:val="21"/>
                      <w:szCs w:val="21"/>
                      <w:highlight w:val="none"/>
                      <w:u w:val="none" w:color="auto"/>
                      <w:lang w:val="en-US" w:eastAsia="zh-CN" w:bidi="ar-SA"/>
                    </w:rPr>
                    <w:t>0.12</w:t>
                  </w:r>
                </w:p>
              </w:tc>
              <w:tc>
                <w:tcPr>
                  <w:tcW w:w="1112" w:type="pct"/>
                  <w:vMerge w:val="continue"/>
                  <w:noWrap w:val="0"/>
                  <w:vAlign w:val="center"/>
                </w:tcPr>
                <w:p w14:paraId="5E9D322C">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none"/>
                      <w:u w:val="none" w:color="auto"/>
                      <w:lang w:val="en-US" w:eastAsia="zh-CN" w:bidi="ar-SA"/>
                    </w:rPr>
                  </w:pPr>
                </w:p>
              </w:tc>
              <w:tc>
                <w:tcPr>
                  <w:tcW w:w="1981" w:type="pct"/>
                  <w:vMerge w:val="continue"/>
                  <w:noWrap w:val="0"/>
                  <w:vAlign w:val="center"/>
                </w:tcPr>
                <w:p w14:paraId="43C989FD">
                  <w:pPr>
                    <w:keepNext w:val="0"/>
                    <w:keepLines w:val="0"/>
                    <w:pageBreakBefore w:val="0"/>
                    <w:widowControl w:val="0"/>
                    <w:kinsoku/>
                    <w:wordWrap/>
                    <w:overflowPunct/>
                    <w:topLinePunct w:val="0"/>
                    <w:autoSpaceDE/>
                    <w:autoSpaceDN/>
                    <w:bidi w:val="0"/>
                    <w:spacing w:line="260" w:lineRule="exact"/>
                    <w:jc w:val="center"/>
                    <w:textAlignment w:val="auto"/>
                    <w:rPr>
                      <w:rFonts w:hint="eastAsia" w:ascii="Times New Roman" w:hAnsi="Times New Roman" w:eastAsia="宋体" w:cs="Times New Roman"/>
                      <w:color w:val="auto"/>
                      <w:kern w:val="0"/>
                      <w:sz w:val="21"/>
                      <w:szCs w:val="21"/>
                      <w:highlight w:val="none"/>
                      <w:u w:val="none" w:color="auto"/>
                      <w:lang w:val="en-US" w:eastAsia="zh-CN" w:bidi="ar-SA"/>
                    </w:rPr>
                  </w:pPr>
                </w:p>
              </w:tc>
            </w:tr>
            <w:tr w14:paraId="169DD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3" w:type="pct"/>
                  <w:vMerge w:val="restart"/>
                  <w:noWrap w:val="0"/>
                  <w:vAlign w:val="center"/>
                </w:tcPr>
                <w:p w14:paraId="549389CF">
                  <w:pPr>
                    <w:keepNext w:val="0"/>
                    <w:keepLines w:val="0"/>
                    <w:pageBreakBefore w:val="0"/>
                    <w:widowControl w:val="0"/>
                    <w:kinsoku/>
                    <w:wordWrap/>
                    <w:overflowPunct/>
                    <w:topLinePunct w:val="0"/>
                    <w:autoSpaceDE/>
                    <w:autoSpaceDN/>
                    <w:bidi w:val="0"/>
                    <w:spacing w:line="260" w:lineRule="exact"/>
                    <w:jc w:val="center"/>
                    <w:textAlignment w:val="auto"/>
                    <w:rPr>
                      <w:rFonts w:hint="eastAsia" w:ascii="Times New Roman" w:hAnsi="Times New Roman" w:eastAsia="宋体" w:cs="Times New Roman"/>
                      <w:color w:val="auto"/>
                      <w:kern w:val="0"/>
                      <w:sz w:val="21"/>
                      <w:szCs w:val="21"/>
                      <w:highlight w:val="none"/>
                      <w:u w:val="none" w:color="auto"/>
                      <w:lang w:val="en-US" w:eastAsia="zh-CN" w:bidi="ar-SA"/>
                    </w:rPr>
                  </w:pPr>
                  <w:r>
                    <w:rPr>
                      <w:rFonts w:hint="eastAsia" w:ascii="Times New Roman" w:hAnsi="Times New Roman" w:eastAsia="宋体" w:cs="Times New Roman"/>
                      <w:color w:val="auto"/>
                      <w:kern w:val="0"/>
                      <w:sz w:val="21"/>
                      <w:szCs w:val="21"/>
                      <w:highlight w:val="none"/>
                      <w:u w:val="none" w:color="auto"/>
                      <w:lang w:val="en-US" w:eastAsia="zh-CN" w:bidi="ar-SA"/>
                    </w:rPr>
                    <w:t>挥发性有机物</w:t>
                  </w:r>
                </w:p>
              </w:tc>
              <w:tc>
                <w:tcPr>
                  <w:tcW w:w="973" w:type="pct"/>
                  <w:noWrap w:val="0"/>
                  <w:vAlign w:val="center"/>
                </w:tcPr>
                <w:p w14:paraId="1B7B0246">
                  <w:pPr>
                    <w:keepNext w:val="0"/>
                    <w:keepLines w:val="0"/>
                    <w:pageBreakBefore w:val="0"/>
                    <w:widowControl w:val="0"/>
                    <w:kinsoku/>
                    <w:wordWrap/>
                    <w:overflowPunct/>
                    <w:topLinePunct w:val="0"/>
                    <w:autoSpaceDE/>
                    <w:autoSpaceDN/>
                    <w:bidi w:val="0"/>
                    <w:spacing w:line="260" w:lineRule="exact"/>
                    <w:jc w:val="center"/>
                    <w:textAlignment w:val="auto"/>
                    <w:rPr>
                      <w:rFonts w:hint="default" w:ascii="Times New Roman" w:hAnsi="Times New Roman" w:eastAsia="宋体" w:cs="Times New Roman"/>
                      <w:color w:val="auto"/>
                      <w:kern w:val="0"/>
                      <w:sz w:val="21"/>
                      <w:szCs w:val="21"/>
                      <w:highlight w:val="none"/>
                      <w:u w:val="none" w:color="auto"/>
                      <w:lang w:val="en-US" w:eastAsia="zh-CN" w:bidi="ar-SA"/>
                    </w:rPr>
                  </w:pPr>
                  <w:r>
                    <w:rPr>
                      <w:rFonts w:hint="eastAsia" w:ascii="Times New Roman" w:hAnsi="Times New Roman" w:eastAsia="宋体" w:cs="Times New Roman"/>
                      <w:color w:val="auto"/>
                      <w:kern w:val="24"/>
                      <w:sz w:val="21"/>
                      <w:szCs w:val="21"/>
                      <w:highlight w:val="none"/>
                      <w:u w:val="none" w:color="auto"/>
                      <w:lang w:val="en-US" w:eastAsia="zh-CN" w:bidi="ar"/>
                    </w:rPr>
                    <w:t>2.0</w:t>
                  </w:r>
                </w:p>
              </w:tc>
              <w:tc>
                <w:tcPr>
                  <w:tcW w:w="1112" w:type="pct"/>
                  <w:noWrap w:val="0"/>
                  <w:vAlign w:val="center"/>
                </w:tcPr>
                <w:p w14:paraId="77CAB5DC">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none"/>
                      <w:u w:val="none" w:color="auto"/>
                      <w:lang w:val="en-US" w:eastAsia="zh-CN" w:bidi="ar-SA"/>
                    </w:rPr>
                  </w:pPr>
                  <w:r>
                    <w:rPr>
                      <w:rFonts w:ascii="Times New Roman" w:hAnsi="Times New Roman" w:eastAsia="宋体" w:cs="Times New Roman"/>
                      <w:color w:val="auto"/>
                      <w:kern w:val="0"/>
                      <w:sz w:val="21"/>
                      <w:szCs w:val="21"/>
                      <w:highlight w:val="none"/>
                      <w:u w:val="none" w:color="auto"/>
                      <w:lang w:val="en-US" w:eastAsia="zh-CN" w:bidi="ar-SA"/>
                    </w:rPr>
                    <w:t>周界外浓度最高点</w:t>
                  </w:r>
                </w:p>
              </w:tc>
              <w:tc>
                <w:tcPr>
                  <w:tcW w:w="1981" w:type="pct"/>
                  <w:noWrap w:val="0"/>
                  <w:vAlign w:val="center"/>
                </w:tcPr>
                <w:p w14:paraId="2318A2C0">
                  <w:pPr>
                    <w:keepNext w:val="0"/>
                    <w:keepLines w:val="0"/>
                    <w:pageBreakBefore w:val="0"/>
                    <w:widowControl w:val="0"/>
                    <w:kinsoku/>
                    <w:wordWrap/>
                    <w:overflowPunct/>
                    <w:topLinePunct w:val="0"/>
                    <w:autoSpaceDE/>
                    <w:autoSpaceDN/>
                    <w:bidi w:val="0"/>
                    <w:spacing w:line="260" w:lineRule="exact"/>
                    <w:jc w:val="center"/>
                    <w:textAlignment w:val="auto"/>
                    <w:rPr>
                      <w:rFonts w:hint="eastAsia" w:ascii="Times New Roman" w:hAnsi="Times New Roman" w:eastAsia="宋体" w:cs="Times New Roman"/>
                      <w:color w:val="auto"/>
                      <w:kern w:val="0"/>
                      <w:sz w:val="21"/>
                      <w:szCs w:val="21"/>
                      <w:highlight w:val="none"/>
                      <w:u w:val="none" w:color="auto"/>
                      <w:lang w:val="en-US" w:eastAsia="zh-CN" w:bidi="ar-SA"/>
                    </w:rPr>
                  </w:pPr>
                  <w:r>
                    <w:rPr>
                      <w:rFonts w:hint="eastAsia" w:ascii="Times New Roman" w:hAnsi="Times New Roman" w:eastAsia="宋体" w:cs="Times New Roman"/>
                      <w:color w:val="auto"/>
                      <w:kern w:val="0"/>
                      <w:sz w:val="21"/>
                      <w:szCs w:val="21"/>
                      <w:highlight w:val="none"/>
                      <w:u w:val="none" w:color="auto"/>
                      <w:lang w:val="zh-CN" w:eastAsia="zh-CN" w:bidi="ar-SA"/>
                    </w:rPr>
                    <w:t>湖南省地方标准《表面涂装（汽车制造及维修）挥发性有机物、镍排放标准》（DB43/1356-2017），表3</w:t>
                  </w:r>
                </w:p>
              </w:tc>
            </w:tr>
            <w:tr w14:paraId="09C41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3" w:type="pct"/>
                  <w:vMerge w:val="continue"/>
                  <w:noWrap w:val="0"/>
                  <w:vAlign w:val="center"/>
                </w:tcPr>
                <w:p w14:paraId="1A307548">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yellow"/>
                      <w:u w:val="none" w:color="auto"/>
                      <w:lang w:val="en-US" w:eastAsia="zh-CN" w:bidi="ar-SA"/>
                    </w:rPr>
                  </w:pPr>
                </w:p>
              </w:tc>
              <w:tc>
                <w:tcPr>
                  <w:tcW w:w="973" w:type="pct"/>
                  <w:noWrap w:val="0"/>
                  <w:vAlign w:val="center"/>
                </w:tcPr>
                <w:p w14:paraId="571E51C9">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none"/>
                      <w:u w:val="none" w:color="auto"/>
                      <w:lang w:val="en-US" w:eastAsia="zh-CN" w:bidi="ar-SA"/>
                    </w:rPr>
                  </w:pPr>
                  <w:r>
                    <w:rPr>
                      <w:rFonts w:ascii="Times New Roman" w:hAnsi="Times New Roman" w:eastAsia="宋体" w:cs="Times New Roman"/>
                      <w:color w:val="auto"/>
                      <w:kern w:val="0"/>
                      <w:sz w:val="21"/>
                      <w:szCs w:val="21"/>
                      <w:highlight w:val="none"/>
                      <w:u w:val="none" w:color="auto"/>
                      <w:lang w:val="en-US" w:eastAsia="zh-CN" w:bidi="ar-SA"/>
                    </w:rPr>
                    <w:t>10（厂区内厂房外监控点处1h平均浓度值）</w:t>
                  </w:r>
                </w:p>
              </w:tc>
              <w:tc>
                <w:tcPr>
                  <w:tcW w:w="1112" w:type="pct"/>
                  <w:noWrap w:val="0"/>
                  <w:vAlign w:val="center"/>
                </w:tcPr>
                <w:p w14:paraId="6EA5B536">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none"/>
                      <w:u w:val="none" w:color="auto"/>
                      <w:lang w:val="en-US" w:eastAsia="zh-CN" w:bidi="ar-SA"/>
                    </w:rPr>
                  </w:pPr>
                  <w:r>
                    <w:rPr>
                      <w:rFonts w:ascii="Times New Roman" w:hAnsi="Times New Roman" w:eastAsia="宋体" w:cs="Times New Roman"/>
                      <w:color w:val="auto"/>
                      <w:kern w:val="0"/>
                      <w:sz w:val="21"/>
                      <w:szCs w:val="21"/>
                      <w:highlight w:val="none"/>
                      <w:u w:val="none" w:color="auto"/>
                      <w:lang w:val="en-US" w:eastAsia="zh-CN" w:bidi="ar-SA"/>
                    </w:rPr>
                    <w:t>厂区内厂房外</w:t>
                  </w:r>
                </w:p>
              </w:tc>
              <w:tc>
                <w:tcPr>
                  <w:tcW w:w="1981" w:type="pct"/>
                  <w:noWrap w:val="0"/>
                  <w:vAlign w:val="center"/>
                </w:tcPr>
                <w:p w14:paraId="6E1AFA36">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none"/>
                      <w:u w:val="none" w:color="auto"/>
                      <w:lang w:val="en-US" w:eastAsia="zh-CN" w:bidi="ar-SA"/>
                    </w:rPr>
                  </w:pPr>
                  <w:r>
                    <w:rPr>
                      <w:rFonts w:ascii="Times New Roman" w:hAnsi="Times New Roman" w:eastAsia="宋体" w:cs="Times New Roman"/>
                      <w:color w:val="auto"/>
                      <w:spacing w:val="-3"/>
                      <w:kern w:val="0"/>
                      <w:sz w:val="21"/>
                      <w:szCs w:val="21"/>
                      <w:highlight w:val="none"/>
                      <w:u w:val="none" w:color="auto"/>
                      <w:lang w:val="en-US" w:eastAsia="zh-CN" w:bidi="ar-SA"/>
                    </w:rPr>
                    <w:t>《挥发性有机物无组织排放控制标准》（GB37822-2019），表A.1</w:t>
                  </w:r>
                </w:p>
              </w:tc>
            </w:tr>
            <w:tr w14:paraId="58D79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33" w:type="pct"/>
                  <w:vMerge w:val="continue"/>
                  <w:noWrap w:val="0"/>
                  <w:vAlign w:val="center"/>
                </w:tcPr>
                <w:p w14:paraId="6DB5ACA4">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 w:val="21"/>
                      <w:szCs w:val="21"/>
                      <w:highlight w:val="yellow"/>
                      <w:u w:val="none" w:color="auto"/>
                    </w:rPr>
                  </w:pPr>
                </w:p>
              </w:tc>
              <w:tc>
                <w:tcPr>
                  <w:tcW w:w="973" w:type="pct"/>
                  <w:noWrap w:val="0"/>
                  <w:vAlign w:val="center"/>
                </w:tcPr>
                <w:p w14:paraId="18339229">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none"/>
                      <w:u w:val="none" w:color="auto"/>
                      <w:lang w:val="en-US" w:eastAsia="zh-CN" w:bidi="ar-SA"/>
                    </w:rPr>
                  </w:pPr>
                  <w:r>
                    <w:rPr>
                      <w:rFonts w:ascii="Times New Roman" w:hAnsi="Times New Roman" w:eastAsia="宋体" w:cs="Times New Roman"/>
                      <w:color w:val="auto"/>
                      <w:kern w:val="0"/>
                      <w:sz w:val="21"/>
                      <w:szCs w:val="21"/>
                      <w:highlight w:val="none"/>
                      <w:u w:val="none" w:color="auto"/>
                      <w:lang w:val="en-US" w:eastAsia="zh-CN" w:bidi="ar-SA"/>
                    </w:rPr>
                    <w:t>30（厂区内厂房外监控点处任意一次浓度值）</w:t>
                  </w:r>
                </w:p>
              </w:tc>
              <w:tc>
                <w:tcPr>
                  <w:tcW w:w="1112" w:type="pct"/>
                  <w:noWrap w:val="0"/>
                  <w:vAlign w:val="center"/>
                </w:tcPr>
                <w:p w14:paraId="6F739AB3">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none"/>
                      <w:u w:val="none" w:color="auto"/>
                      <w:lang w:val="en-US" w:eastAsia="zh-CN" w:bidi="ar-SA"/>
                    </w:rPr>
                  </w:pPr>
                  <w:r>
                    <w:rPr>
                      <w:rFonts w:ascii="Times New Roman" w:hAnsi="Times New Roman" w:eastAsia="宋体" w:cs="Times New Roman"/>
                      <w:color w:val="auto"/>
                      <w:kern w:val="0"/>
                      <w:sz w:val="21"/>
                      <w:szCs w:val="21"/>
                      <w:highlight w:val="none"/>
                      <w:u w:val="none" w:color="auto"/>
                      <w:lang w:val="en-US" w:eastAsia="zh-CN" w:bidi="ar-SA"/>
                    </w:rPr>
                    <w:t>厂区内厂房外</w:t>
                  </w:r>
                </w:p>
              </w:tc>
              <w:tc>
                <w:tcPr>
                  <w:tcW w:w="1981" w:type="pct"/>
                  <w:noWrap w:val="0"/>
                  <w:vAlign w:val="center"/>
                </w:tcPr>
                <w:p w14:paraId="5E1C99C3">
                  <w:pPr>
                    <w:keepNext w:val="0"/>
                    <w:keepLines w:val="0"/>
                    <w:pageBreakBefore w:val="0"/>
                    <w:widowControl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1"/>
                      <w:szCs w:val="21"/>
                      <w:highlight w:val="none"/>
                      <w:u w:val="none" w:color="auto"/>
                      <w:lang w:val="en-US" w:eastAsia="zh-CN" w:bidi="ar-SA"/>
                    </w:rPr>
                  </w:pPr>
                  <w:r>
                    <w:rPr>
                      <w:rFonts w:ascii="Times New Roman" w:hAnsi="Times New Roman" w:eastAsia="宋体" w:cs="Times New Roman"/>
                      <w:color w:val="auto"/>
                      <w:spacing w:val="-3"/>
                      <w:kern w:val="0"/>
                      <w:sz w:val="21"/>
                      <w:szCs w:val="21"/>
                      <w:highlight w:val="none"/>
                      <w:u w:val="none" w:color="auto"/>
                      <w:lang w:val="en-US" w:eastAsia="zh-CN" w:bidi="ar-SA"/>
                    </w:rPr>
                    <w:t>《挥发性有机物无组织排放控制标准》（GB37822-2019），表A.1</w:t>
                  </w:r>
                </w:p>
              </w:tc>
            </w:tr>
          </w:tbl>
          <w:p w14:paraId="7D82FBBA">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482" w:firstLineChars="200"/>
              <w:jc w:val="left"/>
              <w:textAlignment w:val="auto"/>
              <w:rPr>
                <w:rFonts w:hint="default" w:ascii="Times New Roman" w:hAnsi="Times New Roman" w:eastAsia="宋体" w:cs="Times New Roman"/>
                <w:b/>
                <w:bCs/>
                <w:i w:val="0"/>
                <w:iCs w:val="0"/>
                <w:color w:val="auto"/>
                <w:sz w:val="24"/>
                <w:szCs w:val="24"/>
                <w:highlight w:val="none"/>
                <w:u w:val="none" w:color="auto"/>
                <w:lang w:val="en-US" w:eastAsia="zh-CN"/>
              </w:rPr>
            </w:pPr>
            <w:r>
              <w:rPr>
                <w:rFonts w:hint="eastAsia" w:ascii="Times New Roman" w:hAnsi="Times New Roman" w:eastAsia="宋体" w:cs="Times New Roman"/>
                <w:b/>
                <w:bCs/>
                <w:i w:val="0"/>
                <w:iCs w:val="0"/>
                <w:color w:val="auto"/>
                <w:sz w:val="24"/>
                <w:szCs w:val="24"/>
                <w:highlight w:val="none"/>
                <w:u w:val="none" w:color="auto"/>
                <w:lang w:val="en-US" w:eastAsia="zh-CN"/>
              </w:rPr>
              <w:t>3、</w:t>
            </w:r>
            <w:r>
              <w:rPr>
                <w:rFonts w:hint="default" w:ascii="Times New Roman" w:hAnsi="Times New Roman" w:eastAsia="宋体" w:cs="Times New Roman"/>
                <w:b/>
                <w:bCs/>
                <w:i w:val="0"/>
                <w:iCs w:val="0"/>
                <w:color w:val="auto"/>
                <w:sz w:val="24"/>
                <w:szCs w:val="24"/>
                <w:highlight w:val="none"/>
                <w:u w:val="none" w:color="auto"/>
                <w:lang w:val="en-US" w:eastAsia="zh-CN"/>
              </w:rPr>
              <w:t>噪声控制标准</w:t>
            </w:r>
          </w:p>
          <w:p w14:paraId="57319305">
            <w:pPr>
              <w:keepNext w:val="0"/>
              <w:keepLines w:val="0"/>
              <w:pageBreakBefore w:val="0"/>
              <w:widowControl w:val="0"/>
              <w:tabs>
                <w:tab w:val="left" w:pos="1320"/>
              </w:tabs>
              <w:kinsoku/>
              <w:wordWrap/>
              <w:overflowPunct/>
              <w:topLinePunct w:val="0"/>
              <w:autoSpaceDE/>
              <w:autoSpaceDN/>
              <w:bidi w:val="0"/>
              <w:adjustRightInd w:val="0"/>
              <w:snapToGrid w:val="0"/>
              <w:spacing w:line="480" w:lineRule="exact"/>
              <w:ind w:right="0" w:firstLine="480" w:firstLineChars="200"/>
              <w:jc w:val="both"/>
              <w:textAlignment w:val="auto"/>
              <w:rPr>
                <w:rFonts w:hint="default" w:ascii="Times New Roman" w:hAnsi="Times New Roman" w:eastAsia="宋体" w:cs="Times New Roman"/>
                <w:color w:val="auto"/>
                <w:kern w:val="2"/>
                <w:sz w:val="24"/>
                <w:szCs w:val="24"/>
                <w:highlight w:val="none"/>
                <w:u w:val="none" w:color="auto"/>
                <w:lang w:val="en-US" w:eastAsia="zh-CN" w:bidi="ar-SA"/>
              </w:rPr>
            </w:pPr>
            <w:r>
              <w:rPr>
                <w:rFonts w:hint="default" w:ascii="Times New Roman" w:hAnsi="Times New Roman" w:eastAsia="宋体" w:cs="Times New Roman"/>
                <w:color w:val="auto"/>
                <w:kern w:val="18"/>
                <w:sz w:val="24"/>
                <w:szCs w:val="24"/>
                <w:highlight w:val="none"/>
                <w:u w:val="none" w:color="auto"/>
                <w:lang w:val="zh-CN" w:eastAsia="zh-CN" w:bidi="ar-SA"/>
              </w:rPr>
              <w:t>营运期</w:t>
            </w:r>
            <w:r>
              <w:rPr>
                <w:rFonts w:hint="default" w:ascii="Times New Roman" w:hAnsi="Times New Roman" w:eastAsia="宋体" w:cs="Times New Roman"/>
                <w:color w:val="auto"/>
                <w:kern w:val="2"/>
                <w:sz w:val="24"/>
                <w:szCs w:val="24"/>
                <w:highlight w:val="none"/>
                <w:u w:val="none" w:color="auto"/>
                <w:lang w:val="zh-CN" w:eastAsia="zh-CN" w:bidi="ar-SA"/>
              </w:rPr>
              <w:t>执行《工业企业厂界环境噪声排放标准》(</w:t>
            </w:r>
            <w:r>
              <w:rPr>
                <w:rFonts w:hint="default" w:ascii="Times New Roman" w:hAnsi="Times New Roman" w:eastAsia="宋体" w:cs="Times New Roman"/>
                <w:color w:val="auto"/>
                <w:kern w:val="2"/>
                <w:sz w:val="24"/>
                <w:szCs w:val="24"/>
                <w:highlight w:val="none"/>
                <w:u w:val="none" w:color="auto"/>
                <w:lang w:val="en-US" w:eastAsia="zh-CN" w:bidi="ar-SA"/>
              </w:rPr>
              <w:t>GB12348-2008</w:t>
            </w:r>
            <w:r>
              <w:rPr>
                <w:rFonts w:hint="default" w:ascii="Times New Roman" w:hAnsi="Times New Roman" w:eastAsia="宋体" w:cs="Times New Roman"/>
                <w:color w:val="auto"/>
                <w:kern w:val="2"/>
                <w:sz w:val="24"/>
                <w:szCs w:val="24"/>
                <w:highlight w:val="none"/>
                <w:u w:val="none" w:color="auto"/>
                <w:lang w:val="zh-CN" w:eastAsia="zh-CN" w:bidi="ar-SA"/>
              </w:rPr>
              <w:t>)中</w:t>
            </w:r>
            <w:r>
              <w:rPr>
                <w:rFonts w:hint="eastAsia" w:cs="Times New Roman"/>
                <w:color w:val="auto"/>
                <w:kern w:val="2"/>
                <w:sz w:val="24"/>
                <w:szCs w:val="24"/>
                <w:highlight w:val="none"/>
                <w:u w:val="none" w:color="auto"/>
                <w:lang w:val="en-US" w:eastAsia="zh-CN" w:bidi="ar-SA"/>
              </w:rPr>
              <w:t>2类</w:t>
            </w:r>
            <w:r>
              <w:rPr>
                <w:rFonts w:hint="default" w:ascii="Times New Roman" w:hAnsi="Times New Roman" w:eastAsia="宋体" w:cs="Times New Roman"/>
                <w:color w:val="auto"/>
                <w:kern w:val="2"/>
                <w:sz w:val="24"/>
                <w:szCs w:val="24"/>
                <w:highlight w:val="none"/>
                <w:u w:val="none" w:color="auto"/>
                <w:lang w:val="zh-CN" w:eastAsia="zh-CN" w:bidi="ar-SA"/>
              </w:rPr>
              <w:t>，</w:t>
            </w:r>
            <w:r>
              <w:rPr>
                <w:rFonts w:hint="default" w:ascii="Times New Roman" w:hAnsi="Times New Roman" w:eastAsia="宋体" w:cs="Times New Roman"/>
                <w:color w:val="auto"/>
                <w:kern w:val="2"/>
                <w:sz w:val="24"/>
                <w:szCs w:val="24"/>
                <w:highlight w:val="none"/>
                <w:u w:val="none" w:color="auto"/>
                <w:lang w:val="en-US" w:eastAsia="zh-CN" w:bidi="ar-SA"/>
              </w:rPr>
              <w:t>相关标准见表</w:t>
            </w:r>
            <w:r>
              <w:rPr>
                <w:rFonts w:hint="eastAsia" w:ascii="Times New Roman" w:hAnsi="Times New Roman" w:eastAsia="宋体" w:cs="Times New Roman"/>
                <w:color w:val="auto"/>
                <w:kern w:val="2"/>
                <w:sz w:val="24"/>
                <w:szCs w:val="24"/>
                <w:highlight w:val="none"/>
                <w:u w:val="none" w:color="auto"/>
                <w:lang w:val="en-US" w:eastAsia="zh-CN" w:bidi="ar-SA"/>
              </w:rPr>
              <w:t>3-</w:t>
            </w:r>
            <w:r>
              <w:rPr>
                <w:rFonts w:hint="eastAsia" w:cs="Times New Roman"/>
                <w:color w:val="auto"/>
                <w:kern w:val="2"/>
                <w:sz w:val="24"/>
                <w:szCs w:val="24"/>
                <w:highlight w:val="none"/>
                <w:u w:val="none" w:color="auto"/>
                <w:lang w:val="en-US" w:eastAsia="zh-CN" w:bidi="ar-SA"/>
              </w:rPr>
              <w:t>9</w:t>
            </w:r>
            <w:r>
              <w:rPr>
                <w:rFonts w:hint="default" w:ascii="Times New Roman" w:hAnsi="Times New Roman" w:eastAsia="宋体" w:cs="Times New Roman"/>
                <w:color w:val="auto"/>
                <w:kern w:val="2"/>
                <w:sz w:val="24"/>
                <w:szCs w:val="24"/>
                <w:highlight w:val="none"/>
                <w:u w:val="none" w:color="auto"/>
                <w:lang w:val="en-US" w:eastAsia="zh-CN" w:bidi="ar-SA"/>
              </w:rPr>
              <w:t>。</w:t>
            </w:r>
          </w:p>
          <w:p w14:paraId="7486F851">
            <w:pPr>
              <w:keepNext w:val="0"/>
              <w:keepLines w:val="0"/>
              <w:widowControl w:val="0"/>
              <w:suppressLineNumbers w:val="0"/>
              <w:spacing w:before="0" w:beforeAutospacing="0" w:after="0" w:afterAutospacing="0" w:line="360" w:lineRule="exact"/>
              <w:ind w:left="0" w:right="0" w:firstLine="0" w:firstLineChars="0"/>
              <w:jc w:val="center"/>
              <w:outlineLvl w:val="9"/>
              <w:rPr>
                <w:rFonts w:hint="eastAsia" w:ascii="Times New Roman" w:hAnsi="Times New Roman" w:eastAsia="宋体" w:cs="Times New Roman"/>
                <w:b/>
                <w:bCs/>
                <w:snapToGrid/>
                <w:color w:val="auto"/>
                <w:kern w:val="2"/>
                <w:sz w:val="21"/>
                <w:szCs w:val="21"/>
                <w:highlight w:val="none"/>
                <w:u w:val="none" w:color="auto"/>
                <w:lang w:val="en-US" w:eastAsia="zh-CN" w:bidi="ar"/>
              </w:rPr>
            </w:pPr>
            <w:r>
              <w:rPr>
                <w:rFonts w:hint="default" w:ascii="Times New Roman" w:hAnsi="Times New Roman" w:eastAsia="宋体" w:cs="Times New Roman"/>
                <w:b/>
                <w:bCs/>
                <w:snapToGrid/>
                <w:color w:val="auto"/>
                <w:kern w:val="2"/>
                <w:sz w:val="21"/>
                <w:szCs w:val="21"/>
                <w:highlight w:val="none"/>
                <w:u w:val="none" w:color="auto"/>
                <w:lang w:val="en-US" w:eastAsia="zh-CN" w:bidi="ar"/>
              </w:rPr>
              <w:t>表3-</w:t>
            </w:r>
            <w:r>
              <w:rPr>
                <w:rFonts w:hint="eastAsia" w:cs="Times New Roman"/>
                <w:b/>
                <w:bCs/>
                <w:snapToGrid/>
                <w:color w:val="auto"/>
                <w:kern w:val="2"/>
                <w:sz w:val="21"/>
                <w:szCs w:val="21"/>
                <w:highlight w:val="none"/>
                <w:u w:val="none" w:color="auto"/>
                <w:lang w:val="en-US" w:eastAsia="zh-CN" w:bidi="ar"/>
              </w:rPr>
              <w:t>9</w:t>
            </w:r>
            <w:r>
              <w:rPr>
                <w:rFonts w:hint="default" w:ascii="Times New Roman" w:hAnsi="Times New Roman" w:eastAsia="宋体" w:cs="Times New Roman"/>
                <w:b/>
                <w:bCs/>
                <w:snapToGrid/>
                <w:color w:val="auto"/>
                <w:kern w:val="2"/>
                <w:sz w:val="21"/>
                <w:szCs w:val="21"/>
                <w:highlight w:val="none"/>
                <w:u w:val="none" w:color="auto"/>
                <w:lang w:val="en-US" w:eastAsia="zh-CN" w:bidi="ar"/>
              </w:rPr>
              <w:t xml:space="preserve">  工业企业厂界环境噪声排放标准</w:t>
            </w:r>
            <w:r>
              <w:rPr>
                <w:rFonts w:hint="eastAsia" w:ascii="Times New Roman" w:hAnsi="Times New Roman" w:eastAsia="宋体" w:cs="Times New Roman"/>
                <w:b/>
                <w:bCs/>
                <w:snapToGrid/>
                <w:color w:val="auto"/>
                <w:kern w:val="2"/>
                <w:sz w:val="21"/>
                <w:szCs w:val="21"/>
                <w:highlight w:val="none"/>
                <w:u w:val="none" w:color="auto"/>
                <w:lang w:val="en-US" w:eastAsia="zh-CN" w:bidi="ar"/>
              </w:rPr>
              <w:t xml:space="preserve">  </w:t>
            </w:r>
            <w:r>
              <w:rPr>
                <w:rFonts w:hint="default" w:ascii="Times New Roman" w:hAnsi="Times New Roman" w:eastAsia="宋体" w:cs="Times New Roman"/>
                <w:b/>
                <w:bCs/>
                <w:snapToGrid/>
                <w:color w:val="auto"/>
                <w:kern w:val="2"/>
                <w:sz w:val="21"/>
                <w:szCs w:val="21"/>
                <w:highlight w:val="none"/>
                <w:u w:val="none" w:color="auto"/>
                <w:lang w:val="en-US" w:eastAsia="zh-CN" w:bidi="ar"/>
              </w:rPr>
              <w:t>单位：dB</w:t>
            </w:r>
            <w:r>
              <w:rPr>
                <w:rFonts w:hint="eastAsia" w:ascii="Times New Roman" w:hAnsi="Times New Roman" w:eastAsia="宋体" w:cs="Times New Roman"/>
                <w:b/>
                <w:bCs/>
                <w:snapToGrid/>
                <w:color w:val="auto"/>
                <w:kern w:val="2"/>
                <w:sz w:val="21"/>
                <w:szCs w:val="21"/>
                <w:highlight w:val="none"/>
                <w:u w:val="none" w:color="auto"/>
                <w:lang w:val="en-US" w:eastAsia="zh-CN" w:bidi="ar"/>
              </w:rPr>
              <w:t xml:space="preserve"> </w:t>
            </w:r>
          </w:p>
          <w:tbl>
            <w:tblPr>
              <w:tblStyle w:val="31"/>
              <w:tblW w:w="79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9"/>
              <w:gridCol w:w="2549"/>
              <w:gridCol w:w="2701"/>
            </w:tblGrid>
            <w:tr w14:paraId="342D3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689" w:type="dxa"/>
                  <w:noWrap w:val="0"/>
                  <w:vAlign w:val="center"/>
                </w:tcPr>
                <w:p w14:paraId="534B8E9C">
                  <w:pPr>
                    <w:widowControl w:val="0"/>
                    <w:adjustRightInd w:val="0"/>
                    <w:snapToGrid w:val="0"/>
                    <w:jc w:val="center"/>
                    <w:rPr>
                      <w:rFonts w:hint="default" w:ascii="Times New Roman" w:hAnsi="Times New Roman" w:eastAsia="宋体" w:cs="Times New Roman"/>
                      <w:b w:val="0"/>
                      <w:bCs w:val="0"/>
                      <w:color w:val="auto"/>
                      <w:kern w:val="0"/>
                      <w:sz w:val="21"/>
                      <w:szCs w:val="21"/>
                      <w:highlight w:val="none"/>
                      <w:u w:val="none" w:color="auto"/>
                      <w:lang w:val="zh-CN" w:eastAsia="zh-CN" w:bidi="ar-SA"/>
                    </w:rPr>
                  </w:pPr>
                  <w:r>
                    <w:rPr>
                      <w:rFonts w:hint="default" w:ascii="Times New Roman" w:hAnsi="Times New Roman" w:eastAsia="宋体" w:cs="Times New Roman"/>
                      <w:b w:val="0"/>
                      <w:bCs w:val="0"/>
                      <w:color w:val="auto"/>
                      <w:kern w:val="0"/>
                      <w:sz w:val="21"/>
                      <w:szCs w:val="21"/>
                      <w:highlight w:val="none"/>
                      <w:u w:val="none" w:color="auto"/>
                      <w:lang w:val="zh-CN" w:eastAsia="zh-CN" w:bidi="ar-SA"/>
                    </w:rPr>
                    <w:t>类别</w:t>
                  </w:r>
                </w:p>
              </w:tc>
              <w:tc>
                <w:tcPr>
                  <w:tcW w:w="2549" w:type="dxa"/>
                  <w:noWrap w:val="0"/>
                  <w:vAlign w:val="center"/>
                </w:tcPr>
                <w:p w14:paraId="5C93E77F">
                  <w:pPr>
                    <w:widowControl w:val="0"/>
                    <w:adjustRightInd w:val="0"/>
                    <w:snapToGrid w:val="0"/>
                    <w:jc w:val="center"/>
                    <w:rPr>
                      <w:rFonts w:hint="default" w:ascii="Times New Roman" w:hAnsi="Times New Roman" w:eastAsia="宋体" w:cs="Times New Roman"/>
                      <w:b w:val="0"/>
                      <w:bCs w:val="0"/>
                      <w:color w:val="auto"/>
                      <w:kern w:val="0"/>
                      <w:sz w:val="21"/>
                      <w:szCs w:val="21"/>
                      <w:highlight w:val="none"/>
                      <w:u w:val="none" w:color="auto"/>
                      <w:lang w:val="zh-CN" w:eastAsia="zh-CN" w:bidi="ar-SA"/>
                    </w:rPr>
                  </w:pPr>
                  <w:r>
                    <w:rPr>
                      <w:rFonts w:hint="default" w:ascii="Times New Roman" w:hAnsi="Times New Roman" w:eastAsia="宋体" w:cs="Times New Roman"/>
                      <w:b w:val="0"/>
                      <w:bCs w:val="0"/>
                      <w:color w:val="auto"/>
                      <w:kern w:val="0"/>
                      <w:sz w:val="21"/>
                      <w:szCs w:val="21"/>
                      <w:highlight w:val="none"/>
                      <w:u w:val="none" w:color="auto"/>
                      <w:lang w:val="zh-CN" w:eastAsia="zh-CN" w:bidi="ar-SA"/>
                    </w:rPr>
                    <w:t>昼间</w:t>
                  </w:r>
                </w:p>
              </w:tc>
              <w:tc>
                <w:tcPr>
                  <w:tcW w:w="2701" w:type="dxa"/>
                  <w:noWrap w:val="0"/>
                  <w:vAlign w:val="center"/>
                </w:tcPr>
                <w:p w14:paraId="43CEE548">
                  <w:pPr>
                    <w:widowControl w:val="0"/>
                    <w:adjustRightInd w:val="0"/>
                    <w:snapToGrid w:val="0"/>
                    <w:jc w:val="center"/>
                    <w:rPr>
                      <w:rFonts w:hint="default" w:ascii="Times New Roman" w:hAnsi="Times New Roman" w:eastAsia="宋体" w:cs="Times New Roman"/>
                      <w:b w:val="0"/>
                      <w:bCs w:val="0"/>
                      <w:color w:val="auto"/>
                      <w:kern w:val="0"/>
                      <w:sz w:val="21"/>
                      <w:szCs w:val="21"/>
                      <w:highlight w:val="none"/>
                      <w:u w:val="none" w:color="auto"/>
                      <w:lang w:val="zh-CN" w:eastAsia="zh-CN" w:bidi="ar-SA"/>
                    </w:rPr>
                  </w:pPr>
                  <w:r>
                    <w:rPr>
                      <w:rFonts w:hint="default" w:ascii="Times New Roman" w:hAnsi="Times New Roman" w:eastAsia="宋体" w:cs="Times New Roman"/>
                      <w:b w:val="0"/>
                      <w:bCs w:val="0"/>
                      <w:color w:val="auto"/>
                      <w:kern w:val="0"/>
                      <w:sz w:val="21"/>
                      <w:szCs w:val="21"/>
                      <w:highlight w:val="none"/>
                      <w:u w:val="none" w:color="auto"/>
                      <w:lang w:val="zh-CN" w:eastAsia="zh-CN" w:bidi="ar-SA"/>
                    </w:rPr>
                    <w:t>夜间</w:t>
                  </w:r>
                </w:p>
              </w:tc>
            </w:tr>
            <w:tr w14:paraId="3BC8F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2689" w:type="dxa"/>
                  <w:noWrap w:val="0"/>
                  <w:vAlign w:val="center"/>
                </w:tcPr>
                <w:p w14:paraId="1EFA28EE">
                  <w:pPr>
                    <w:widowControl w:val="0"/>
                    <w:adjustRightInd w:val="0"/>
                    <w:snapToGrid w:val="0"/>
                    <w:jc w:val="center"/>
                    <w:rPr>
                      <w:rFonts w:hint="default" w:ascii="Times New Roman" w:hAnsi="Times New Roman" w:eastAsia="宋体" w:cs="Times New Roman"/>
                      <w:b w:val="0"/>
                      <w:bCs w:val="0"/>
                      <w:color w:val="auto"/>
                      <w:kern w:val="0"/>
                      <w:sz w:val="21"/>
                      <w:szCs w:val="21"/>
                      <w:highlight w:val="none"/>
                      <w:u w:val="none" w:color="auto"/>
                      <w:lang w:val="zh-CN" w:eastAsia="zh-CN" w:bidi="ar-SA"/>
                    </w:rPr>
                  </w:pPr>
                  <w:r>
                    <w:rPr>
                      <w:rFonts w:hint="eastAsia" w:cs="Times New Roman"/>
                      <w:b w:val="0"/>
                      <w:bCs w:val="0"/>
                      <w:color w:val="auto"/>
                      <w:kern w:val="0"/>
                      <w:sz w:val="21"/>
                      <w:szCs w:val="21"/>
                      <w:highlight w:val="none"/>
                      <w:u w:val="none" w:color="auto"/>
                      <w:lang w:val="en-US" w:eastAsia="zh-CN" w:bidi="ar-SA"/>
                    </w:rPr>
                    <w:t>2</w:t>
                  </w:r>
                  <w:r>
                    <w:rPr>
                      <w:rFonts w:hint="default" w:ascii="Times New Roman" w:hAnsi="Times New Roman" w:eastAsia="宋体" w:cs="Times New Roman"/>
                      <w:b w:val="0"/>
                      <w:bCs w:val="0"/>
                      <w:color w:val="auto"/>
                      <w:kern w:val="0"/>
                      <w:sz w:val="21"/>
                      <w:szCs w:val="21"/>
                      <w:highlight w:val="none"/>
                      <w:u w:val="none" w:color="auto"/>
                      <w:lang w:val="zh-CN" w:eastAsia="zh-CN" w:bidi="ar-SA"/>
                    </w:rPr>
                    <w:t>类</w:t>
                  </w:r>
                </w:p>
              </w:tc>
              <w:tc>
                <w:tcPr>
                  <w:tcW w:w="2549" w:type="dxa"/>
                  <w:noWrap w:val="0"/>
                  <w:vAlign w:val="center"/>
                </w:tcPr>
                <w:p w14:paraId="0E1DC09A">
                  <w:pPr>
                    <w:widowControl w:val="0"/>
                    <w:adjustRightInd w:val="0"/>
                    <w:snapToGrid w:val="0"/>
                    <w:jc w:val="center"/>
                    <w:rPr>
                      <w:rFonts w:hint="default" w:ascii="Times New Roman" w:hAnsi="Times New Roman" w:eastAsia="宋体" w:cs="Times New Roman"/>
                      <w:b w:val="0"/>
                      <w:bCs w:val="0"/>
                      <w:color w:val="auto"/>
                      <w:kern w:val="0"/>
                      <w:sz w:val="21"/>
                      <w:szCs w:val="21"/>
                      <w:highlight w:val="none"/>
                      <w:u w:val="none" w:color="auto"/>
                      <w:lang w:val="en-US" w:eastAsia="zh-CN" w:bidi="ar-SA"/>
                    </w:rPr>
                  </w:pPr>
                  <w:r>
                    <w:rPr>
                      <w:rFonts w:hint="eastAsia" w:cs="Times New Roman"/>
                      <w:b w:val="0"/>
                      <w:bCs w:val="0"/>
                      <w:color w:val="auto"/>
                      <w:kern w:val="0"/>
                      <w:sz w:val="21"/>
                      <w:szCs w:val="21"/>
                      <w:highlight w:val="none"/>
                      <w:u w:val="none" w:color="auto"/>
                      <w:lang w:val="en-US" w:eastAsia="zh-CN" w:bidi="ar-SA"/>
                    </w:rPr>
                    <w:t>60</w:t>
                  </w:r>
                </w:p>
              </w:tc>
              <w:tc>
                <w:tcPr>
                  <w:tcW w:w="2701" w:type="dxa"/>
                  <w:noWrap w:val="0"/>
                  <w:vAlign w:val="center"/>
                </w:tcPr>
                <w:p w14:paraId="502D83AB">
                  <w:pPr>
                    <w:widowControl w:val="0"/>
                    <w:adjustRightInd w:val="0"/>
                    <w:snapToGrid w:val="0"/>
                    <w:jc w:val="center"/>
                    <w:rPr>
                      <w:rFonts w:hint="default" w:ascii="Times New Roman" w:hAnsi="Times New Roman" w:eastAsia="宋体" w:cs="Times New Roman"/>
                      <w:b w:val="0"/>
                      <w:bCs w:val="0"/>
                      <w:color w:val="auto"/>
                      <w:kern w:val="0"/>
                      <w:sz w:val="21"/>
                      <w:szCs w:val="21"/>
                      <w:highlight w:val="none"/>
                      <w:u w:val="none" w:color="auto"/>
                      <w:lang w:val="en-US" w:eastAsia="zh-CN" w:bidi="ar-SA"/>
                    </w:rPr>
                  </w:pPr>
                  <w:r>
                    <w:rPr>
                      <w:rFonts w:hint="eastAsia" w:cs="Times New Roman"/>
                      <w:b w:val="0"/>
                      <w:bCs w:val="0"/>
                      <w:color w:val="auto"/>
                      <w:kern w:val="0"/>
                      <w:sz w:val="21"/>
                      <w:szCs w:val="21"/>
                      <w:highlight w:val="none"/>
                      <w:u w:val="none" w:color="auto"/>
                      <w:lang w:val="en-US" w:eastAsia="zh-CN" w:bidi="ar-SA"/>
                    </w:rPr>
                    <w:t>50</w:t>
                  </w:r>
                </w:p>
              </w:tc>
            </w:tr>
          </w:tbl>
          <w:p w14:paraId="294A089D">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ind w:firstLine="482" w:firstLineChars="200"/>
              <w:jc w:val="left"/>
              <w:textAlignment w:val="auto"/>
              <w:rPr>
                <w:rFonts w:hint="default" w:ascii="Times New Roman" w:hAnsi="Times New Roman" w:eastAsia="宋体" w:cs="Times New Roman"/>
                <w:b/>
                <w:bCs/>
                <w:i w:val="0"/>
                <w:iCs w:val="0"/>
                <w:color w:val="auto"/>
                <w:sz w:val="24"/>
                <w:szCs w:val="24"/>
                <w:highlight w:val="none"/>
                <w:u w:val="none" w:color="auto"/>
                <w:lang w:val="en-US" w:eastAsia="zh-CN"/>
              </w:rPr>
            </w:pPr>
            <w:r>
              <w:rPr>
                <w:rFonts w:hint="eastAsia" w:ascii="Times New Roman" w:hAnsi="Times New Roman" w:eastAsia="宋体" w:cs="Times New Roman"/>
                <w:b/>
                <w:bCs/>
                <w:i w:val="0"/>
                <w:iCs w:val="0"/>
                <w:color w:val="auto"/>
                <w:sz w:val="24"/>
                <w:szCs w:val="24"/>
                <w:highlight w:val="none"/>
                <w:u w:val="none" w:color="auto"/>
                <w:lang w:val="en-US" w:eastAsia="zh-CN"/>
              </w:rPr>
              <w:t>4、</w:t>
            </w:r>
            <w:r>
              <w:rPr>
                <w:rFonts w:hint="default" w:ascii="Times New Roman" w:hAnsi="Times New Roman" w:eastAsia="宋体" w:cs="Times New Roman"/>
                <w:b/>
                <w:bCs/>
                <w:i w:val="0"/>
                <w:iCs w:val="0"/>
                <w:color w:val="auto"/>
                <w:sz w:val="24"/>
                <w:szCs w:val="24"/>
                <w:highlight w:val="none"/>
                <w:u w:val="none" w:color="auto"/>
                <w:lang w:val="en-US" w:eastAsia="zh-CN"/>
              </w:rPr>
              <w:t>固体废物</w:t>
            </w:r>
          </w:p>
          <w:p w14:paraId="590C24DE">
            <w:pPr>
              <w:keepNext w:val="0"/>
              <w:keepLines w:val="0"/>
              <w:pageBreakBefore w:val="0"/>
              <w:numPr>
                <w:ilvl w:val="0"/>
                <w:numId w:val="0"/>
              </w:numPr>
              <w:kinsoku/>
              <w:wordWrap/>
              <w:overflowPunct/>
              <w:topLinePunct w:val="0"/>
              <w:autoSpaceDE/>
              <w:autoSpaceDN/>
              <w:bidi w:val="0"/>
              <w:adjustRightInd w:val="0"/>
              <w:snapToGrid w:val="0"/>
              <w:spacing w:line="420" w:lineRule="exact"/>
              <w:ind w:firstLine="480" w:firstLineChars="200"/>
              <w:jc w:val="both"/>
              <w:textAlignment w:val="auto"/>
              <w:rPr>
                <w:rFonts w:hint="eastAsia"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rPr>
              <w:t>一般</w:t>
            </w:r>
            <w:r>
              <w:rPr>
                <w:rFonts w:hint="default" w:ascii="Times New Roman" w:hAnsi="Times New Roman" w:eastAsia="宋体" w:cs="Times New Roman"/>
                <w:color w:val="auto"/>
                <w:sz w:val="24"/>
                <w:szCs w:val="24"/>
                <w:highlight w:val="none"/>
                <w:u w:val="none" w:color="auto"/>
                <w:lang w:val="en-US" w:eastAsia="zh-CN"/>
              </w:rPr>
              <w:t>工业</w:t>
            </w:r>
            <w:r>
              <w:rPr>
                <w:rFonts w:hint="default" w:ascii="Times New Roman" w:hAnsi="Times New Roman" w:eastAsia="宋体" w:cs="Times New Roman"/>
                <w:color w:val="auto"/>
                <w:sz w:val="24"/>
                <w:szCs w:val="24"/>
                <w:highlight w:val="none"/>
                <w:u w:val="none" w:color="auto"/>
                <w:lang w:val="en-US"/>
              </w:rPr>
              <w:t>固体废物执行《</w:t>
            </w:r>
            <w:r>
              <w:rPr>
                <w:rFonts w:hint="default" w:ascii="Times New Roman" w:hAnsi="Times New Roman" w:eastAsia="宋体" w:cs="Times New Roman"/>
                <w:color w:val="auto"/>
                <w:sz w:val="24"/>
                <w:szCs w:val="24"/>
                <w:highlight w:val="none"/>
                <w:u w:val="none" w:color="auto"/>
                <w:lang w:val="en-US"/>
              </w:rPr>
              <w:fldChar w:fldCharType="begin"/>
            </w:r>
            <w:r>
              <w:rPr>
                <w:rFonts w:hint="default" w:ascii="Times New Roman" w:hAnsi="Times New Roman" w:eastAsia="宋体" w:cs="Times New Roman"/>
                <w:color w:val="auto"/>
                <w:sz w:val="24"/>
                <w:szCs w:val="24"/>
                <w:highlight w:val="none"/>
                <w:u w:val="none" w:color="auto"/>
                <w:lang w:val="en-US"/>
              </w:rPr>
              <w:instrText xml:space="preserve"> HYPERLINK "https://www.mee.gov.cn/ywgz/fgbz/bz/bzwb/gthw/gtfwwrkzbz/202012/W020201218695845325455.pdf" </w:instrText>
            </w:r>
            <w:r>
              <w:rPr>
                <w:rFonts w:hint="default" w:ascii="Times New Roman" w:hAnsi="Times New Roman" w:eastAsia="宋体" w:cs="Times New Roman"/>
                <w:color w:val="auto"/>
                <w:sz w:val="24"/>
                <w:szCs w:val="24"/>
                <w:highlight w:val="none"/>
                <w:u w:val="none" w:color="auto"/>
                <w:lang w:val="en-US"/>
              </w:rPr>
              <w:fldChar w:fldCharType="separate"/>
            </w:r>
            <w:r>
              <w:rPr>
                <w:rFonts w:hint="default" w:ascii="Times New Roman" w:hAnsi="Times New Roman" w:eastAsia="宋体" w:cs="Times New Roman"/>
                <w:color w:val="auto"/>
                <w:sz w:val="24"/>
                <w:szCs w:val="24"/>
                <w:highlight w:val="none"/>
                <w:u w:val="none" w:color="auto"/>
                <w:lang w:val="en-US"/>
              </w:rPr>
              <w:t>一般工业固体废物贮存和填埋污染控制标准</w:t>
            </w:r>
            <w:r>
              <w:rPr>
                <w:rFonts w:hint="default" w:ascii="Times New Roman" w:hAnsi="Times New Roman" w:eastAsia="宋体" w:cs="Times New Roman"/>
                <w:color w:val="auto"/>
                <w:sz w:val="24"/>
                <w:szCs w:val="24"/>
                <w:highlight w:val="none"/>
                <w:u w:val="none" w:color="auto"/>
                <w:lang w:val="en-US"/>
              </w:rPr>
              <w:fldChar w:fldCharType="end"/>
            </w:r>
            <w:r>
              <w:rPr>
                <w:rFonts w:hint="default" w:ascii="Times New Roman" w:hAnsi="Times New Roman" w:eastAsia="宋体" w:cs="Times New Roman"/>
                <w:color w:val="auto"/>
                <w:sz w:val="24"/>
                <w:szCs w:val="24"/>
                <w:highlight w:val="none"/>
                <w:u w:val="none" w:color="auto"/>
                <w:lang w:val="en-US"/>
              </w:rPr>
              <w:t>》（GB18599-2020）；危险固体废物执行《危险废物贮存污染控制标准</w:t>
            </w:r>
            <w:r>
              <w:rPr>
                <w:rFonts w:hint="default" w:ascii="Times New Roman" w:hAnsi="Times New Roman" w:eastAsia="宋体"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rPr>
              <w:t>（GB18597</w:t>
            </w:r>
            <w:r>
              <w:rPr>
                <w:rFonts w:hint="default" w:ascii="Times New Roman" w:hAnsi="Times New Roman" w:eastAsia="宋体"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rPr>
              <w:t>2023）</w:t>
            </w:r>
            <w:r>
              <w:rPr>
                <w:rFonts w:hint="eastAsia" w:ascii="Times New Roman" w:hAnsi="Times New Roman" w:eastAsia="宋体" w:cs="Times New Roman"/>
                <w:color w:val="auto"/>
                <w:sz w:val="24"/>
                <w:szCs w:val="24"/>
                <w:highlight w:val="none"/>
                <w:u w:val="none" w:color="auto"/>
                <w:lang w:val="en-US" w:eastAsia="zh-CN"/>
              </w:rPr>
              <w:t>。</w:t>
            </w:r>
          </w:p>
          <w:p w14:paraId="62C6B9CC">
            <w:pPr>
              <w:keepNext w:val="0"/>
              <w:keepLines w:val="0"/>
              <w:pageBreakBefore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宋体" w:cs="Times New Roman"/>
                <w:color w:val="auto"/>
                <w:kern w:val="0"/>
                <w:sz w:val="21"/>
                <w:szCs w:val="21"/>
                <w:highlight w:val="yellow"/>
                <w:u w:val="none" w:color="auto"/>
                <w:lang w:eastAsia="zh-CN"/>
              </w:rPr>
            </w:pPr>
          </w:p>
        </w:tc>
      </w:tr>
      <w:tr w14:paraId="0F16E4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19" w:type="dxa"/>
            <w:noWrap w:val="0"/>
            <w:vAlign w:val="center"/>
          </w:tcPr>
          <w:p w14:paraId="1A250903">
            <w:pPr>
              <w:adjustRightInd w:val="0"/>
              <w:snapToGrid w:val="0"/>
              <w:jc w:val="center"/>
              <w:rPr>
                <w:rFonts w:hint="default" w:ascii="Times New Roman" w:hAnsi="Times New Roman" w:eastAsia="宋体" w:cs="Times New Roman"/>
                <w:color w:val="auto"/>
                <w:kern w:val="0"/>
                <w:sz w:val="21"/>
                <w:szCs w:val="21"/>
                <w:highlight w:val="yellow"/>
                <w:u w:val="none" w:color="auto"/>
              </w:rPr>
            </w:pPr>
            <w:r>
              <w:rPr>
                <w:rFonts w:hint="default" w:ascii="Times New Roman" w:hAnsi="Times New Roman" w:eastAsia="宋体" w:cs="Times New Roman"/>
                <w:color w:val="auto"/>
                <w:kern w:val="0"/>
                <w:sz w:val="21"/>
                <w:szCs w:val="21"/>
                <w:highlight w:val="none"/>
                <w:u w:val="none" w:color="auto"/>
              </w:rPr>
              <w:t>总量控制指标</w:t>
            </w:r>
          </w:p>
        </w:tc>
        <w:tc>
          <w:tcPr>
            <w:tcW w:w="8380" w:type="dxa"/>
            <w:noWrap w:val="0"/>
            <w:vAlign w:val="center"/>
          </w:tcPr>
          <w:p w14:paraId="429281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04" w:firstLineChars="200"/>
              <w:textAlignment w:val="auto"/>
              <w:rPr>
                <w:rFonts w:hint="default" w:ascii="Times New Roman" w:hAnsi="Times New Roman" w:eastAsia="宋体" w:cs="Times New Roman"/>
                <w:color w:val="auto"/>
                <w:spacing w:val="6"/>
                <w:sz w:val="24"/>
                <w:u w:val="none" w:color="auto"/>
              </w:rPr>
            </w:pPr>
            <w:r>
              <w:rPr>
                <w:rFonts w:hint="eastAsia" w:ascii="Times New Roman" w:hAnsi="Times New Roman" w:eastAsia="宋体" w:cs="Times New Roman"/>
                <w:color w:val="auto"/>
                <w:spacing w:val="6"/>
                <w:sz w:val="24"/>
                <w:u w:val="none" w:color="auto"/>
                <w:lang w:val="en-US" w:eastAsia="zh-CN"/>
              </w:rPr>
              <w:t>根据建设项目排污特点和环保部门有关排污总量控制要求</w:t>
            </w:r>
            <w:r>
              <w:rPr>
                <w:rFonts w:hint="eastAsia" w:cs="Times New Roman"/>
                <w:color w:val="auto"/>
                <w:spacing w:val="6"/>
                <w:sz w:val="24"/>
                <w:u w:val="none" w:color="auto"/>
                <w:lang w:val="en-US" w:eastAsia="zh-CN"/>
              </w:rPr>
              <w:t>，</w:t>
            </w:r>
            <w:r>
              <w:rPr>
                <w:rFonts w:hint="eastAsia" w:ascii="Times New Roman" w:hAnsi="Times New Roman" w:eastAsia="宋体" w:cs="Times New Roman"/>
                <w:color w:val="auto"/>
                <w:spacing w:val="6"/>
                <w:sz w:val="24"/>
                <w:u w:val="none" w:color="auto"/>
                <w:lang w:val="en-US" w:eastAsia="zh-CN"/>
              </w:rPr>
              <w:t xml:space="preserve">预测本项目污染物产生总量指标如下： </w:t>
            </w:r>
          </w:p>
          <w:p w14:paraId="7E75DB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04" w:firstLineChars="200"/>
              <w:textAlignment w:val="auto"/>
              <w:rPr>
                <w:rFonts w:hint="default"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color w:val="auto"/>
                <w:spacing w:val="6"/>
                <w:sz w:val="24"/>
                <w:u w:val="none" w:color="auto"/>
                <w:lang w:val="en-US" w:eastAsia="zh-CN"/>
              </w:rPr>
              <w:t>（</w:t>
            </w:r>
            <w:r>
              <w:rPr>
                <w:rFonts w:hint="default" w:ascii="Times New Roman" w:hAnsi="Times New Roman" w:eastAsia="宋体" w:cs="Times New Roman"/>
                <w:color w:val="auto"/>
                <w:spacing w:val="6"/>
                <w:sz w:val="24"/>
                <w:u w:val="none" w:color="auto"/>
                <w:lang w:val="en-US" w:eastAsia="zh-CN"/>
              </w:rPr>
              <w:t>1</w:t>
            </w:r>
            <w:r>
              <w:rPr>
                <w:rFonts w:hint="eastAsia" w:ascii="Times New Roman" w:hAnsi="Times New Roman" w:eastAsia="宋体" w:cs="Times New Roman"/>
                <w:color w:val="auto"/>
                <w:spacing w:val="6"/>
                <w:sz w:val="24"/>
                <w:u w:val="none" w:color="auto"/>
                <w:lang w:val="en-US" w:eastAsia="zh-CN"/>
              </w:rPr>
              <w:t xml:space="preserve">）水污染物总量控制途径分析 </w:t>
            </w:r>
          </w:p>
          <w:p w14:paraId="52D67C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pacing w:val="6"/>
                <w:sz w:val="24"/>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本</w:t>
            </w:r>
            <w:r>
              <w:rPr>
                <w:rFonts w:hint="eastAsia" w:cs="Times New Roman"/>
                <w:b w:val="0"/>
                <w:bCs w:val="0"/>
                <w:color w:val="auto"/>
                <w:sz w:val="24"/>
                <w:szCs w:val="24"/>
                <w:highlight w:val="none"/>
                <w:u w:val="none" w:color="auto"/>
                <w:lang w:val="en-US" w:eastAsia="zh-CN"/>
              </w:rPr>
              <w:t>项目</w:t>
            </w:r>
            <w:r>
              <w:rPr>
                <w:rFonts w:hint="default" w:ascii="Times New Roman" w:hAnsi="Times New Roman" w:eastAsia="宋体" w:cs="Times New Roman"/>
                <w:b w:val="0"/>
                <w:bCs w:val="0"/>
                <w:color w:val="auto"/>
                <w:sz w:val="24"/>
                <w:szCs w:val="24"/>
                <w:highlight w:val="none"/>
                <w:u w:val="none" w:color="auto"/>
                <w:lang w:val="en-US" w:eastAsia="zh-CN"/>
              </w:rPr>
              <w:t>水帘废水作为危险废物处置，委托有资质单位外运处置，不外排，生活污水经化粪池处理后用于周边林地浇灌，不外排。</w:t>
            </w:r>
            <w:r>
              <w:rPr>
                <w:rFonts w:hint="eastAsia" w:ascii="Times New Roman" w:hAnsi="Times New Roman" w:eastAsia="宋体" w:cs="Times New Roman"/>
                <w:color w:val="auto"/>
                <w:spacing w:val="6"/>
                <w:sz w:val="24"/>
                <w:u w:val="none" w:color="auto"/>
                <w:lang w:val="en-US" w:eastAsia="zh-CN"/>
              </w:rPr>
              <w:t>因此，项目无需另购买COD、NH3-N总量指标。</w:t>
            </w:r>
          </w:p>
          <w:p w14:paraId="1D2BF4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04" w:firstLineChars="200"/>
              <w:textAlignment w:val="auto"/>
              <w:rPr>
                <w:rFonts w:hint="default" w:ascii="Times New Roman" w:hAnsi="Times New Roman" w:eastAsia="宋体" w:cs="Times New Roman"/>
                <w:color w:val="auto"/>
                <w:spacing w:val="6"/>
                <w:sz w:val="24"/>
                <w:u w:val="none" w:color="auto"/>
              </w:rPr>
            </w:pPr>
            <w:r>
              <w:rPr>
                <w:rFonts w:hint="eastAsia" w:ascii="Times New Roman" w:hAnsi="Times New Roman" w:eastAsia="宋体" w:cs="Times New Roman"/>
                <w:color w:val="auto"/>
                <w:spacing w:val="6"/>
                <w:sz w:val="24"/>
                <w:u w:val="none" w:color="auto"/>
                <w:lang w:val="en-US" w:eastAsia="zh-CN"/>
              </w:rPr>
              <w:t>（</w:t>
            </w:r>
            <w:r>
              <w:rPr>
                <w:rFonts w:hint="default" w:ascii="Times New Roman" w:hAnsi="Times New Roman" w:eastAsia="宋体" w:cs="Times New Roman"/>
                <w:color w:val="auto"/>
                <w:spacing w:val="6"/>
                <w:sz w:val="24"/>
                <w:u w:val="none" w:color="auto"/>
                <w:lang w:val="en-US" w:eastAsia="zh-CN"/>
              </w:rPr>
              <w:t>2</w:t>
            </w:r>
            <w:r>
              <w:rPr>
                <w:rFonts w:hint="eastAsia" w:ascii="Times New Roman" w:hAnsi="Times New Roman" w:eastAsia="宋体" w:cs="Times New Roman"/>
                <w:color w:val="auto"/>
                <w:spacing w:val="6"/>
                <w:sz w:val="24"/>
                <w:u w:val="none" w:color="auto"/>
                <w:lang w:val="en-US" w:eastAsia="zh-CN"/>
              </w:rPr>
              <w:t xml:space="preserve">）大气污染物排放总量 </w:t>
            </w:r>
          </w:p>
          <w:p w14:paraId="358BF1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04" w:firstLineChars="200"/>
              <w:textAlignment w:val="auto"/>
              <w:rPr>
                <w:rFonts w:hint="default" w:ascii="Times New Roman" w:hAnsi="Times New Roman" w:eastAsia="宋体" w:cs="Times New Roman"/>
                <w:color w:val="auto"/>
                <w:spacing w:val="6"/>
                <w:sz w:val="24"/>
                <w:u w:val="none" w:color="auto"/>
                <w:lang w:val="en-US" w:eastAsia="zh-CN"/>
              </w:rPr>
            </w:pPr>
            <w:r>
              <w:rPr>
                <w:rFonts w:hint="eastAsia" w:ascii="Times New Roman" w:hAnsi="Times New Roman" w:eastAsia="宋体" w:cs="Times New Roman"/>
                <w:color w:val="auto"/>
                <w:spacing w:val="6"/>
                <w:sz w:val="24"/>
                <w:u w:val="none" w:color="auto"/>
                <w:lang w:val="en-US" w:eastAsia="zh-CN"/>
              </w:rPr>
              <w:t>按照《湖南省十四五环境保护规划》的要求，结合项目工艺特征和污染物排放情况，确定本项目总量控制指标为 VOCs</w:t>
            </w:r>
            <w:r>
              <w:rPr>
                <w:rFonts w:hint="eastAsia" w:eastAsia="宋体" w:cs="Times New Roman"/>
                <w:color w:val="auto"/>
                <w:spacing w:val="6"/>
                <w:sz w:val="24"/>
                <w:u w:val="none" w:color="auto"/>
                <w:lang w:val="en-US" w:eastAsia="zh-CN"/>
              </w:rPr>
              <w:t>、氮氧化物</w:t>
            </w:r>
            <w:r>
              <w:rPr>
                <w:rFonts w:hint="eastAsia" w:ascii="Times New Roman" w:hAnsi="Times New Roman" w:eastAsia="宋体" w:cs="Times New Roman"/>
                <w:color w:val="auto"/>
                <w:spacing w:val="6"/>
                <w:sz w:val="24"/>
                <w:u w:val="none" w:color="auto"/>
                <w:lang w:val="en-US" w:eastAsia="zh-CN"/>
              </w:rPr>
              <w:t>。本项目 VOCs排放量为</w:t>
            </w:r>
            <w:r>
              <w:rPr>
                <w:rFonts w:hint="eastAsia" w:cs="Times New Roman"/>
                <w:color w:val="auto"/>
                <w:spacing w:val="6"/>
                <w:sz w:val="24"/>
                <w:u w:val="none" w:color="auto"/>
                <w:lang w:val="en-US" w:eastAsia="zh-CN"/>
              </w:rPr>
              <w:t>0.475t/a（</w:t>
            </w:r>
            <w:r>
              <w:rPr>
                <w:rFonts w:hint="eastAsia" w:ascii="Times New Roman" w:hAnsi="Times New Roman" w:eastAsia="宋体" w:cs="Times New Roman"/>
                <w:color w:val="auto"/>
                <w:spacing w:val="6"/>
                <w:sz w:val="24"/>
                <w:u w:val="none" w:color="auto"/>
                <w:lang w:val="en-US" w:eastAsia="zh-CN"/>
              </w:rPr>
              <w:t>其中有组织排放量为</w:t>
            </w:r>
            <w:r>
              <w:rPr>
                <w:rFonts w:hint="eastAsia" w:cs="Times New Roman"/>
                <w:color w:val="auto"/>
                <w:spacing w:val="6"/>
                <w:sz w:val="24"/>
                <w:u w:val="none" w:color="auto"/>
                <w:lang w:val="en-US" w:eastAsia="zh-CN"/>
              </w:rPr>
              <w:t>0.4t/a</w:t>
            </w:r>
            <w:r>
              <w:rPr>
                <w:rFonts w:hint="eastAsia" w:ascii="Times New Roman" w:hAnsi="Times New Roman" w:eastAsia="宋体" w:cs="Times New Roman"/>
                <w:color w:val="auto"/>
                <w:spacing w:val="6"/>
                <w:sz w:val="24"/>
                <w:u w:val="none" w:color="auto"/>
                <w:lang w:val="en-US" w:eastAsia="zh-CN"/>
              </w:rPr>
              <w:t>，无组织排放量为</w:t>
            </w:r>
            <w:r>
              <w:rPr>
                <w:rFonts w:hint="eastAsia" w:cs="Times New Roman"/>
                <w:color w:val="auto"/>
                <w:spacing w:val="6"/>
                <w:sz w:val="24"/>
                <w:u w:val="none" w:color="auto"/>
                <w:lang w:val="en-US" w:eastAsia="zh-CN"/>
              </w:rPr>
              <w:t>0.075</w:t>
            </w:r>
            <w:r>
              <w:rPr>
                <w:rFonts w:hint="eastAsia" w:ascii="Times New Roman" w:hAnsi="Times New Roman" w:eastAsia="宋体" w:cs="Times New Roman"/>
                <w:color w:val="auto"/>
                <w:spacing w:val="6"/>
                <w:sz w:val="24"/>
                <w:u w:val="none" w:color="auto"/>
                <w:lang w:val="en-US" w:eastAsia="zh-CN"/>
              </w:rPr>
              <w:t>t</w:t>
            </w:r>
            <w:r>
              <w:rPr>
                <w:rFonts w:hint="eastAsia" w:cs="Times New Roman"/>
                <w:color w:val="auto"/>
                <w:spacing w:val="6"/>
                <w:sz w:val="24"/>
                <w:u w:val="none" w:color="auto"/>
                <w:lang w:val="en-US" w:eastAsia="zh-CN"/>
              </w:rPr>
              <w:t>/</w:t>
            </w:r>
            <w:r>
              <w:rPr>
                <w:rFonts w:hint="eastAsia" w:ascii="Times New Roman" w:hAnsi="Times New Roman" w:eastAsia="宋体" w:cs="Times New Roman"/>
                <w:color w:val="auto"/>
                <w:spacing w:val="6"/>
                <w:sz w:val="24"/>
                <w:u w:val="none" w:color="auto"/>
                <w:lang w:val="en-US" w:eastAsia="zh-CN"/>
              </w:rPr>
              <w:t>a</w:t>
            </w:r>
            <w:r>
              <w:rPr>
                <w:rFonts w:hint="eastAsia" w:cs="Times New Roman"/>
                <w:color w:val="auto"/>
                <w:spacing w:val="6"/>
                <w:sz w:val="24"/>
                <w:u w:val="none" w:color="auto"/>
                <w:lang w:val="en-US" w:eastAsia="zh-CN"/>
              </w:rPr>
              <w:t>，总量替代来源于</w:t>
            </w:r>
            <w:r>
              <w:rPr>
                <w:rFonts w:hint="eastAsia" w:cs="Times New Roman"/>
                <w:color w:val="auto"/>
                <w:spacing w:val="6"/>
                <w:sz w:val="24"/>
                <w:u w:val="none" w:color="auto"/>
                <w:lang w:val="en-US" w:eastAsia="zh-CN"/>
              </w:rPr>
              <w:t>湖南彩达包装</w:t>
            </w:r>
            <w:r>
              <w:rPr>
                <w:rFonts w:hint="eastAsia" w:ascii="Times New Roman" w:hAnsi="Times New Roman" w:eastAsia="宋体" w:cs="Times New Roman"/>
                <w:color w:val="auto"/>
                <w:spacing w:val="6"/>
                <w:sz w:val="24"/>
                <w:u w:val="none" w:color="auto"/>
                <w:lang w:val="en-US" w:eastAsia="zh-CN"/>
              </w:rPr>
              <w:t>有限公司</w:t>
            </w:r>
            <w:r>
              <w:rPr>
                <w:rFonts w:hint="eastAsia" w:ascii="Times New Roman" w:hAnsi="Times New Roman" w:cs="Times New Roman"/>
                <w:color w:val="auto"/>
                <w:spacing w:val="6"/>
                <w:sz w:val="24"/>
                <w:u w:val="none" w:color="auto"/>
                <w:lang w:val="en-US" w:eastAsia="zh-CN"/>
              </w:rPr>
              <w:t>0.95t/a</w:t>
            </w:r>
            <w:r>
              <w:rPr>
                <w:rFonts w:hint="eastAsia" w:cs="Times New Roman"/>
                <w:color w:val="auto"/>
                <w:spacing w:val="6"/>
                <w:sz w:val="24"/>
                <w:u w:val="none" w:color="auto"/>
                <w:lang w:val="en-US" w:eastAsia="zh-CN"/>
              </w:rPr>
              <w:t>），</w:t>
            </w:r>
            <w:r>
              <w:rPr>
                <w:rFonts w:hint="eastAsia" w:ascii="Times New Roman" w:hAnsi="Times New Roman" w:eastAsia="宋体" w:cs="Times New Roman"/>
                <w:color w:val="auto"/>
                <w:spacing w:val="6"/>
                <w:sz w:val="24"/>
                <w:u w:val="none" w:color="auto"/>
                <w:lang w:val="en-US" w:eastAsia="zh-CN"/>
              </w:rPr>
              <w:t>氮氧化物排放量为3.17kg/a。</w:t>
            </w:r>
          </w:p>
        </w:tc>
      </w:tr>
    </w:tbl>
    <w:p w14:paraId="6E2DC62A">
      <w:pPr>
        <w:widowControl/>
        <w:spacing w:before="100" w:beforeAutospacing="1" w:after="100" w:afterAutospacing="1"/>
        <w:ind w:firstLine="600" w:firstLineChars="200"/>
        <w:jc w:val="center"/>
        <w:outlineLvl w:val="0"/>
        <w:rPr>
          <w:rFonts w:hint="default" w:ascii="Times New Roman" w:hAnsi="Times New Roman" w:eastAsia="宋体" w:cs="Times New Roman"/>
          <w:snapToGrid w:val="0"/>
          <w:color w:val="auto"/>
          <w:kern w:val="0"/>
          <w:sz w:val="30"/>
          <w:szCs w:val="30"/>
          <w:highlight w:val="none"/>
          <w:lang w:val="en-US" w:eastAsia="zh-CN" w:bidi="ar-SA"/>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bookmarkEnd w:id="10"/>
    <w:bookmarkEnd w:id="11"/>
    <w:bookmarkEnd w:id="12"/>
    <w:p w14:paraId="7FC40AA1">
      <w:pPr>
        <w:widowControl/>
        <w:spacing w:before="100" w:beforeAutospacing="1" w:after="100" w:afterAutospacing="1"/>
        <w:ind w:firstLine="600" w:firstLineChars="200"/>
        <w:jc w:val="center"/>
        <w:outlineLvl w:val="0"/>
        <w:rPr>
          <w:rFonts w:hint="default" w:ascii="Times New Roman" w:hAnsi="Times New Roman" w:eastAsia="宋体" w:cs="Times New Roman"/>
          <w:snapToGrid w:val="0"/>
          <w:color w:val="auto"/>
          <w:kern w:val="0"/>
          <w:sz w:val="30"/>
          <w:szCs w:val="30"/>
          <w:highlight w:val="none"/>
          <w:lang w:val="en-US" w:eastAsia="zh-CN" w:bidi="ar-SA"/>
        </w:rPr>
      </w:pPr>
      <w:bookmarkStart w:id="13" w:name="_Toc30761"/>
      <w:bookmarkStart w:id="14" w:name="_Toc25323"/>
      <w:bookmarkStart w:id="15" w:name="_Toc28335"/>
      <w:r>
        <w:rPr>
          <w:rFonts w:hint="default" w:ascii="Times New Roman" w:hAnsi="Times New Roman" w:eastAsia="宋体" w:cs="Times New Roman"/>
          <w:snapToGrid w:val="0"/>
          <w:color w:val="auto"/>
          <w:kern w:val="0"/>
          <w:sz w:val="30"/>
          <w:szCs w:val="30"/>
          <w:highlight w:val="none"/>
          <w:lang w:val="en-US" w:eastAsia="zh-CN" w:bidi="ar-SA"/>
        </w:rPr>
        <w:t>四、主要环境影响和保护措施</w:t>
      </w:r>
      <w:bookmarkEnd w:id="13"/>
      <w:bookmarkEnd w:id="14"/>
      <w:bookmarkEnd w:id="15"/>
    </w:p>
    <w:tbl>
      <w:tblPr>
        <w:tblStyle w:val="31"/>
        <w:tblW w:w="902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07"/>
        <w:gridCol w:w="8574"/>
      </w:tblGrid>
      <w:tr w14:paraId="4FA7A3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407" w:type="dxa"/>
            <w:noWrap w:val="0"/>
            <w:tcMar>
              <w:left w:w="28" w:type="dxa"/>
              <w:right w:w="28" w:type="dxa"/>
            </w:tcMar>
            <w:vAlign w:val="center"/>
          </w:tcPr>
          <w:p w14:paraId="1A9055F7">
            <w:pPr>
              <w:widowControl/>
              <w:adjustRightInd w:val="0"/>
              <w:snapToGrid w:val="0"/>
              <w:spacing w:before="0" w:beforeAutospacing="0" w:after="0" w:afterAutospacing="0"/>
              <w:jc w:val="center"/>
              <w:rPr>
                <w:rFonts w:hint="default"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color w:val="auto"/>
                <w:kern w:val="0"/>
                <w:sz w:val="21"/>
                <w:szCs w:val="21"/>
                <w:highlight w:val="none"/>
                <w:lang w:val="en-US" w:eastAsia="zh-CN" w:bidi="ar-SA"/>
              </w:rPr>
              <w:t>施工期环境保护措施</w:t>
            </w:r>
          </w:p>
        </w:tc>
        <w:tc>
          <w:tcPr>
            <w:tcW w:w="8574" w:type="dxa"/>
            <w:noWrap w:val="0"/>
            <w:vAlign w:val="center"/>
          </w:tcPr>
          <w:p w14:paraId="4FED19BE">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cs="Times New Roman"/>
                <w:b w:val="0"/>
                <w:bCs w:val="0"/>
                <w:color w:val="auto"/>
                <w:sz w:val="24"/>
                <w:szCs w:val="24"/>
                <w:highlight w:val="none"/>
                <w:lang w:val="en-US" w:eastAsia="zh-CN"/>
              </w:rPr>
              <w:t>项目租赁已建好厂房，</w:t>
            </w:r>
            <w:r>
              <w:rPr>
                <w:rFonts w:hint="default" w:ascii="Times New Roman" w:hAnsi="Times New Roman" w:eastAsia="宋体" w:cs="Times New Roman"/>
                <w:b w:val="0"/>
                <w:bCs w:val="0"/>
                <w:color w:val="auto"/>
                <w:sz w:val="24"/>
                <w:szCs w:val="24"/>
                <w:highlight w:val="none"/>
                <w:lang w:val="en-US" w:eastAsia="zh-CN"/>
              </w:rPr>
              <w:t>施工期仅进行设备安装，主要环境污染包括设备安装噪声及设备废包装材料等固体废物。建议项目施工期采取以下环境保护措施降低施工期环境影响：</w:t>
            </w:r>
          </w:p>
          <w:p w14:paraId="7BBD8E9F">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①合理安排设备安装时间，尽量避免同一时间安装多台设备，禁止在夜间进行设备安装；</w:t>
            </w:r>
          </w:p>
          <w:p w14:paraId="4B87673C">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②搬运设备禁止采取推拉方式，防止地面摩擦噪声产生，设备</w:t>
            </w:r>
            <w:r>
              <w:rPr>
                <w:rFonts w:hint="eastAsia" w:cs="Times New Roman"/>
                <w:b w:val="0"/>
                <w:bCs w:val="0"/>
                <w:color w:val="auto"/>
                <w:sz w:val="24"/>
                <w:szCs w:val="24"/>
                <w:highlight w:val="none"/>
                <w:lang w:val="en-US" w:eastAsia="zh-CN"/>
              </w:rPr>
              <w:t>调试</w:t>
            </w:r>
            <w:r>
              <w:rPr>
                <w:rFonts w:hint="default" w:ascii="Times New Roman" w:hAnsi="Times New Roman" w:eastAsia="宋体" w:cs="Times New Roman"/>
                <w:b w:val="0"/>
                <w:bCs w:val="0"/>
                <w:color w:val="auto"/>
                <w:sz w:val="24"/>
                <w:szCs w:val="24"/>
                <w:highlight w:val="none"/>
                <w:lang w:val="en-US" w:eastAsia="zh-CN"/>
              </w:rPr>
              <w:t>应选择室内，利用墙体隔声降低噪声排放；</w:t>
            </w:r>
          </w:p>
          <w:p w14:paraId="4BFB0B20">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default"/>
                <w:color w:val="auto"/>
                <w:lang w:eastAsia="zh-CN"/>
              </w:rPr>
            </w:pPr>
            <w:r>
              <w:rPr>
                <w:rFonts w:hint="default" w:ascii="Times New Roman" w:hAnsi="Times New Roman" w:eastAsia="宋体" w:cs="Times New Roman"/>
                <w:b w:val="0"/>
                <w:bCs w:val="0"/>
                <w:color w:val="auto"/>
                <w:sz w:val="24"/>
                <w:szCs w:val="24"/>
                <w:highlight w:val="none"/>
                <w:lang w:val="en-US" w:eastAsia="zh-CN"/>
              </w:rPr>
              <w:t>③设备拆除的废包装材料统一集中分类堆放，能够资源化利用的外售给资源回收单位，不能资源化利用的交由环卫部门清运。</w:t>
            </w:r>
          </w:p>
        </w:tc>
      </w:tr>
      <w:tr w14:paraId="3265A6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407" w:type="dxa"/>
            <w:noWrap w:val="0"/>
            <w:tcMar>
              <w:left w:w="28" w:type="dxa"/>
              <w:right w:w="28" w:type="dxa"/>
            </w:tcMar>
            <w:vAlign w:val="center"/>
          </w:tcPr>
          <w:p w14:paraId="52778A45">
            <w:pPr>
              <w:adjustRightInd w:val="0"/>
              <w:snapToGrid w:val="0"/>
              <w:jc w:val="center"/>
              <w:rPr>
                <w:rFonts w:hint="default" w:ascii="Times New Roman" w:hAnsi="Times New Roman" w:eastAsia="宋体" w:cs="Times New Roman"/>
                <w:bCs/>
                <w:color w:val="auto"/>
                <w:sz w:val="21"/>
                <w:szCs w:val="21"/>
                <w:highlight w:val="yellow"/>
              </w:rPr>
            </w:pPr>
            <w:r>
              <w:rPr>
                <w:rFonts w:hint="default" w:ascii="Times New Roman" w:hAnsi="Times New Roman" w:eastAsia="宋体" w:cs="Times New Roman"/>
                <w:color w:val="auto"/>
                <w:kern w:val="0"/>
                <w:sz w:val="21"/>
                <w:szCs w:val="21"/>
                <w:highlight w:val="none"/>
                <w:lang w:val="en-US" w:eastAsia="zh-CN" w:bidi="ar-SA"/>
              </w:rPr>
              <w:t>运营期环境影响和保护措施</w:t>
            </w:r>
          </w:p>
        </w:tc>
        <w:tc>
          <w:tcPr>
            <w:tcW w:w="8574" w:type="dxa"/>
            <w:noWrap w:val="0"/>
            <w:vAlign w:val="center"/>
          </w:tcPr>
          <w:p w14:paraId="5D2F16A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lang w:val="en-US" w:eastAsia="zh-CN"/>
              </w:rPr>
            </w:pPr>
            <w:r>
              <w:rPr>
                <w:rFonts w:hint="eastAsia" w:ascii="Times New Roman" w:hAnsi="Times New Roman" w:eastAsia="宋体" w:cs="Times New Roman"/>
                <w:b/>
                <w:bCs/>
                <w:color w:val="auto"/>
                <w:sz w:val="24"/>
                <w:szCs w:val="24"/>
                <w:highlight w:val="none"/>
                <w:u w:val="none"/>
                <w:lang w:val="en-US" w:eastAsia="zh-CN"/>
              </w:rPr>
              <w:t>4.1大气环境影响分析</w:t>
            </w:r>
          </w:p>
          <w:p w14:paraId="2D53DF11">
            <w:pPr>
              <w:keepNext w:val="0"/>
              <w:keepLines w:val="0"/>
              <w:pageBreakBefore w:val="0"/>
              <w:widowControl w:val="0"/>
              <w:kinsoku/>
              <w:wordWrap/>
              <w:overflowPunct/>
              <w:topLinePunct w:val="0"/>
              <w:autoSpaceDE/>
              <w:autoSpaceDN/>
              <w:bidi w:val="0"/>
              <w:adjustRightInd/>
              <w:snapToGrid/>
              <w:spacing w:line="404" w:lineRule="exact"/>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1、大气污染物源强核算</w:t>
            </w:r>
          </w:p>
          <w:p w14:paraId="73521E04">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eastAsia"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本工程产生的</w:t>
            </w:r>
            <w:r>
              <w:rPr>
                <w:rFonts w:hint="eastAsia" w:ascii="Times New Roman" w:hAnsi="Times New Roman" w:eastAsia="宋体" w:cs="Times New Roman"/>
                <w:b w:val="0"/>
                <w:bCs w:val="0"/>
                <w:color w:val="auto"/>
                <w:sz w:val="24"/>
                <w:szCs w:val="24"/>
                <w:highlight w:val="none"/>
                <w:lang w:val="en-US" w:eastAsia="zh-CN"/>
              </w:rPr>
              <w:t>废气</w:t>
            </w:r>
            <w:r>
              <w:rPr>
                <w:rFonts w:hint="default" w:ascii="Times New Roman" w:hAnsi="Times New Roman" w:eastAsia="宋体" w:cs="Times New Roman"/>
                <w:b w:val="0"/>
                <w:bCs w:val="0"/>
                <w:color w:val="auto"/>
                <w:sz w:val="24"/>
                <w:szCs w:val="24"/>
                <w:highlight w:val="none"/>
                <w:lang w:val="en-US" w:eastAsia="zh-CN"/>
              </w:rPr>
              <w:t>包括</w:t>
            </w:r>
            <w:r>
              <w:rPr>
                <w:rFonts w:hint="eastAsia" w:ascii="Times New Roman" w:hAnsi="Times New Roman" w:eastAsia="宋体" w:cs="Times New Roman"/>
                <w:b w:val="0"/>
                <w:bCs w:val="0"/>
                <w:color w:val="auto"/>
                <w:sz w:val="24"/>
                <w:szCs w:val="24"/>
                <w:highlight w:val="none"/>
                <w:lang w:val="en-US" w:eastAsia="zh-CN"/>
              </w:rPr>
              <w:t>风扇风罩下料切割、焊接、打磨工序产生的废气、加工</w:t>
            </w:r>
            <w:r>
              <w:rPr>
                <w:rFonts w:hint="eastAsia" w:cs="Times New Roman"/>
                <w:b w:val="0"/>
                <w:bCs w:val="0"/>
                <w:color w:val="auto"/>
                <w:sz w:val="24"/>
                <w:szCs w:val="24"/>
                <w:highlight w:val="none"/>
                <w:lang w:val="en-US" w:eastAsia="zh-CN"/>
              </w:rPr>
              <w:t>高铁连接板</w:t>
            </w:r>
            <w:r>
              <w:rPr>
                <w:rFonts w:hint="eastAsia" w:ascii="Times New Roman" w:hAnsi="Times New Roman" w:eastAsia="宋体" w:cs="Times New Roman"/>
                <w:b w:val="0"/>
                <w:bCs w:val="0"/>
                <w:color w:val="auto"/>
                <w:sz w:val="24"/>
                <w:szCs w:val="24"/>
                <w:highlight w:val="none"/>
                <w:lang w:val="en-US" w:eastAsia="zh-CN"/>
              </w:rPr>
              <w:t>打磨、清洗、火焰软化以及调漆、喷漆、</w:t>
            </w:r>
            <w:r>
              <w:rPr>
                <w:rFonts w:hint="eastAsia" w:cs="Times New Roman"/>
                <w:b w:val="0"/>
                <w:bCs w:val="0"/>
                <w:color w:val="auto"/>
                <w:sz w:val="24"/>
                <w:szCs w:val="24"/>
                <w:highlight w:val="none"/>
                <w:lang w:val="en-US" w:eastAsia="zh-CN"/>
              </w:rPr>
              <w:t>晾干</w:t>
            </w:r>
            <w:r>
              <w:rPr>
                <w:rFonts w:hint="eastAsia" w:ascii="Times New Roman" w:hAnsi="Times New Roman" w:eastAsia="宋体" w:cs="Times New Roman"/>
                <w:b w:val="0"/>
                <w:bCs w:val="0"/>
                <w:color w:val="auto"/>
                <w:sz w:val="24"/>
                <w:szCs w:val="24"/>
                <w:highlight w:val="none"/>
                <w:lang w:val="en-US" w:eastAsia="zh-CN"/>
              </w:rPr>
              <w:t>、烤漆废气。</w:t>
            </w:r>
          </w:p>
          <w:p w14:paraId="3EEF53BF">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（1）风扇风罩下料切割</w:t>
            </w:r>
          </w:p>
          <w:p w14:paraId="76A67CC6">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钢材</w:t>
            </w:r>
            <w:r>
              <w:rPr>
                <w:rFonts w:hint="default" w:ascii="Times New Roman" w:hAnsi="Times New Roman" w:eastAsia="宋体" w:cs="Times New Roman"/>
                <w:b w:val="0"/>
                <w:bCs w:val="0"/>
                <w:color w:val="auto"/>
                <w:sz w:val="24"/>
                <w:szCs w:val="24"/>
                <w:highlight w:val="none"/>
                <w:lang w:val="en-US" w:eastAsia="zh-CN"/>
              </w:rPr>
              <w:t>在</w:t>
            </w:r>
            <w:r>
              <w:rPr>
                <w:rFonts w:hint="eastAsia" w:ascii="Times New Roman" w:hAnsi="Times New Roman" w:eastAsia="宋体" w:cs="Times New Roman"/>
                <w:b w:val="0"/>
                <w:bCs w:val="0"/>
                <w:color w:val="auto"/>
                <w:sz w:val="24"/>
                <w:szCs w:val="24"/>
                <w:highlight w:val="none"/>
                <w:lang w:val="en-US" w:eastAsia="zh-CN"/>
              </w:rPr>
              <w:t>下料</w:t>
            </w:r>
            <w:r>
              <w:rPr>
                <w:rFonts w:hint="default" w:ascii="Times New Roman" w:hAnsi="Times New Roman" w:eastAsia="宋体" w:cs="Times New Roman"/>
                <w:b w:val="0"/>
                <w:bCs w:val="0"/>
                <w:color w:val="auto"/>
                <w:sz w:val="24"/>
                <w:szCs w:val="24"/>
                <w:highlight w:val="none"/>
                <w:lang w:val="en-US" w:eastAsia="zh-CN"/>
              </w:rPr>
              <w:t>切割</w:t>
            </w:r>
            <w:r>
              <w:rPr>
                <w:rFonts w:hint="eastAsia" w:ascii="Times New Roman" w:hAnsi="Times New Roman" w:eastAsia="宋体" w:cs="Times New Roman"/>
                <w:b w:val="0"/>
                <w:bCs w:val="0"/>
                <w:color w:val="auto"/>
                <w:sz w:val="24"/>
                <w:szCs w:val="24"/>
                <w:highlight w:val="none"/>
                <w:lang w:val="en-US" w:eastAsia="zh-CN"/>
              </w:rPr>
              <w:t>的</w:t>
            </w:r>
            <w:r>
              <w:rPr>
                <w:rFonts w:hint="default" w:ascii="Times New Roman" w:hAnsi="Times New Roman" w:eastAsia="宋体" w:cs="Times New Roman"/>
                <w:b w:val="0"/>
                <w:bCs w:val="0"/>
                <w:color w:val="auto"/>
                <w:sz w:val="24"/>
                <w:szCs w:val="24"/>
                <w:highlight w:val="none"/>
                <w:lang w:val="en-US" w:eastAsia="zh-CN"/>
              </w:rPr>
              <w:t>过程中会产生金属粉尘，本工程切割主要将外购钢材按照设计规格尺寸进行切割剪裁，参照《排放源统计调查产排污核算方法和系数手册》33-37/431-434 机械行业系数手册中04下料，钢板、铝板、铝合金板、</w:t>
            </w:r>
            <w:r>
              <w:rPr>
                <w:rFonts w:hint="eastAsia" w:cs="Times New Roman"/>
                <w:b w:val="0"/>
                <w:bCs w:val="0"/>
                <w:color w:val="auto"/>
                <w:sz w:val="24"/>
                <w:szCs w:val="24"/>
                <w:highlight w:val="none"/>
                <w:lang w:val="en-US" w:eastAsia="zh-CN"/>
              </w:rPr>
              <w:t>其他</w:t>
            </w:r>
            <w:r>
              <w:rPr>
                <w:rFonts w:hint="default" w:ascii="Times New Roman" w:hAnsi="Times New Roman" w:eastAsia="宋体" w:cs="Times New Roman"/>
                <w:b w:val="0"/>
                <w:bCs w:val="0"/>
                <w:color w:val="auto"/>
                <w:sz w:val="24"/>
                <w:szCs w:val="24"/>
                <w:highlight w:val="none"/>
                <w:lang w:val="en-US" w:eastAsia="zh-CN"/>
              </w:rPr>
              <w:t>金属材料采用</w:t>
            </w:r>
            <w:r>
              <w:rPr>
                <w:rFonts w:hint="eastAsia" w:ascii="Times New Roman" w:hAnsi="Times New Roman" w:eastAsia="宋体" w:cs="Times New Roman"/>
                <w:b w:val="0"/>
                <w:bCs w:val="0"/>
                <w:color w:val="auto"/>
                <w:sz w:val="24"/>
                <w:szCs w:val="24"/>
                <w:highlight w:val="none"/>
                <w:lang w:val="en-US" w:eastAsia="zh-CN"/>
              </w:rPr>
              <w:t>氧/</w:t>
            </w:r>
            <w:r>
              <w:rPr>
                <w:rFonts w:hint="default" w:ascii="Times New Roman" w:hAnsi="Times New Roman" w:eastAsia="宋体" w:cs="Times New Roman"/>
                <w:b w:val="0"/>
                <w:bCs w:val="0"/>
                <w:color w:val="auto"/>
                <w:sz w:val="24"/>
                <w:szCs w:val="24"/>
                <w:highlight w:val="none"/>
                <w:lang w:val="en-US" w:eastAsia="zh-CN"/>
              </w:rPr>
              <w:t>可燃气切割，颗粒物产生系数为1.5kg/t原料。本项目加工的</w:t>
            </w:r>
            <w:r>
              <w:rPr>
                <w:rFonts w:hint="eastAsia" w:ascii="Times New Roman" w:hAnsi="Times New Roman" w:eastAsia="宋体" w:cs="Times New Roman"/>
                <w:b w:val="0"/>
                <w:bCs w:val="0"/>
                <w:color w:val="auto"/>
                <w:sz w:val="24"/>
                <w:szCs w:val="24"/>
                <w:highlight w:val="none"/>
                <w:lang w:val="en-US" w:eastAsia="zh-CN"/>
              </w:rPr>
              <w:t>钢材</w:t>
            </w:r>
            <w:r>
              <w:rPr>
                <w:rFonts w:hint="default" w:ascii="Times New Roman" w:hAnsi="Times New Roman" w:eastAsia="宋体" w:cs="Times New Roman"/>
                <w:b w:val="0"/>
                <w:bCs w:val="0"/>
                <w:color w:val="auto"/>
                <w:sz w:val="24"/>
                <w:szCs w:val="24"/>
                <w:highlight w:val="none"/>
                <w:lang w:val="en-US" w:eastAsia="zh-CN"/>
              </w:rPr>
              <w:t>约</w:t>
            </w:r>
            <w:r>
              <w:rPr>
                <w:rFonts w:hint="eastAsia" w:ascii="Times New Roman" w:hAnsi="Times New Roman" w:eastAsia="宋体" w:cs="Times New Roman"/>
                <w:b w:val="0"/>
                <w:bCs w:val="0"/>
                <w:color w:val="auto"/>
                <w:sz w:val="24"/>
                <w:szCs w:val="24"/>
                <w:highlight w:val="none"/>
                <w:lang w:val="en-US" w:eastAsia="zh-CN"/>
              </w:rPr>
              <w:t>50</w:t>
            </w:r>
            <w:r>
              <w:rPr>
                <w:rFonts w:hint="default" w:ascii="Times New Roman" w:hAnsi="Times New Roman" w:eastAsia="宋体" w:cs="Times New Roman"/>
                <w:b w:val="0"/>
                <w:bCs w:val="0"/>
                <w:color w:val="auto"/>
                <w:sz w:val="24"/>
                <w:szCs w:val="24"/>
                <w:highlight w:val="none"/>
                <w:lang w:val="en-US" w:eastAsia="zh-CN"/>
              </w:rPr>
              <w:t>t/a，则</w:t>
            </w:r>
            <w:r>
              <w:rPr>
                <w:rFonts w:hint="eastAsia" w:ascii="Times New Roman" w:hAnsi="Times New Roman" w:eastAsia="宋体" w:cs="Times New Roman"/>
                <w:b w:val="0"/>
                <w:bCs w:val="0"/>
                <w:color w:val="auto"/>
                <w:sz w:val="24"/>
                <w:szCs w:val="24"/>
                <w:highlight w:val="none"/>
                <w:lang w:val="en-US" w:eastAsia="zh-CN"/>
              </w:rPr>
              <w:t>切割</w:t>
            </w:r>
            <w:r>
              <w:rPr>
                <w:rFonts w:hint="default" w:ascii="Times New Roman" w:hAnsi="Times New Roman" w:eastAsia="宋体" w:cs="Times New Roman"/>
                <w:b w:val="0"/>
                <w:bCs w:val="0"/>
                <w:color w:val="auto"/>
                <w:sz w:val="24"/>
                <w:szCs w:val="24"/>
                <w:highlight w:val="none"/>
                <w:lang w:val="en-US" w:eastAsia="zh-CN"/>
              </w:rPr>
              <w:t>过程颗粒物产生量约</w:t>
            </w:r>
            <w:r>
              <w:rPr>
                <w:rFonts w:hint="eastAsia" w:ascii="Times New Roman" w:hAnsi="Times New Roman" w:eastAsia="宋体" w:cs="Times New Roman"/>
                <w:b w:val="0"/>
                <w:bCs w:val="0"/>
                <w:color w:val="auto"/>
                <w:sz w:val="24"/>
                <w:szCs w:val="24"/>
                <w:highlight w:val="none"/>
                <w:lang w:val="en-US" w:eastAsia="zh-CN"/>
              </w:rPr>
              <w:t>0.075</w:t>
            </w:r>
            <w:r>
              <w:rPr>
                <w:rFonts w:hint="default" w:ascii="Times New Roman" w:hAnsi="Times New Roman" w:eastAsia="宋体" w:cs="Times New Roman"/>
                <w:b w:val="0"/>
                <w:bCs w:val="0"/>
                <w:color w:val="auto"/>
                <w:sz w:val="24"/>
                <w:szCs w:val="24"/>
                <w:highlight w:val="none"/>
                <w:lang w:val="en-US" w:eastAsia="zh-CN"/>
              </w:rPr>
              <w:t>t/a。</w:t>
            </w:r>
            <w:r>
              <w:rPr>
                <w:rFonts w:hint="eastAsia" w:ascii="Times New Roman" w:hAnsi="Times New Roman" w:eastAsia="宋体" w:cs="Times New Roman"/>
                <w:b w:val="0"/>
                <w:bCs w:val="0"/>
                <w:color w:val="auto"/>
                <w:sz w:val="24"/>
                <w:szCs w:val="24"/>
                <w:highlight w:val="none"/>
                <w:lang w:val="en-US" w:eastAsia="zh-CN"/>
              </w:rPr>
              <w:t>本工程</w:t>
            </w:r>
            <w:r>
              <w:rPr>
                <w:rFonts w:hint="default" w:ascii="Times New Roman" w:hAnsi="Times New Roman" w:eastAsia="宋体" w:cs="Times New Roman"/>
                <w:b w:val="0"/>
                <w:bCs w:val="0"/>
                <w:color w:val="auto"/>
                <w:sz w:val="24"/>
                <w:szCs w:val="24"/>
                <w:highlight w:val="none"/>
                <w:lang w:val="en-US" w:eastAsia="zh-CN"/>
              </w:rPr>
              <w:t>拟在切割</w:t>
            </w:r>
            <w:r>
              <w:rPr>
                <w:rFonts w:hint="eastAsia" w:ascii="Times New Roman" w:hAnsi="Times New Roman" w:eastAsia="宋体" w:cs="Times New Roman"/>
                <w:b w:val="0"/>
                <w:bCs w:val="0"/>
                <w:color w:val="auto"/>
                <w:sz w:val="24"/>
                <w:szCs w:val="24"/>
                <w:highlight w:val="none"/>
                <w:lang w:val="en-US" w:eastAsia="zh-CN"/>
              </w:rPr>
              <w:t>区</w:t>
            </w:r>
            <w:r>
              <w:rPr>
                <w:rFonts w:hint="default" w:ascii="Times New Roman" w:hAnsi="Times New Roman" w:eastAsia="宋体" w:cs="Times New Roman"/>
                <w:b w:val="0"/>
                <w:bCs w:val="0"/>
                <w:color w:val="auto"/>
                <w:sz w:val="24"/>
                <w:szCs w:val="24"/>
                <w:highlight w:val="none"/>
                <w:lang w:val="en-US" w:eastAsia="zh-CN"/>
              </w:rPr>
              <w:t>设置移动式粉尘净化器，切割产生的粉尘经过移动式粉尘净化器处理后以无组织形式排放到厂房内。移动式粉尘净化器对粉尘</w:t>
            </w:r>
            <w:r>
              <w:rPr>
                <w:rFonts w:hint="eastAsia" w:cs="Times New Roman"/>
                <w:b w:val="0"/>
                <w:bCs w:val="0"/>
                <w:color w:val="auto"/>
                <w:sz w:val="24"/>
                <w:szCs w:val="24"/>
                <w:highlight w:val="none"/>
                <w:lang w:val="en-US" w:eastAsia="zh-CN"/>
              </w:rPr>
              <w:t>的</w:t>
            </w:r>
            <w:r>
              <w:rPr>
                <w:rFonts w:hint="default" w:ascii="Times New Roman" w:hAnsi="Times New Roman" w:eastAsia="宋体" w:cs="Times New Roman"/>
                <w:b w:val="0"/>
                <w:bCs w:val="0"/>
                <w:color w:val="auto"/>
                <w:sz w:val="24"/>
                <w:szCs w:val="24"/>
                <w:highlight w:val="none"/>
                <w:lang w:val="en-US" w:eastAsia="zh-CN"/>
              </w:rPr>
              <w:t>收集效率取60%，去除效率取90%，则</w:t>
            </w:r>
            <w:r>
              <w:rPr>
                <w:rFonts w:hint="eastAsia" w:ascii="Times New Roman" w:hAnsi="Times New Roman" w:eastAsia="宋体" w:cs="Times New Roman"/>
                <w:b w:val="0"/>
                <w:bCs w:val="0"/>
                <w:color w:val="auto"/>
                <w:sz w:val="24"/>
                <w:szCs w:val="24"/>
                <w:highlight w:val="none"/>
                <w:lang w:val="en-US" w:eastAsia="zh-CN"/>
              </w:rPr>
              <w:t>去除的粉尘量为0.0405t/a，切割</w:t>
            </w:r>
            <w:r>
              <w:rPr>
                <w:rFonts w:hint="default" w:ascii="Times New Roman" w:hAnsi="Times New Roman" w:eastAsia="宋体" w:cs="Times New Roman"/>
                <w:b w:val="0"/>
                <w:bCs w:val="0"/>
                <w:color w:val="auto"/>
                <w:sz w:val="24"/>
                <w:szCs w:val="24"/>
                <w:highlight w:val="none"/>
                <w:lang w:val="en-US" w:eastAsia="zh-CN"/>
              </w:rPr>
              <w:t>粉尘无组织排放量为</w:t>
            </w:r>
            <w:r>
              <w:rPr>
                <w:rFonts w:hint="eastAsia" w:ascii="Times New Roman" w:hAnsi="Times New Roman" w:eastAsia="宋体" w:cs="Times New Roman"/>
                <w:b w:val="0"/>
                <w:bCs w:val="0"/>
                <w:color w:val="auto"/>
                <w:sz w:val="24"/>
                <w:szCs w:val="24"/>
                <w:highlight w:val="none"/>
                <w:lang w:val="en-US" w:eastAsia="zh-CN"/>
              </w:rPr>
              <w:t>0.0345</w:t>
            </w:r>
            <w:r>
              <w:rPr>
                <w:rFonts w:hint="default" w:ascii="Times New Roman" w:hAnsi="Times New Roman" w:eastAsia="宋体" w:cs="Times New Roman"/>
                <w:b w:val="0"/>
                <w:bCs w:val="0"/>
                <w:color w:val="auto"/>
                <w:sz w:val="24"/>
                <w:szCs w:val="24"/>
                <w:highlight w:val="none"/>
                <w:lang w:val="en-US" w:eastAsia="zh-CN"/>
              </w:rPr>
              <w:t>t/a。由于该粉尘主要为金属颗粒物，比重大，易沉降在切割工序附近，且有车间墙体阻拦，90%颗粒物</w:t>
            </w:r>
            <w:r>
              <w:rPr>
                <w:rFonts w:hint="eastAsia" w:ascii="Times New Roman" w:hAnsi="Times New Roman" w:eastAsia="宋体" w:cs="Times New Roman"/>
                <w:b w:val="0"/>
                <w:bCs w:val="0"/>
                <w:color w:val="auto"/>
                <w:sz w:val="24"/>
                <w:szCs w:val="24"/>
                <w:highlight w:val="none"/>
                <w:lang w:val="en-US" w:eastAsia="zh-CN"/>
              </w:rPr>
              <w:t>（0.03105t/a）</w:t>
            </w:r>
            <w:r>
              <w:rPr>
                <w:rFonts w:hint="default" w:ascii="Times New Roman" w:hAnsi="Times New Roman" w:eastAsia="宋体" w:cs="Times New Roman"/>
                <w:b w:val="0"/>
                <w:bCs w:val="0"/>
                <w:color w:val="auto"/>
                <w:sz w:val="24"/>
                <w:szCs w:val="24"/>
                <w:highlight w:val="none"/>
                <w:lang w:val="en-US" w:eastAsia="zh-CN"/>
              </w:rPr>
              <w:t>会因自然沉降作用沉落在车间内，通过及时清扫，则飘散至车间外环境的颗粒物则为</w:t>
            </w:r>
            <w:r>
              <w:rPr>
                <w:rFonts w:hint="eastAsia" w:ascii="Times New Roman" w:hAnsi="Times New Roman" w:eastAsia="宋体" w:cs="Times New Roman"/>
                <w:b w:val="0"/>
                <w:bCs w:val="0"/>
                <w:color w:val="auto"/>
                <w:sz w:val="24"/>
                <w:szCs w:val="24"/>
                <w:highlight w:val="none"/>
                <w:lang w:val="en-US" w:eastAsia="zh-CN"/>
              </w:rPr>
              <w:t>0.00345</w:t>
            </w:r>
            <w:r>
              <w:rPr>
                <w:rFonts w:hint="default" w:ascii="Times New Roman" w:hAnsi="Times New Roman" w:eastAsia="宋体" w:cs="Times New Roman"/>
                <w:b w:val="0"/>
                <w:bCs w:val="0"/>
                <w:color w:val="auto"/>
                <w:sz w:val="24"/>
                <w:szCs w:val="24"/>
                <w:highlight w:val="none"/>
                <w:lang w:val="en-US" w:eastAsia="zh-CN"/>
              </w:rPr>
              <w:t>t/a，对外环境不会产生明显影响。</w:t>
            </w:r>
          </w:p>
          <w:p w14:paraId="19D46E24">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（2）风扇风罩</w:t>
            </w:r>
            <w:r>
              <w:rPr>
                <w:rFonts w:hint="default" w:ascii="Times New Roman" w:hAnsi="Times New Roman" w:eastAsia="宋体" w:cs="Times New Roman"/>
                <w:b w:val="0"/>
                <w:bCs w:val="0"/>
                <w:color w:val="auto"/>
                <w:sz w:val="24"/>
                <w:szCs w:val="24"/>
                <w:highlight w:val="none"/>
                <w:lang w:val="en-US" w:eastAsia="zh-CN"/>
              </w:rPr>
              <w:t>焊接烟尘</w:t>
            </w:r>
          </w:p>
          <w:p w14:paraId="608784F3">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焊接过程会产生焊接烟尘，焊接烟尘是由金属及非金属物质在过热条件下产生的经氧化和冷凝而形成的，焊接烟气中的烟尘是一种十分复杂的物质，已在烟尘中发现的元素多达20种以上，其中含量最多的是Fe、Ca、Na等，其次是Si、Al、Mn、Ti、Cu等。主要成分是Fe2O3、SiO2、MnO等，其中含量最多的为Fe2O3，一般占烟尘总量的35.56%，其次是SiO2，其含量占10</w:t>
            </w:r>
            <w:r>
              <w:rPr>
                <w:rFonts w:hint="eastAsia"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20％，MnO占5</w:t>
            </w:r>
            <w:r>
              <w:rPr>
                <w:rFonts w:hint="eastAsia"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20％左右。焊接烟气中有毒有害气体</w:t>
            </w:r>
            <w:r>
              <w:rPr>
                <w:rFonts w:hint="eastAsia" w:cs="Times New Roman"/>
                <w:b w:val="0"/>
                <w:bCs w:val="0"/>
                <w:color w:val="auto"/>
                <w:sz w:val="24"/>
                <w:szCs w:val="24"/>
                <w:highlight w:val="none"/>
                <w:lang w:val="en-US" w:eastAsia="zh-CN"/>
              </w:rPr>
              <w:t>的成分</w:t>
            </w:r>
            <w:r>
              <w:rPr>
                <w:rFonts w:hint="default" w:ascii="Times New Roman" w:hAnsi="Times New Roman" w:eastAsia="宋体" w:cs="Times New Roman"/>
                <w:b w:val="0"/>
                <w:bCs w:val="0"/>
                <w:color w:val="auto"/>
                <w:sz w:val="24"/>
                <w:szCs w:val="24"/>
                <w:highlight w:val="none"/>
                <w:lang w:val="en-US" w:eastAsia="zh-CN"/>
              </w:rPr>
              <w:t>主要为CO、CO2、O3、NOX、CH4等，其中以CO所占的比例最大。由于有毒有害气体产生量不大，且气体</w:t>
            </w:r>
            <w:r>
              <w:rPr>
                <w:rFonts w:hint="eastAsia" w:cs="Times New Roman"/>
                <w:b w:val="0"/>
                <w:bCs w:val="0"/>
                <w:color w:val="auto"/>
                <w:sz w:val="24"/>
                <w:szCs w:val="24"/>
                <w:highlight w:val="none"/>
                <w:lang w:val="en-US" w:eastAsia="zh-CN"/>
              </w:rPr>
              <w:t>成分复杂</w:t>
            </w:r>
            <w:r>
              <w:rPr>
                <w:rFonts w:hint="default" w:ascii="Times New Roman" w:hAnsi="Times New Roman" w:eastAsia="宋体" w:cs="Times New Roman"/>
                <w:b w:val="0"/>
                <w:bCs w:val="0"/>
                <w:color w:val="auto"/>
                <w:sz w:val="24"/>
                <w:szCs w:val="24"/>
                <w:highlight w:val="none"/>
                <w:lang w:val="en-US" w:eastAsia="zh-CN"/>
              </w:rPr>
              <w:t>，较难定量化，本环评仅</w:t>
            </w:r>
            <w:r>
              <w:rPr>
                <w:rFonts w:hint="eastAsia" w:cs="Times New Roman"/>
                <w:b w:val="0"/>
                <w:bCs w:val="0"/>
                <w:color w:val="auto"/>
                <w:sz w:val="24"/>
                <w:szCs w:val="24"/>
                <w:highlight w:val="none"/>
                <w:lang w:val="en-US" w:eastAsia="zh-CN"/>
              </w:rPr>
              <w:t>做</w:t>
            </w:r>
            <w:r>
              <w:rPr>
                <w:rFonts w:hint="default" w:ascii="Times New Roman" w:hAnsi="Times New Roman" w:eastAsia="宋体" w:cs="Times New Roman"/>
                <w:b w:val="0"/>
                <w:bCs w:val="0"/>
                <w:color w:val="auto"/>
                <w:sz w:val="24"/>
                <w:szCs w:val="24"/>
                <w:highlight w:val="none"/>
                <w:lang w:val="en-US" w:eastAsia="zh-CN"/>
              </w:rPr>
              <w:t>定性分析，而对焊接烟尘则作定量化分析。本工程焊接方式为气体保护焊。本项目年耗</w:t>
            </w:r>
            <w:r>
              <w:rPr>
                <w:rFonts w:hint="eastAsia" w:ascii="Times New Roman" w:hAnsi="Times New Roman" w:eastAsia="宋体" w:cs="Times New Roman"/>
                <w:b w:val="0"/>
                <w:bCs w:val="0"/>
                <w:color w:val="auto"/>
                <w:sz w:val="24"/>
                <w:szCs w:val="24"/>
                <w:highlight w:val="none"/>
                <w:lang w:val="en-US" w:eastAsia="zh-CN"/>
              </w:rPr>
              <w:t>电</w:t>
            </w:r>
            <w:r>
              <w:rPr>
                <w:rFonts w:hint="default" w:ascii="Times New Roman" w:hAnsi="Times New Roman" w:eastAsia="宋体" w:cs="Times New Roman"/>
                <w:b w:val="0"/>
                <w:bCs w:val="0"/>
                <w:color w:val="auto"/>
                <w:sz w:val="24"/>
                <w:szCs w:val="24"/>
                <w:highlight w:val="none"/>
                <w:lang w:val="en-US" w:eastAsia="zh-CN"/>
              </w:rPr>
              <w:t>焊条</w:t>
            </w:r>
            <w:r>
              <w:rPr>
                <w:rFonts w:hint="eastAsia" w:ascii="Times New Roman" w:hAnsi="Times New Roman" w:eastAsia="宋体" w:cs="Times New Roman"/>
                <w:b w:val="0"/>
                <w:bCs w:val="0"/>
                <w:color w:val="auto"/>
                <w:sz w:val="24"/>
                <w:szCs w:val="24"/>
                <w:highlight w:val="none"/>
                <w:lang w:val="en-US" w:eastAsia="zh-CN"/>
              </w:rPr>
              <w:t>1.5</w:t>
            </w:r>
            <w:r>
              <w:rPr>
                <w:rFonts w:hint="default" w:ascii="Times New Roman" w:hAnsi="Times New Roman" w:eastAsia="宋体" w:cs="Times New Roman"/>
                <w:b w:val="0"/>
                <w:bCs w:val="0"/>
                <w:color w:val="auto"/>
                <w:sz w:val="24"/>
                <w:szCs w:val="24"/>
                <w:highlight w:val="none"/>
                <w:lang w:val="en-US" w:eastAsia="zh-CN"/>
              </w:rPr>
              <w:t>t</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根据《排放源统计调查产排污核算方法和系数手册》33-37/431-434 机械行业系数手册，09焊接，</w:t>
            </w:r>
            <w:r>
              <w:rPr>
                <w:rFonts w:hint="eastAsia" w:ascii="Times New Roman" w:hAnsi="Times New Roman" w:eastAsia="宋体" w:cs="Times New Roman"/>
                <w:b w:val="0"/>
                <w:bCs w:val="0"/>
                <w:color w:val="auto"/>
                <w:sz w:val="24"/>
                <w:szCs w:val="24"/>
                <w:highlight w:val="none"/>
                <w:lang w:val="en-US" w:eastAsia="zh-CN"/>
              </w:rPr>
              <w:t>二氧化碳保护焊</w:t>
            </w:r>
            <w:r>
              <w:rPr>
                <w:rFonts w:hint="default" w:ascii="Times New Roman" w:hAnsi="Times New Roman" w:eastAsia="宋体" w:cs="Times New Roman"/>
                <w:b w:val="0"/>
                <w:bCs w:val="0"/>
                <w:color w:val="auto"/>
                <w:sz w:val="24"/>
                <w:szCs w:val="24"/>
                <w:highlight w:val="none"/>
                <w:lang w:val="en-US" w:eastAsia="zh-CN"/>
              </w:rPr>
              <w:t>颗粒物产生源强为9.19kg/t▪原料，则本项目焊接烟尘的产生量</w:t>
            </w:r>
            <w:r>
              <w:rPr>
                <w:rFonts w:hint="eastAsia" w:ascii="Times New Roman" w:hAnsi="Times New Roman" w:eastAsia="宋体" w:cs="Times New Roman"/>
                <w:b w:val="0"/>
                <w:bCs w:val="0"/>
                <w:color w:val="auto"/>
                <w:sz w:val="24"/>
                <w:szCs w:val="24"/>
                <w:highlight w:val="none"/>
                <w:lang w:val="en-US" w:eastAsia="zh-CN"/>
              </w:rPr>
              <w:t>为0.0138</w:t>
            </w:r>
            <w:r>
              <w:rPr>
                <w:rFonts w:hint="default" w:ascii="Times New Roman" w:hAnsi="Times New Roman" w:eastAsia="宋体" w:cs="Times New Roman"/>
                <w:b w:val="0"/>
                <w:bCs w:val="0"/>
                <w:color w:val="auto"/>
                <w:sz w:val="24"/>
                <w:szCs w:val="24"/>
                <w:highlight w:val="none"/>
                <w:lang w:val="en-US" w:eastAsia="zh-CN"/>
              </w:rPr>
              <w:t>t/a。</w:t>
            </w:r>
            <w:r>
              <w:rPr>
                <w:rFonts w:hint="eastAsia" w:ascii="Times New Roman" w:hAnsi="Times New Roman" w:eastAsia="宋体" w:cs="Times New Roman"/>
                <w:b w:val="0"/>
                <w:bCs w:val="0"/>
                <w:color w:val="auto"/>
                <w:sz w:val="24"/>
                <w:szCs w:val="24"/>
                <w:highlight w:val="none"/>
                <w:lang w:val="en-US" w:eastAsia="zh-CN"/>
              </w:rPr>
              <w:t>本工程焊机4台，</w:t>
            </w:r>
            <w:r>
              <w:rPr>
                <w:rFonts w:hint="default" w:ascii="Times New Roman" w:hAnsi="Times New Roman" w:eastAsia="宋体" w:cs="Times New Roman"/>
                <w:b w:val="0"/>
                <w:bCs w:val="0"/>
                <w:color w:val="auto"/>
                <w:sz w:val="24"/>
                <w:szCs w:val="24"/>
                <w:highlight w:val="none"/>
                <w:lang w:val="en-US" w:eastAsia="zh-CN"/>
              </w:rPr>
              <w:t>拟在</w:t>
            </w:r>
            <w:r>
              <w:rPr>
                <w:rFonts w:hint="eastAsia" w:ascii="Times New Roman" w:hAnsi="Times New Roman" w:eastAsia="宋体" w:cs="Times New Roman"/>
                <w:b w:val="0"/>
                <w:bCs w:val="0"/>
                <w:color w:val="auto"/>
                <w:sz w:val="24"/>
                <w:szCs w:val="24"/>
                <w:highlight w:val="none"/>
                <w:lang w:val="en-US" w:eastAsia="zh-CN"/>
              </w:rPr>
              <w:t>焊接区</w:t>
            </w:r>
            <w:r>
              <w:rPr>
                <w:rFonts w:hint="default" w:ascii="Times New Roman" w:hAnsi="Times New Roman" w:eastAsia="宋体" w:cs="Times New Roman"/>
                <w:b w:val="0"/>
                <w:bCs w:val="0"/>
                <w:color w:val="auto"/>
                <w:sz w:val="24"/>
                <w:szCs w:val="24"/>
                <w:highlight w:val="none"/>
                <w:lang w:val="en-US" w:eastAsia="zh-CN"/>
              </w:rPr>
              <w:t>设置</w:t>
            </w:r>
            <w:r>
              <w:rPr>
                <w:rFonts w:hint="eastAsia" w:ascii="Times New Roman" w:hAnsi="Times New Roman" w:eastAsia="宋体" w:cs="Times New Roman"/>
                <w:b w:val="0"/>
                <w:bCs w:val="0"/>
                <w:color w:val="auto"/>
                <w:sz w:val="24"/>
                <w:szCs w:val="24"/>
                <w:highlight w:val="none"/>
                <w:lang w:val="en-US" w:eastAsia="zh-CN"/>
              </w:rPr>
              <w:t>移动式焊烟净化器</w:t>
            </w:r>
            <w:r>
              <w:rPr>
                <w:rFonts w:hint="default" w:ascii="Times New Roman" w:hAnsi="Times New Roman" w:eastAsia="宋体" w:cs="Times New Roman"/>
                <w:b w:val="0"/>
                <w:bCs w:val="0"/>
                <w:color w:val="auto"/>
                <w:sz w:val="24"/>
                <w:szCs w:val="24"/>
                <w:highlight w:val="none"/>
                <w:lang w:val="en-US" w:eastAsia="zh-CN"/>
              </w:rPr>
              <w:t>，移动式</w:t>
            </w:r>
            <w:r>
              <w:rPr>
                <w:rFonts w:hint="eastAsia" w:ascii="Times New Roman" w:hAnsi="Times New Roman" w:eastAsia="宋体" w:cs="Times New Roman"/>
                <w:b w:val="0"/>
                <w:bCs w:val="0"/>
                <w:color w:val="auto"/>
                <w:sz w:val="24"/>
                <w:szCs w:val="24"/>
                <w:highlight w:val="none"/>
                <w:lang w:val="en-US" w:eastAsia="zh-CN"/>
              </w:rPr>
              <w:t>焊烟</w:t>
            </w:r>
            <w:r>
              <w:rPr>
                <w:rFonts w:hint="default" w:ascii="Times New Roman" w:hAnsi="Times New Roman" w:eastAsia="宋体" w:cs="Times New Roman"/>
                <w:b w:val="0"/>
                <w:bCs w:val="0"/>
                <w:color w:val="auto"/>
                <w:sz w:val="24"/>
                <w:szCs w:val="24"/>
                <w:highlight w:val="none"/>
                <w:lang w:val="en-US" w:eastAsia="zh-CN"/>
              </w:rPr>
              <w:t>净化器对焊接</w:t>
            </w:r>
            <w:r>
              <w:rPr>
                <w:rFonts w:hint="eastAsia" w:ascii="Times New Roman" w:hAnsi="Times New Roman" w:eastAsia="宋体" w:cs="Times New Roman"/>
                <w:b w:val="0"/>
                <w:bCs w:val="0"/>
                <w:color w:val="auto"/>
                <w:sz w:val="24"/>
                <w:szCs w:val="24"/>
                <w:highlight w:val="none"/>
                <w:lang w:val="en-US" w:eastAsia="zh-CN"/>
              </w:rPr>
              <w:t>烟尘</w:t>
            </w:r>
            <w:r>
              <w:rPr>
                <w:rFonts w:hint="eastAsia" w:cs="Times New Roman"/>
                <w:b w:val="0"/>
                <w:bCs w:val="0"/>
                <w:color w:val="auto"/>
                <w:sz w:val="24"/>
                <w:szCs w:val="24"/>
                <w:highlight w:val="none"/>
                <w:lang w:val="en-US" w:eastAsia="zh-CN"/>
              </w:rPr>
              <w:t>的</w:t>
            </w:r>
            <w:r>
              <w:rPr>
                <w:rFonts w:hint="default" w:ascii="Times New Roman" w:hAnsi="Times New Roman" w:eastAsia="宋体" w:cs="Times New Roman"/>
                <w:b w:val="0"/>
                <w:bCs w:val="0"/>
                <w:color w:val="auto"/>
                <w:sz w:val="24"/>
                <w:szCs w:val="24"/>
                <w:highlight w:val="none"/>
                <w:lang w:val="en-US" w:eastAsia="zh-CN"/>
              </w:rPr>
              <w:t>收集效率取60%，去除效率取90%，则</w:t>
            </w:r>
            <w:r>
              <w:rPr>
                <w:rFonts w:hint="eastAsia" w:ascii="Times New Roman" w:hAnsi="Times New Roman" w:eastAsia="宋体" w:cs="Times New Roman"/>
                <w:b w:val="0"/>
                <w:bCs w:val="0"/>
                <w:color w:val="auto"/>
                <w:sz w:val="24"/>
                <w:szCs w:val="24"/>
                <w:highlight w:val="none"/>
                <w:lang w:val="en-US" w:eastAsia="zh-CN"/>
              </w:rPr>
              <w:t>去除的焊接烟尘粉尘量为0.0074t/a，焊接烟尘</w:t>
            </w:r>
            <w:r>
              <w:rPr>
                <w:rFonts w:hint="default" w:ascii="Times New Roman" w:hAnsi="Times New Roman" w:eastAsia="宋体" w:cs="Times New Roman"/>
                <w:b w:val="0"/>
                <w:bCs w:val="0"/>
                <w:color w:val="auto"/>
                <w:sz w:val="24"/>
                <w:szCs w:val="24"/>
                <w:highlight w:val="none"/>
                <w:lang w:val="en-US" w:eastAsia="zh-CN"/>
              </w:rPr>
              <w:t>无组织排放量为</w:t>
            </w:r>
            <w:r>
              <w:rPr>
                <w:rFonts w:hint="eastAsia" w:ascii="Times New Roman" w:hAnsi="Times New Roman" w:eastAsia="宋体" w:cs="Times New Roman"/>
                <w:b w:val="0"/>
                <w:bCs w:val="0"/>
                <w:color w:val="auto"/>
                <w:sz w:val="24"/>
                <w:szCs w:val="24"/>
                <w:highlight w:val="none"/>
                <w:lang w:val="en-US" w:eastAsia="zh-CN"/>
              </w:rPr>
              <w:t>0.0063</w:t>
            </w:r>
            <w:r>
              <w:rPr>
                <w:rFonts w:hint="default" w:ascii="Times New Roman" w:hAnsi="Times New Roman" w:eastAsia="宋体" w:cs="Times New Roman"/>
                <w:b w:val="0"/>
                <w:bCs w:val="0"/>
                <w:color w:val="auto"/>
                <w:sz w:val="24"/>
                <w:szCs w:val="24"/>
                <w:highlight w:val="none"/>
                <w:lang w:val="en-US" w:eastAsia="zh-CN"/>
              </w:rPr>
              <w:t>t/a，稀释扩散后对周边环境敏感点影响较小。为了进一步降低对工人健康和环境的影响，本环评要求项目在投入</w:t>
            </w:r>
            <w:r>
              <w:rPr>
                <w:rFonts w:hint="eastAsia" w:cs="Times New Roman"/>
                <w:b w:val="0"/>
                <w:bCs w:val="0"/>
                <w:color w:val="auto"/>
                <w:sz w:val="24"/>
                <w:szCs w:val="24"/>
                <w:highlight w:val="none"/>
                <w:lang w:val="en-US" w:eastAsia="zh-CN"/>
              </w:rPr>
              <w:t>运营</w:t>
            </w:r>
            <w:r>
              <w:rPr>
                <w:rFonts w:hint="default" w:ascii="Times New Roman" w:hAnsi="Times New Roman" w:eastAsia="宋体" w:cs="Times New Roman"/>
                <w:b w:val="0"/>
                <w:bCs w:val="0"/>
                <w:color w:val="auto"/>
                <w:sz w:val="24"/>
                <w:szCs w:val="24"/>
                <w:highlight w:val="none"/>
                <w:lang w:val="en-US" w:eastAsia="zh-CN"/>
              </w:rPr>
              <w:t>后应加强车间的通风。</w:t>
            </w:r>
          </w:p>
          <w:p w14:paraId="763B3C3C">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w:t>
            </w:r>
            <w:r>
              <w:rPr>
                <w:rFonts w:hint="eastAsia" w:ascii="Times New Roman" w:hAnsi="Times New Roman" w:eastAsia="宋体" w:cs="Times New Roman"/>
                <w:b w:val="0"/>
                <w:bCs w:val="0"/>
                <w:color w:val="auto"/>
                <w:sz w:val="24"/>
                <w:szCs w:val="24"/>
                <w:highlight w:val="none"/>
                <w:lang w:val="en-US" w:eastAsia="zh-CN"/>
              </w:rPr>
              <w:t>3</w:t>
            </w:r>
            <w:r>
              <w:rPr>
                <w:rFonts w:hint="default" w:ascii="Times New Roman" w:hAnsi="Times New Roman" w:eastAsia="宋体" w:cs="Times New Roman"/>
                <w:b w:val="0"/>
                <w:bCs w:val="0"/>
                <w:color w:val="auto"/>
                <w:sz w:val="24"/>
                <w:szCs w:val="24"/>
                <w:highlight w:val="none"/>
                <w:lang w:val="en-US" w:eastAsia="zh-CN"/>
              </w:rPr>
              <w:t>）</w:t>
            </w:r>
            <w:r>
              <w:rPr>
                <w:rFonts w:hint="eastAsia" w:ascii="Times New Roman" w:hAnsi="Times New Roman" w:eastAsia="宋体" w:cs="Times New Roman"/>
                <w:b w:val="0"/>
                <w:bCs w:val="0"/>
                <w:color w:val="auto"/>
                <w:sz w:val="24"/>
                <w:szCs w:val="24"/>
                <w:highlight w:val="none"/>
                <w:lang w:val="en-US" w:eastAsia="zh-CN"/>
              </w:rPr>
              <w:t>风扇风罩</w:t>
            </w:r>
            <w:r>
              <w:rPr>
                <w:rFonts w:hint="default" w:ascii="Times New Roman" w:hAnsi="Times New Roman" w:eastAsia="宋体" w:cs="Times New Roman"/>
                <w:b w:val="0"/>
                <w:bCs w:val="0"/>
                <w:color w:val="auto"/>
                <w:sz w:val="24"/>
                <w:szCs w:val="24"/>
                <w:highlight w:val="none"/>
                <w:lang w:val="en-US" w:eastAsia="zh-CN"/>
              </w:rPr>
              <w:t>打磨粉尘</w:t>
            </w:r>
          </w:p>
          <w:p w14:paraId="19472ECE">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本工程主要利用气动打磨机对工件进行局部打磨，打磨工序主要为去毛刺、去焊渣、除锈、对钢材锐角磨钝等，打磨过程中会产生金属粉尘。</w:t>
            </w:r>
            <w:r>
              <w:rPr>
                <w:rFonts w:hint="default" w:ascii="Times New Roman" w:hAnsi="Times New Roman" w:eastAsia="宋体" w:cs="Times New Roman"/>
                <w:b w:val="0"/>
                <w:bCs w:val="0"/>
                <w:color w:val="auto"/>
                <w:sz w:val="24"/>
                <w:szCs w:val="24"/>
                <w:highlight w:val="none"/>
                <w:lang w:val="en-US" w:eastAsia="zh-CN"/>
              </w:rPr>
              <w:t>根据《排放源统计调查产排污核算方法和系数手册》33-37/431-434 机械行业系数手册，06预处理，</w:t>
            </w:r>
            <w:r>
              <w:rPr>
                <w:rFonts w:hint="eastAsia" w:ascii="Times New Roman" w:hAnsi="Times New Roman" w:eastAsia="宋体" w:cs="Times New Roman"/>
                <w:b w:val="0"/>
                <w:bCs w:val="0"/>
                <w:color w:val="auto"/>
                <w:sz w:val="24"/>
                <w:szCs w:val="24"/>
                <w:highlight w:val="none"/>
                <w:lang w:val="en-US" w:eastAsia="zh-CN"/>
              </w:rPr>
              <w:t>打磨等工序</w:t>
            </w:r>
            <w:r>
              <w:rPr>
                <w:rFonts w:hint="default" w:ascii="Times New Roman" w:hAnsi="Times New Roman" w:eastAsia="宋体" w:cs="Times New Roman"/>
                <w:b w:val="0"/>
                <w:bCs w:val="0"/>
                <w:color w:val="auto"/>
                <w:sz w:val="24"/>
                <w:szCs w:val="24"/>
                <w:highlight w:val="none"/>
                <w:lang w:val="en-US" w:eastAsia="zh-CN"/>
              </w:rPr>
              <w:t>颗粒物产生源强为2.19kg/t▪原料</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本项目加工的</w:t>
            </w:r>
            <w:r>
              <w:rPr>
                <w:rFonts w:hint="eastAsia" w:ascii="Times New Roman" w:hAnsi="Times New Roman" w:eastAsia="宋体" w:cs="Times New Roman"/>
                <w:b w:val="0"/>
                <w:bCs w:val="0"/>
                <w:color w:val="auto"/>
                <w:sz w:val="24"/>
                <w:szCs w:val="24"/>
                <w:highlight w:val="none"/>
                <w:lang w:val="en-US" w:eastAsia="zh-CN"/>
              </w:rPr>
              <w:t>钢材</w:t>
            </w:r>
            <w:r>
              <w:rPr>
                <w:rFonts w:hint="default" w:ascii="Times New Roman" w:hAnsi="Times New Roman" w:eastAsia="宋体" w:cs="Times New Roman"/>
                <w:b w:val="0"/>
                <w:bCs w:val="0"/>
                <w:color w:val="auto"/>
                <w:sz w:val="24"/>
                <w:szCs w:val="24"/>
                <w:highlight w:val="none"/>
                <w:lang w:val="en-US" w:eastAsia="zh-CN"/>
              </w:rPr>
              <w:t>约</w:t>
            </w:r>
            <w:r>
              <w:rPr>
                <w:rFonts w:hint="eastAsia" w:ascii="Times New Roman" w:hAnsi="Times New Roman" w:eastAsia="宋体" w:cs="Times New Roman"/>
                <w:b w:val="0"/>
                <w:bCs w:val="0"/>
                <w:color w:val="auto"/>
                <w:sz w:val="24"/>
                <w:szCs w:val="24"/>
                <w:highlight w:val="none"/>
                <w:lang w:val="en-US" w:eastAsia="zh-CN"/>
              </w:rPr>
              <w:t>50</w:t>
            </w:r>
            <w:r>
              <w:rPr>
                <w:rFonts w:hint="default" w:ascii="Times New Roman" w:hAnsi="Times New Roman" w:eastAsia="宋体" w:cs="Times New Roman"/>
                <w:b w:val="0"/>
                <w:bCs w:val="0"/>
                <w:color w:val="auto"/>
                <w:sz w:val="24"/>
                <w:szCs w:val="24"/>
                <w:highlight w:val="none"/>
                <w:lang w:val="en-US" w:eastAsia="zh-CN"/>
              </w:rPr>
              <w:t>t/a，</w:t>
            </w:r>
            <w:r>
              <w:rPr>
                <w:rFonts w:hint="eastAsia" w:ascii="Times New Roman" w:hAnsi="Times New Roman" w:eastAsia="宋体" w:cs="Times New Roman"/>
                <w:b w:val="0"/>
                <w:bCs w:val="0"/>
                <w:color w:val="auto"/>
                <w:sz w:val="24"/>
                <w:szCs w:val="24"/>
                <w:highlight w:val="none"/>
                <w:lang w:val="en-US" w:eastAsia="zh-CN"/>
              </w:rPr>
              <w:t>其中约10%工件需要打磨，则粉尘产生量为0.011t/a，项目</w:t>
            </w:r>
            <w:r>
              <w:rPr>
                <w:rFonts w:hint="default" w:ascii="Times New Roman" w:hAnsi="Times New Roman" w:eastAsia="宋体" w:cs="Times New Roman"/>
                <w:b w:val="0"/>
                <w:bCs w:val="0"/>
                <w:color w:val="auto"/>
                <w:sz w:val="24"/>
                <w:szCs w:val="24"/>
                <w:highlight w:val="none"/>
                <w:lang w:val="en-US" w:eastAsia="zh-CN"/>
              </w:rPr>
              <w:t>拟在</w:t>
            </w:r>
            <w:r>
              <w:rPr>
                <w:rFonts w:hint="eastAsia" w:ascii="Times New Roman" w:hAnsi="Times New Roman" w:eastAsia="宋体" w:cs="Times New Roman"/>
                <w:b w:val="0"/>
                <w:bCs w:val="0"/>
                <w:color w:val="auto"/>
                <w:sz w:val="24"/>
                <w:szCs w:val="24"/>
                <w:highlight w:val="none"/>
                <w:lang w:val="en-US" w:eastAsia="zh-CN"/>
              </w:rPr>
              <w:t>风扇风罩打磨区</w:t>
            </w:r>
            <w:r>
              <w:rPr>
                <w:rFonts w:hint="default" w:ascii="Times New Roman" w:hAnsi="Times New Roman" w:eastAsia="宋体" w:cs="Times New Roman"/>
                <w:b w:val="0"/>
                <w:bCs w:val="0"/>
                <w:color w:val="auto"/>
                <w:sz w:val="24"/>
                <w:szCs w:val="24"/>
                <w:highlight w:val="none"/>
                <w:lang w:val="en-US" w:eastAsia="zh-CN"/>
              </w:rPr>
              <w:t>设置</w:t>
            </w:r>
            <w:r>
              <w:rPr>
                <w:rFonts w:hint="eastAsia" w:ascii="Times New Roman" w:hAnsi="Times New Roman" w:eastAsia="宋体" w:cs="Times New Roman"/>
                <w:b w:val="0"/>
                <w:bCs w:val="0"/>
                <w:color w:val="auto"/>
                <w:sz w:val="24"/>
                <w:szCs w:val="24"/>
                <w:highlight w:val="none"/>
                <w:lang w:val="en-US" w:eastAsia="zh-CN"/>
              </w:rPr>
              <w:t>移动式焊烟净化器，</w:t>
            </w:r>
            <w:r>
              <w:rPr>
                <w:rFonts w:hint="default" w:ascii="Times New Roman" w:hAnsi="Times New Roman" w:eastAsia="宋体" w:cs="Times New Roman"/>
                <w:b w:val="0"/>
                <w:bCs w:val="0"/>
                <w:color w:val="auto"/>
                <w:sz w:val="24"/>
                <w:szCs w:val="24"/>
                <w:highlight w:val="none"/>
                <w:lang w:val="en-US" w:eastAsia="zh-CN"/>
              </w:rPr>
              <w:t>产生的粉尘经过移动式粉尘净化器处理后以无组织形式排放到厂房内。移动式粉尘净化器对粉尘</w:t>
            </w:r>
            <w:r>
              <w:rPr>
                <w:rFonts w:hint="eastAsia" w:cs="Times New Roman"/>
                <w:b w:val="0"/>
                <w:bCs w:val="0"/>
                <w:color w:val="auto"/>
                <w:sz w:val="24"/>
                <w:szCs w:val="24"/>
                <w:highlight w:val="none"/>
                <w:lang w:val="en-US" w:eastAsia="zh-CN"/>
              </w:rPr>
              <w:t>的</w:t>
            </w:r>
            <w:r>
              <w:rPr>
                <w:rFonts w:hint="default" w:ascii="Times New Roman" w:hAnsi="Times New Roman" w:eastAsia="宋体" w:cs="Times New Roman"/>
                <w:b w:val="0"/>
                <w:bCs w:val="0"/>
                <w:color w:val="auto"/>
                <w:sz w:val="24"/>
                <w:szCs w:val="24"/>
                <w:highlight w:val="none"/>
                <w:lang w:val="en-US" w:eastAsia="zh-CN"/>
              </w:rPr>
              <w:t>收集效率取60%，去除效率取90%，则</w:t>
            </w:r>
            <w:r>
              <w:rPr>
                <w:rFonts w:hint="eastAsia" w:ascii="Times New Roman" w:hAnsi="Times New Roman" w:eastAsia="宋体" w:cs="Times New Roman"/>
                <w:b w:val="0"/>
                <w:bCs w:val="0"/>
                <w:color w:val="auto"/>
                <w:sz w:val="24"/>
                <w:szCs w:val="24"/>
                <w:highlight w:val="none"/>
                <w:lang w:val="en-US" w:eastAsia="zh-CN"/>
              </w:rPr>
              <w:t>去除的粉尘量为0.00591t/a，</w:t>
            </w:r>
            <w:r>
              <w:rPr>
                <w:rFonts w:hint="default" w:ascii="Times New Roman" w:hAnsi="Times New Roman" w:eastAsia="宋体" w:cs="Times New Roman"/>
                <w:b w:val="0"/>
                <w:bCs w:val="0"/>
                <w:color w:val="auto"/>
                <w:sz w:val="24"/>
                <w:szCs w:val="24"/>
                <w:highlight w:val="none"/>
                <w:lang w:val="en-US" w:eastAsia="zh-CN"/>
              </w:rPr>
              <w:t>粉尘无组织排放量为</w:t>
            </w:r>
            <w:r>
              <w:rPr>
                <w:rFonts w:hint="eastAsia" w:ascii="Times New Roman" w:hAnsi="Times New Roman" w:eastAsia="宋体" w:cs="Times New Roman"/>
                <w:b w:val="0"/>
                <w:bCs w:val="0"/>
                <w:color w:val="auto"/>
                <w:sz w:val="24"/>
                <w:szCs w:val="24"/>
                <w:highlight w:val="none"/>
                <w:lang w:val="en-US" w:eastAsia="zh-CN"/>
              </w:rPr>
              <w:t>0.00504</w:t>
            </w:r>
            <w:r>
              <w:rPr>
                <w:rFonts w:hint="default" w:ascii="Times New Roman" w:hAnsi="Times New Roman" w:eastAsia="宋体" w:cs="Times New Roman"/>
                <w:b w:val="0"/>
                <w:bCs w:val="0"/>
                <w:color w:val="auto"/>
                <w:sz w:val="24"/>
                <w:szCs w:val="24"/>
                <w:highlight w:val="none"/>
                <w:lang w:val="en-US" w:eastAsia="zh-CN"/>
              </w:rPr>
              <w:t>t/a。由于该粉尘主要为金属颗粒物，比重大，易沉降，且有车间墙体阻拦，90%颗粒物</w:t>
            </w:r>
            <w:r>
              <w:rPr>
                <w:rFonts w:hint="eastAsia" w:ascii="Times New Roman" w:hAnsi="Times New Roman" w:eastAsia="宋体" w:cs="Times New Roman"/>
                <w:b w:val="0"/>
                <w:bCs w:val="0"/>
                <w:color w:val="auto"/>
                <w:sz w:val="24"/>
                <w:szCs w:val="24"/>
                <w:highlight w:val="none"/>
                <w:lang w:val="en-US" w:eastAsia="zh-CN"/>
              </w:rPr>
              <w:t>（0.00453t/a）</w:t>
            </w:r>
            <w:r>
              <w:rPr>
                <w:rFonts w:hint="default" w:ascii="Times New Roman" w:hAnsi="Times New Roman" w:eastAsia="宋体" w:cs="Times New Roman"/>
                <w:b w:val="0"/>
                <w:bCs w:val="0"/>
                <w:color w:val="auto"/>
                <w:sz w:val="24"/>
                <w:szCs w:val="24"/>
                <w:highlight w:val="none"/>
                <w:lang w:val="en-US" w:eastAsia="zh-CN"/>
              </w:rPr>
              <w:t>会因自然沉降作用沉落在车间内，通过及时清扫，则飘散至车间外环境的颗粒物则为</w:t>
            </w:r>
            <w:r>
              <w:rPr>
                <w:rFonts w:hint="eastAsia" w:ascii="Times New Roman" w:hAnsi="Times New Roman" w:eastAsia="宋体" w:cs="Times New Roman"/>
                <w:b w:val="0"/>
                <w:bCs w:val="0"/>
                <w:color w:val="auto"/>
                <w:sz w:val="24"/>
                <w:szCs w:val="24"/>
                <w:highlight w:val="none"/>
                <w:lang w:val="en-US" w:eastAsia="zh-CN"/>
              </w:rPr>
              <w:t>0.00045</w:t>
            </w:r>
            <w:r>
              <w:rPr>
                <w:rFonts w:hint="default" w:ascii="Times New Roman" w:hAnsi="Times New Roman" w:eastAsia="宋体" w:cs="Times New Roman"/>
                <w:b w:val="0"/>
                <w:bCs w:val="0"/>
                <w:color w:val="auto"/>
                <w:sz w:val="24"/>
                <w:szCs w:val="24"/>
                <w:highlight w:val="none"/>
                <w:lang w:val="en-US" w:eastAsia="zh-CN"/>
              </w:rPr>
              <w:t>t/a，对外环境不会产生明显影响</w:t>
            </w:r>
            <w:r>
              <w:rPr>
                <w:rFonts w:hint="eastAsia" w:ascii="Times New Roman" w:hAnsi="Times New Roman" w:eastAsia="宋体" w:cs="Times New Roman"/>
                <w:b w:val="0"/>
                <w:bCs w:val="0"/>
                <w:color w:val="auto"/>
                <w:sz w:val="24"/>
                <w:szCs w:val="24"/>
                <w:highlight w:val="none"/>
                <w:lang w:val="en-US" w:eastAsia="zh-CN"/>
              </w:rPr>
              <w:t>属于无组织排放，为了进一步降低对工人健康和环境的影响，本环评要求项目在投入</w:t>
            </w:r>
            <w:r>
              <w:rPr>
                <w:rFonts w:hint="eastAsia" w:cs="Times New Roman"/>
                <w:b w:val="0"/>
                <w:bCs w:val="0"/>
                <w:color w:val="auto"/>
                <w:sz w:val="24"/>
                <w:szCs w:val="24"/>
                <w:highlight w:val="none"/>
                <w:lang w:val="en-US" w:eastAsia="zh-CN"/>
              </w:rPr>
              <w:t>运营</w:t>
            </w:r>
            <w:r>
              <w:rPr>
                <w:rFonts w:hint="eastAsia" w:ascii="Times New Roman" w:hAnsi="Times New Roman" w:eastAsia="宋体" w:cs="Times New Roman"/>
                <w:b w:val="0"/>
                <w:bCs w:val="0"/>
                <w:color w:val="auto"/>
                <w:sz w:val="24"/>
                <w:szCs w:val="24"/>
                <w:highlight w:val="none"/>
                <w:lang w:val="en-US" w:eastAsia="zh-CN"/>
              </w:rPr>
              <w:t>后应加强车间的通风。</w:t>
            </w:r>
          </w:p>
          <w:p w14:paraId="68AC0B0A">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w:t>
            </w:r>
            <w:r>
              <w:rPr>
                <w:rFonts w:hint="eastAsia" w:ascii="Times New Roman" w:hAnsi="Times New Roman" w:eastAsia="宋体" w:cs="Times New Roman"/>
                <w:b w:val="0"/>
                <w:bCs w:val="0"/>
                <w:color w:val="auto"/>
                <w:sz w:val="24"/>
                <w:szCs w:val="24"/>
                <w:highlight w:val="none"/>
                <w:lang w:val="en-US" w:eastAsia="zh-CN"/>
              </w:rPr>
              <w:t>4</w:t>
            </w:r>
            <w:r>
              <w:rPr>
                <w:rFonts w:hint="default" w:ascii="Times New Roman" w:hAnsi="Times New Roman" w:eastAsia="宋体" w:cs="Times New Roman"/>
                <w:b w:val="0"/>
                <w:bCs w:val="0"/>
                <w:color w:val="auto"/>
                <w:sz w:val="24"/>
                <w:szCs w:val="24"/>
                <w:highlight w:val="none"/>
                <w:lang w:val="en-US" w:eastAsia="zh-CN"/>
              </w:rPr>
              <w:t>）</w:t>
            </w:r>
            <w:r>
              <w:rPr>
                <w:rFonts w:hint="eastAsia" w:cs="Times New Roman"/>
                <w:b w:val="0"/>
                <w:bCs w:val="0"/>
                <w:color w:val="auto"/>
                <w:sz w:val="24"/>
                <w:szCs w:val="24"/>
                <w:highlight w:val="none"/>
                <w:lang w:val="en-US" w:eastAsia="zh-CN"/>
              </w:rPr>
              <w:t>高铁连接板</w:t>
            </w:r>
            <w:r>
              <w:rPr>
                <w:rFonts w:hint="eastAsia" w:ascii="Times New Roman" w:hAnsi="Times New Roman" w:eastAsia="宋体" w:cs="Times New Roman"/>
                <w:b w:val="0"/>
                <w:bCs w:val="0"/>
                <w:color w:val="auto"/>
                <w:sz w:val="24"/>
                <w:szCs w:val="24"/>
                <w:highlight w:val="none"/>
                <w:lang w:val="en-US" w:eastAsia="zh-CN"/>
              </w:rPr>
              <w:t>打磨粉尘</w:t>
            </w:r>
          </w:p>
          <w:p w14:paraId="18D719CA">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为了</w:t>
            </w:r>
            <w:r>
              <w:rPr>
                <w:rFonts w:hint="eastAsia" w:ascii="Times New Roman" w:hAnsi="Times New Roman" w:eastAsia="宋体" w:cs="Times New Roman"/>
                <w:b w:val="0"/>
                <w:bCs w:val="0"/>
                <w:color w:val="auto"/>
                <w:sz w:val="24"/>
                <w:szCs w:val="24"/>
                <w:highlight w:val="none"/>
                <w:lang w:val="en-US" w:eastAsia="zh-CN"/>
              </w:rPr>
              <w:t>平整工件表面</w:t>
            </w:r>
            <w:r>
              <w:rPr>
                <w:rFonts w:hint="default" w:ascii="Times New Roman" w:hAnsi="Times New Roman" w:eastAsia="宋体" w:cs="Times New Roman"/>
                <w:b w:val="0"/>
                <w:bCs w:val="0"/>
                <w:color w:val="auto"/>
                <w:sz w:val="24"/>
                <w:szCs w:val="24"/>
                <w:highlight w:val="none"/>
                <w:lang w:val="en-US" w:eastAsia="zh-CN"/>
              </w:rPr>
              <w:t>，本项目</w:t>
            </w:r>
            <w:r>
              <w:rPr>
                <w:rFonts w:hint="eastAsia" w:ascii="Times New Roman" w:hAnsi="Times New Roman" w:eastAsia="宋体" w:cs="Times New Roman"/>
                <w:b w:val="0"/>
                <w:bCs w:val="0"/>
                <w:color w:val="auto"/>
                <w:sz w:val="24"/>
                <w:szCs w:val="24"/>
                <w:highlight w:val="none"/>
                <w:lang w:val="en-US" w:eastAsia="zh-CN"/>
              </w:rPr>
              <w:t>需使用气动打磨机对</w:t>
            </w:r>
            <w:r>
              <w:rPr>
                <w:rFonts w:hint="eastAsia" w:cs="Times New Roman"/>
                <w:b w:val="0"/>
                <w:bCs w:val="0"/>
                <w:color w:val="auto"/>
                <w:sz w:val="24"/>
                <w:szCs w:val="24"/>
                <w:highlight w:val="none"/>
                <w:lang w:val="en-US" w:eastAsia="zh-CN"/>
              </w:rPr>
              <w:t>高铁连接板</w:t>
            </w:r>
            <w:r>
              <w:rPr>
                <w:rFonts w:hint="eastAsia" w:ascii="Times New Roman" w:hAnsi="Times New Roman" w:eastAsia="宋体" w:cs="Times New Roman"/>
                <w:b w:val="0"/>
                <w:bCs w:val="0"/>
                <w:color w:val="auto"/>
                <w:sz w:val="24"/>
                <w:szCs w:val="24"/>
                <w:highlight w:val="none"/>
                <w:lang w:val="en-US" w:eastAsia="zh-CN"/>
              </w:rPr>
              <w:t>表面进行打磨</w:t>
            </w:r>
            <w:r>
              <w:rPr>
                <w:rFonts w:hint="default" w:ascii="Times New Roman" w:hAnsi="Times New Roman" w:eastAsia="宋体" w:cs="Times New Roman"/>
                <w:b w:val="0"/>
                <w:bCs w:val="0"/>
                <w:color w:val="auto"/>
                <w:sz w:val="24"/>
                <w:szCs w:val="24"/>
                <w:highlight w:val="none"/>
                <w:lang w:val="en-US" w:eastAsia="zh-CN"/>
              </w:rPr>
              <w:t>，根据《排放源统计调查产排污核算方法和系数手册》33-37/431-434 机械行业系数手册，06预处理，</w:t>
            </w:r>
            <w:r>
              <w:rPr>
                <w:rFonts w:hint="eastAsia" w:ascii="Times New Roman" w:hAnsi="Times New Roman" w:eastAsia="宋体" w:cs="Times New Roman"/>
                <w:b w:val="0"/>
                <w:bCs w:val="0"/>
                <w:color w:val="auto"/>
                <w:sz w:val="24"/>
                <w:szCs w:val="24"/>
                <w:highlight w:val="none"/>
                <w:lang w:val="en-US" w:eastAsia="zh-CN"/>
              </w:rPr>
              <w:t>打磨工序</w:t>
            </w:r>
            <w:r>
              <w:rPr>
                <w:rFonts w:hint="default" w:ascii="Times New Roman" w:hAnsi="Times New Roman" w:eastAsia="宋体" w:cs="Times New Roman"/>
                <w:b w:val="0"/>
                <w:bCs w:val="0"/>
                <w:color w:val="auto"/>
                <w:sz w:val="24"/>
                <w:szCs w:val="24"/>
                <w:highlight w:val="none"/>
                <w:lang w:val="en-US" w:eastAsia="zh-CN"/>
              </w:rPr>
              <w:t>颗粒物产生源强为2.19kg/t▪原料。本项目加工的</w:t>
            </w:r>
            <w:r>
              <w:rPr>
                <w:rFonts w:hint="eastAsia" w:ascii="Times New Roman" w:hAnsi="Times New Roman" w:eastAsia="宋体" w:cs="Times New Roman"/>
                <w:b w:val="0"/>
                <w:bCs w:val="0"/>
                <w:color w:val="auto"/>
                <w:sz w:val="24"/>
                <w:szCs w:val="24"/>
                <w:highlight w:val="none"/>
                <w:lang w:val="en-US" w:eastAsia="zh-CN"/>
              </w:rPr>
              <w:t>高铁连接板为8000件</w:t>
            </w:r>
            <w:r>
              <w:rPr>
                <w:rFonts w:hint="default" w:ascii="Times New Roman" w:hAnsi="Times New Roman" w:eastAsia="宋体" w:cs="Times New Roman"/>
                <w:b w:val="0"/>
                <w:bCs w:val="0"/>
                <w:color w:val="auto"/>
                <w:sz w:val="24"/>
                <w:szCs w:val="24"/>
                <w:highlight w:val="none"/>
                <w:lang w:val="en-US" w:eastAsia="zh-CN"/>
              </w:rPr>
              <w:t>/a</w:t>
            </w:r>
            <w:r>
              <w:rPr>
                <w:rFonts w:hint="eastAsia" w:ascii="Times New Roman" w:hAnsi="Times New Roman" w:eastAsia="宋体" w:cs="Times New Roman"/>
                <w:b w:val="0"/>
                <w:bCs w:val="0"/>
                <w:color w:val="auto"/>
                <w:sz w:val="24"/>
                <w:szCs w:val="24"/>
                <w:highlight w:val="none"/>
                <w:lang w:val="en-US" w:eastAsia="zh-CN"/>
              </w:rPr>
              <w:t>，工件质量约为15kg/件</w:t>
            </w:r>
            <w:r>
              <w:rPr>
                <w:rFonts w:hint="default" w:ascii="Times New Roman" w:hAnsi="Times New Roman" w:eastAsia="宋体" w:cs="Times New Roman"/>
                <w:b w:val="0"/>
                <w:bCs w:val="0"/>
                <w:color w:val="auto"/>
                <w:sz w:val="24"/>
                <w:szCs w:val="24"/>
                <w:highlight w:val="none"/>
                <w:lang w:val="en-US" w:eastAsia="zh-CN"/>
              </w:rPr>
              <w:t>，</w:t>
            </w:r>
            <w:r>
              <w:rPr>
                <w:rFonts w:hint="eastAsia" w:ascii="Times New Roman" w:hAnsi="Times New Roman" w:eastAsia="宋体" w:cs="Times New Roman"/>
                <w:b w:val="0"/>
                <w:bCs w:val="0"/>
                <w:color w:val="auto"/>
                <w:sz w:val="24"/>
                <w:szCs w:val="24"/>
                <w:highlight w:val="none"/>
                <w:lang w:val="en-US" w:eastAsia="zh-CN"/>
              </w:rPr>
              <w:t>其中约10%工件需要打磨，则粉尘产生量为0.0263t/a，</w:t>
            </w:r>
            <w:r>
              <w:rPr>
                <w:rFonts w:hint="default" w:ascii="Times New Roman" w:hAnsi="Times New Roman" w:eastAsia="宋体" w:cs="Times New Roman"/>
                <w:b w:val="0"/>
                <w:bCs w:val="0"/>
                <w:color w:val="auto"/>
                <w:sz w:val="24"/>
                <w:szCs w:val="24"/>
                <w:highlight w:val="none"/>
                <w:lang w:val="en-US" w:eastAsia="zh-CN"/>
              </w:rPr>
              <w:t>拟在</w:t>
            </w:r>
            <w:r>
              <w:rPr>
                <w:rFonts w:hint="eastAsia" w:cs="Times New Roman"/>
                <w:b w:val="0"/>
                <w:bCs w:val="0"/>
                <w:color w:val="auto"/>
                <w:sz w:val="24"/>
                <w:szCs w:val="24"/>
                <w:highlight w:val="none"/>
                <w:lang w:val="en-US" w:eastAsia="zh-CN"/>
              </w:rPr>
              <w:t>高铁连接板</w:t>
            </w:r>
            <w:r>
              <w:rPr>
                <w:rFonts w:hint="eastAsia" w:ascii="Times New Roman" w:hAnsi="Times New Roman" w:eastAsia="宋体" w:cs="Times New Roman"/>
                <w:b w:val="0"/>
                <w:bCs w:val="0"/>
                <w:color w:val="auto"/>
                <w:sz w:val="24"/>
                <w:szCs w:val="24"/>
                <w:highlight w:val="none"/>
                <w:lang w:val="en-US" w:eastAsia="zh-CN"/>
              </w:rPr>
              <w:t>打磨区</w:t>
            </w:r>
            <w:r>
              <w:rPr>
                <w:rFonts w:hint="default" w:ascii="Times New Roman" w:hAnsi="Times New Roman" w:eastAsia="宋体" w:cs="Times New Roman"/>
                <w:b w:val="0"/>
                <w:bCs w:val="0"/>
                <w:color w:val="auto"/>
                <w:sz w:val="24"/>
                <w:szCs w:val="24"/>
                <w:highlight w:val="none"/>
                <w:lang w:val="en-US" w:eastAsia="zh-CN"/>
              </w:rPr>
              <w:t>设置</w:t>
            </w:r>
            <w:r>
              <w:rPr>
                <w:rFonts w:hint="eastAsia" w:ascii="Times New Roman" w:hAnsi="Times New Roman" w:eastAsia="宋体" w:cs="Times New Roman"/>
                <w:b w:val="0"/>
                <w:bCs w:val="0"/>
                <w:color w:val="auto"/>
                <w:sz w:val="24"/>
                <w:szCs w:val="24"/>
                <w:highlight w:val="none"/>
                <w:lang w:val="en-US" w:eastAsia="zh-CN"/>
              </w:rPr>
              <w:t>移动式粉尘净化器</w:t>
            </w:r>
            <w:r>
              <w:rPr>
                <w:rFonts w:hint="default" w:ascii="Times New Roman" w:hAnsi="Times New Roman" w:eastAsia="宋体" w:cs="Times New Roman"/>
                <w:b w:val="0"/>
                <w:bCs w:val="0"/>
                <w:color w:val="auto"/>
                <w:sz w:val="24"/>
                <w:szCs w:val="24"/>
                <w:highlight w:val="none"/>
                <w:lang w:val="en-US" w:eastAsia="zh-CN"/>
              </w:rPr>
              <w:t>，移动式</w:t>
            </w:r>
            <w:r>
              <w:rPr>
                <w:rFonts w:hint="eastAsia" w:ascii="Times New Roman" w:hAnsi="Times New Roman" w:eastAsia="宋体" w:cs="Times New Roman"/>
                <w:b w:val="0"/>
                <w:bCs w:val="0"/>
                <w:color w:val="auto"/>
                <w:sz w:val="24"/>
                <w:szCs w:val="24"/>
                <w:highlight w:val="none"/>
                <w:lang w:val="en-US" w:eastAsia="zh-CN"/>
              </w:rPr>
              <w:t>粉尘</w:t>
            </w:r>
            <w:r>
              <w:rPr>
                <w:rFonts w:hint="default" w:ascii="Times New Roman" w:hAnsi="Times New Roman" w:eastAsia="宋体" w:cs="Times New Roman"/>
                <w:b w:val="0"/>
                <w:bCs w:val="0"/>
                <w:color w:val="auto"/>
                <w:sz w:val="24"/>
                <w:szCs w:val="24"/>
                <w:highlight w:val="none"/>
                <w:lang w:val="en-US" w:eastAsia="zh-CN"/>
              </w:rPr>
              <w:t>净化器对</w:t>
            </w:r>
            <w:r>
              <w:rPr>
                <w:rFonts w:hint="eastAsia" w:ascii="Times New Roman" w:hAnsi="Times New Roman" w:eastAsia="宋体" w:cs="Times New Roman"/>
                <w:b w:val="0"/>
                <w:bCs w:val="0"/>
                <w:color w:val="auto"/>
                <w:sz w:val="24"/>
                <w:szCs w:val="24"/>
                <w:highlight w:val="none"/>
                <w:lang w:val="en-US" w:eastAsia="zh-CN"/>
              </w:rPr>
              <w:t>粉尘</w:t>
            </w:r>
            <w:r>
              <w:rPr>
                <w:rFonts w:hint="eastAsia" w:cs="Times New Roman"/>
                <w:b w:val="0"/>
                <w:bCs w:val="0"/>
                <w:color w:val="auto"/>
                <w:sz w:val="24"/>
                <w:szCs w:val="24"/>
                <w:highlight w:val="none"/>
                <w:lang w:val="en-US" w:eastAsia="zh-CN"/>
              </w:rPr>
              <w:t>的</w:t>
            </w:r>
            <w:r>
              <w:rPr>
                <w:rFonts w:hint="default" w:ascii="Times New Roman" w:hAnsi="Times New Roman" w:eastAsia="宋体" w:cs="Times New Roman"/>
                <w:b w:val="0"/>
                <w:bCs w:val="0"/>
                <w:color w:val="auto"/>
                <w:sz w:val="24"/>
                <w:szCs w:val="24"/>
                <w:highlight w:val="none"/>
                <w:lang w:val="en-US" w:eastAsia="zh-CN"/>
              </w:rPr>
              <w:t>收集效率取60%，去除效率取90%，则</w:t>
            </w:r>
            <w:r>
              <w:rPr>
                <w:rFonts w:hint="eastAsia" w:ascii="Times New Roman" w:hAnsi="Times New Roman" w:eastAsia="宋体" w:cs="Times New Roman"/>
                <w:b w:val="0"/>
                <w:bCs w:val="0"/>
                <w:color w:val="auto"/>
                <w:sz w:val="24"/>
                <w:szCs w:val="24"/>
                <w:highlight w:val="none"/>
                <w:lang w:val="en-US" w:eastAsia="zh-CN"/>
              </w:rPr>
              <w:t>去除的粉尘量为0.0142t/a，</w:t>
            </w:r>
            <w:r>
              <w:rPr>
                <w:rFonts w:hint="default" w:ascii="Times New Roman" w:hAnsi="Times New Roman" w:eastAsia="宋体" w:cs="Times New Roman"/>
                <w:b w:val="0"/>
                <w:bCs w:val="0"/>
                <w:color w:val="auto"/>
                <w:sz w:val="24"/>
                <w:szCs w:val="24"/>
                <w:highlight w:val="none"/>
                <w:lang w:val="en-US" w:eastAsia="zh-CN"/>
              </w:rPr>
              <w:t>无组织排放量为</w:t>
            </w:r>
            <w:r>
              <w:rPr>
                <w:rFonts w:hint="eastAsia" w:ascii="Times New Roman" w:hAnsi="Times New Roman" w:eastAsia="宋体" w:cs="Times New Roman"/>
                <w:b w:val="0"/>
                <w:bCs w:val="0"/>
                <w:color w:val="auto"/>
                <w:sz w:val="24"/>
                <w:szCs w:val="24"/>
                <w:highlight w:val="none"/>
                <w:lang w:val="en-US" w:eastAsia="zh-CN"/>
              </w:rPr>
              <w:t>0.0121</w:t>
            </w:r>
            <w:r>
              <w:rPr>
                <w:rFonts w:hint="default" w:ascii="Times New Roman" w:hAnsi="Times New Roman" w:eastAsia="宋体" w:cs="Times New Roman"/>
                <w:b w:val="0"/>
                <w:bCs w:val="0"/>
                <w:color w:val="auto"/>
                <w:sz w:val="24"/>
                <w:szCs w:val="24"/>
                <w:highlight w:val="none"/>
                <w:lang w:val="en-US" w:eastAsia="zh-CN"/>
              </w:rPr>
              <w:t>t/a，</w:t>
            </w:r>
            <w:r>
              <w:rPr>
                <w:rFonts w:hint="eastAsia" w:ascii="Times New Roman" w:hAnsi="Times New Roman" w:eastAsia="宋体" w:cs="Times New Roman"/>
                <w:b w:val="0"/>
                <w:bCs w:val="0"/>
                <w:color w:val="auto"/>
                <w:sz w:val="24"/>
                <w:szCs w:val="24"/>
                <w:highlight w:val="none"/>
                <w:lang w:val="en-US" w:eastAsia="zh-CN"/>
              </w:rPr>
              <w:t>为了进一步降低对工人健康和环境的影响，本环评要求项目在投入</w:t>
            </w:r>
            <w:r>
              <w:rPr>
                <w:rFonts w:hint="eastAsia" w:cs="Times New Roman"/>
                <w:b w:val="0"/>
                <w:bCs w:val="0"/>
                <w:color w:val="auto"/>
                <w:sz w:val="24"/>
                <w:szCs w:val="24"/>
                <w:highlight w:val="none"/>
                <w:lang w:val="en-US" w:eastAsia="zh-CN"/>
              </w:rPr>
              <w:t>运营</w:t>
            </w:r>
            <w:r>
              <w:rPr>
                <w:rFonts w:hint="eastAsia" w:ascii="Times New Roman" w:hAnsi="Times New Roman" w:eastAsia="宋体" w:cs="Times New Roman"/>
                <w:b w:val="0"/>
                <w:bCs w:val="0"/>
                <w:color w:val="auto"/>
                <w:sz w:val="24"/>
                <w:szCs w:val="24"/>
                <w:highlight w:val="none"/>
                <w:lang w:val="en-US" w:eastAsia="zh-CN"/>
              </w:rPr>
              <w:t>后应加强车间的通风。</w:t>
            </w:r>
          </w:p>
          <w:p w14:paraId="500250F0">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（5）</w:t>
            </w:r>
            <w:r>
              <w:rPr>
                <w:rFonts w:hint="eastAsia" w:cs="Times New Roman"/>
                <w:b w:val="0"/>
                <w:bCs w:val="0"/>
                <w:color w:val="auto"/>
                <w:sz w:val="24"/>
                <w:szCs w:val="24"/>
                <w:highlight w:val="none"/>
                <w:lang w:val="en-US" w:eastAsia="zh-CN"/>
              </w:rPr>
              <w:t>高铁连接板</w:t>
            </w:r>
            <w:r>
              <w:rPr>
                <w:rFonts w:hint="eastAsia" w:ascii="Times New Roman" w:hAnsi="Times New Roman" w:eastAsia="宋体" w:cs="Times New Roman"/>
                <w:b w:val="0"/>
                <w:bCs w:val="0"/>
                <w:color w:val="auto"/>
                <w:sz w:val="24"/>
                <w:szCs w:val="24"/>
                <w:highlight w:val="none"/>
                <w:lang w:val="en-US" w:eastAsia="zh-CN"/>
              </w:rPr>
              <w:t>清洗废气</w:t>
            </w:r>
          </w:p>
          <w:p w14:paraId="16C5AEFF">
            <w:pPr>
              <w:keepNext w:val="0"/>
              <w:keepLines w:val="0"/>
              <w:pageBreakBefore w:val="0"/>
              <w:widowControl w:val="0"/>
              <w:kinsoku/>
              <w:wordWrap/>
              <w:overflowPunct/>
              <w:topLinePunct w:val="0"/>
              <w:autoSpaceDE/>
              <w:autoSpaceDN/>
              <w:bidi w:val="0"/>
              <w:adjustRightInd/>
              <w:snapToGrid/>
              <w:spacing w:line="404" w:lineRule="exact"/>
              <w:ind w:firstLine="480" w:firstLineChars="200"/>
              <w:textAlignment w:val="auto"/>
              <w:rPr>
                <w:rFonts w:hint="default" w:ascii="Times New Roman" w:hAnsi="Times New Roman" w:eastAsia="宋体" w:cs="Times New Roman"/>
                <w:color w:val="auto"/>
                <w:sz w:val="24"/>
                <w:szCs w:val="24"/>
                <w:highlight w:val="none"/>
                <w:u w:val="none"/>
                <w:lang w:val="en-US" w:eastAsia="zh-CN"/>
              </w:rPr>
            </w:pPr>
            <w:r>
              <w:rPr>
                <w:rFonts w:hint="default" w:ascii="Times New Roman" w:hAnsi="Times New Roman" w:eastAsia="宋体" w:cs="Times New Roman"/>
                <w:color w:val="auto"/>
                <w:sz w:val="24"/>
                <w:szCs w:val="24"/>
                <w:highlight w:val="none"/>
                <w:u w:val="none"/>
                <w:lang w:val="en-US" w:eastAsia="zh-CN"/>
              </w:rPr>
              <w:t>本项目</w:t>
            </w:r>
            <w:r>
              <w:rPr>
                <w:rFonts w:hint="eastAsia" w:ascii="Times New Roman" w:hAnsi="Times New Roman" w:eastAsia="宋体" w:cs="Times New Roman"/>
                <w:color w:val="auto"/>
                <w:sz w:val="24"/>
                <w:szCs w:val="24"/>
                <w:highlight w:val="none"/>
                <w:u w:val="none"/>
                <w:lang w:val="en-US" w:eastAsia="zh-CN"/>
              </w:rPr>
              <w:t>在高铁连接板喷漆前进行</w:t>
            </w:r>
            <w:r>
              <w:rPr>
                <w:rFonts w:hint="default" w:ascii="Times New Roman" w:hAnsi="Times New Roman" w:eastAsia="宋体" w:cs="Times New Roman"/>
                <w:color w:val="auto"/>
                <w:sz w:val="24"/>
                <w:szCs w:val="24"/>
                <w:highlight w:val="none"/>
                <w:u w:val="none"/>
                <w:lang w:val="en-US" w:eastAsia="zh-CN"/>
              </w:rPr>
              <w:t>清洁</w:t>
            </w:r>
            <w:r>
              <w:rPr>
                <w:rFonts w:hint="eastAsia" w:ascii="Times New Roman" w:hAnsi="Times New Roman" w:eastAsia="宋体" w:cs="Times New Roman"/>
                <w:color w:val="auto"/>
                <w:sz w:val="24"/>
                <w:szCs w:val="24"/>
                <w:highlight w:val="none"/>
                <w:u w:val="none"/>
                <w:lang w:val="en-US" w:eastAsia="zh-CN"/>
              </w:rPr>
              <w:t>，</w:t>
            </w:r>
            <w:r>
              <w:rPr>
                <w:rFonts w:hint="default" w:ascii="Times New Roman" w:hAnsi="Times New Roman" w:eastAsia="宋体" w:cs="Times New Roman"/>
                <w:color w:val="auto"/>
                <w:sz w:val="24"/>
                <w:szCs w:val="24"/>
                <w:highlight w:val="none"/>
                <w:u w:val="none"/>
                <w:lang w:val="en-US" w:eastAsia="zh-CN"/>
              </w:rPr>
              <w:t>采用抹布酒精擦拭，并将产生的废酒精抹布作为危险废物暂存危废间内，定期交由资质单位收集处理。</w:t>
            </w:r>
            <w:r>
              <w:rPr>
                <w:rFonts w:hint="eastAsia" w:cs="Times New Roman"/>
                <w:color w:val="auto"/>
                <w:sz w:val="24"/>
                <w:szCs w:val="24"/>
                <w:highlight w:val="none"/>
                <w:u w:val="none"/>
                <w:lang w:val="en-US" w:eastAsia="zh-CN"/>
              </w:rPr>
              <w:t>本项目清洗工序于高铁连接板喷漆房中进行，</w:t>
            </w:r>
            <w:r>
              <w:rPr>
                <w:rFonts w:hint="default" w:ascii="Times New Roman" w:hAnsi="Times New Roman" w:eastAsia="宋体" w:cs="Times New Roman"/>
                <w:color w:val="auto"/>
                <w:sz w:val="24"/>
                <w:szCs w:val="24"/>
                <w:highlight w:val="none"/>
                <w:u w:val="none"/>
                <w:lang w:val="en-US" w:eastAsia="zh-CN"/>
              </w:rPr>
              <w:t>由于酒精易挥发，因此本项目按最不利情况全部挥发进行考虑，则产生的非甲烷总烃共0.5t/a。</w:t>
            </w:r>
            <w:r>
              <w:rPr>
                <w:rFonts w:hint="eastAsia" w:ascii="Times New Roman" w:hAnsi="Times New Roman" w:eastAsia="宋体" w:cs="Times New Roman"/>
                <w:color w:val="auto"/>
                <w:sz w:val="24"/>
                <w:szCs w:val="24"/>
                <w:highlight w:val="none"/>
                <w:u w:val="none"/>
                <w:lang w:val="en-US" w:eastAsia="zh-CN"/>
              </w:rPr>
              <w:t>清洗</w:t>
            </w:r>
            <w:r>
              <w:rPr>
                <w:rFonts w:hint="default" w:ascii="Times New Roman" w:hAnsi="Times New Roman" w:eastAsia="宋体" w:cs="Times New Roman"/>
                <w:color w:val="auto"/>
                <w:sz w:val="24"/>
                <w:szCs w:val="24"/>
                <w:highlight w:val="none"/>
                <w:u w:val="none"/>
                <w:lang w:val="en-US" w:eastAsia="zh-CN"/>
              </w:rPr>
              <w:t>工序</w:t>
            </w:r>
            <w:r>
              <w:rPr>
                <w:rFonts w:hint="eastAsia" w:ascii="Times New Roman" w:hAnsi="Times New Roman" w:eastAsia="宋体" w:cs="Times New Roman"/>
                <w:color w:val="auto"/>
                <w:sz w:val="24"/>
                <w:szCs w:val="24"/>
                <w:highlight w:val="none"/>
                <w:u w:val="none"/>
                <w:lang w:val="en-US" w:eastAsia="zh-CN"/>
              </w:rPr>
              <w:t>位于喷漆房内，产生的有机废气</w:t>
            </w:r>
            <w:r>
              <w:rPr>
                <w:rFonts w:hint="default" w:ascii="Times New Roman" w:hAnsi="Times New Roman" w:eastAsia="宋体" w:cs="Times New Roman"/>
                <w:color w:val="auto"/>
                <w:sz w:val="24"/>
                <w:szCs w:val="24"/>
                <w:highlight w:val="none"/>
                <w:u w:val="none"/>
                <w:lang w:val="en-US" w:eastAsia="zh-CN"/>
              </w:rPr>
              <w:t>收集</w:t>
            </w:r>
            <w:r>
              <w:rPr>
                <w:rFonts w:hint="eastAsia" w:ascii="Times New Roman" w:hAnsi="Times New Roman" w:eastAsia="宋体" w:cs="Times New Roman"/>
                <w:color w:val="auto"/>
                <w:sz w:val="24"/>
                <w:szCs w:val="24"/>
                <w:highlight w:val="none"/>
                <w:u w:val="none"/>
                <w:lang w:val="en-US" w:eastAsia="zh-CN"/>
              </w:rPr>
              <w:t>后</w:t>
            </w:r>
            <w:r>
              <w:rPr>
                <w:rFonts w:hint="default" w:ascii="Times New Roman" w:hAnsi="Times New Roman" w:eastAsia="宋体" w:cs="Times New Roman"/>
                <w:color w:val="auto"/>
                <w:sz w:val="24"/>
                <w:szCs w:val="24"/>
                <w:highlight w:val="none"/>
                <w:u w:val="none"/>
                <w:lang w:val="en-US" w:eastAsia="zh-CN"/>
              </w:rPr>
              <w:t>经活性炭吸附</w:t>
            </w:r>
            <w:r>
              <w:rPr>
                <w:rFonts w:hint="eastAsia" w:ascii="Times New Roman" w:hAnsi="Times New Roman" w:eastAsia="宋体" w:cs="Times New Roman"/>
                <w:color w:val="auto"/>
                <w:sz w:val="24"/>
                <w:szCs w:val="24"/>
                <w:highlight w:val="none"/>
                <w:u w:val="none"/>
                <w:lang w:val="en-US" w:eastAsia="zh-CN"/>
              </w:rPr>
              <w:t>+催化燃烧设施（TA001）</w:t>
            </w:r>
            <w:r>
              <w:rPr>
                <w:rFonts w:hint="default" w:ascii="Times New Roman" w:hAnsi="Times New Roman" w:eastAsia="宋体" w:cs="Times New Roman"/>
                <w:color w:val="auto"/>
                <w:sz w:val="24"/>
                <w:szCs w:val="24"/>
                <w:highlight w:val="none"/>
                <w:u w:val="none"/>
                <w:lang w:val="en-US" w:eastAsia="zh-CN"/>
              </w:rPr>
              <w:t>处理后通过</w:t>
            </w:r>
            <w:r>
              <w:rPr>
                <w:rFonts w:hint="eastAsia" w:ascii="Times New Roman" w:hAnsi="Times New Roman" w:eastAsia="宋体" w:cs="Times New Roman"/>
                <w:color w:val="auto"/>
                <w:sz w:val="24"/>
                <w:szCs w:val="24"/>
                <w:highlight w:val="none"/>
                <w:u w:val="none"/>
                <w:lang w:val="en-US" w:eastAsia="zh-CN"/>
              </w:rPr>
              <w:t>15</w:t>
            </w:r>
            <w:r>
              <w:rPr>
                <w:rFonts w:hint="default" w:ascii="Times New Roman" w:hAnsi="Times New Roman" w:eastAsia="宋体" w:cs="Times New Roman"/>
                <w:color w:val="auto"/>
                <w:sz w:val="24"/>
                <w:szCs w:val="24"/>
                <w:highlight w:val="none"/>
                <w:u w:val="none"/>
                <w:lang w:val="en-US" w:eastAsia="zh-CN"/>
              </w:rPr>
              <w:t>m排气筒（DA00</w:t>
            </w:r>
            <w:r>
              <w:rPr>
                <w:rFonts w:hint="eastAsia" w:ascii="Times New Roman" w:hAnsi="Times New Roman" w:eastAsia="宋体" w:cs="Times New Roman"/>
                <w:color w:val="auto"/>
                <w:sz w:val="24"/>
                <w:szCs w:val="24"/>
                <w:highlight w:val="none"/>
                <w:u w:val="none"/>
                <w:lang w:val="en-US" w:eastAsia="zh-CN"/>
              </w:rPr>
              <w:t>1</w:t>
            </w:r>
            <w:r>
              <w:rPr>
                <w:rFonts w:hint="default" w:ascii="Times New Roman" w:hAnsi="Times New Roman" w:eastAsia="宋体" w:cs="Times New Roman"/>
                <w:color w:val="auto"/>
                <w:sz w:val="24"/>
                <w:szCs w:val="24"/>
                <w:highlight w:val="none"/>
                <w:u w:val="none"/>
                <w:lang w:val="en-US" w:eastAsia="zh-CN"/>
              </w:rPr>
              <w:t>）排放</w:t>
            </w:r>
            <w:r>
              <w:rPr>
                <w:rFonts w:hint="eastAsia" w:ascii="Times New Roman" w:hAnsi="Times New Roman" w:eastAsia="宋体" w:cs="Times New Roman"/>
                <w:color w:val="auto"/>
                <w:sz w:val="24"/>
                <w:szCs w:val="24"/>
                <w:highlight w:val="none"/>
                <w:u w:val="none"/>
                <w:lang w:val="en-US" w:eastAsia="zh-CN"/>
              </w:rPr>
              <w:t>；未收集的有机废气经密闭车间负压收集后经二级活性炭</w:t>
            </w:r>
            <w:r>
              <w:rPr>
                <w:rFonts w:hint="default" w:ascii="Times New Roman" w:hAnsi="Times New Roman" w:eastAsia="宋体" w:cs="Times New Roman"/>
                <w:color w:val="auto"/>
                <w:sz w:val="24"/>
                <w:szCs w:val="24"/>
                <w:highlight w:val="none"/>
                <w:u w:val="none"/>
                <w:lang w:val="en-US" w:eastAsia="zh-CN"/>
              </w:rPr>
              <w:t>吸附</w:t>
            </w:r>
            <w:r>
              <w:rPr>
                <w:rFonts w:hint="eastAsia" w:ascii="Times New Roman" w:hAnsi="Times New Roman" w:eastAsia="宋体" w:cs="Times New Roman"/>
                <w:color w:val="auto"/>
                <w:sz w:val="24"/>
                <w:szCs w:val="24"/>
                <w:highlight w:val="none"/>
                <w:u w:val="none"/>
                <w:lang w:val="en-US" w:eastAsia="zh-CN"/>
              </w:rPr>
              <w:t>设施（TA002）</w:t>
            </w:r>
            <w:r>
              <w:rPr>
                <w:rFonts w:hint="default" w:ascii="Times New Roman" w:hAnsi="Times New Roman" w:eastAsia="宋体" w:cs="Times New Roman"/>
                <w:color w:val="auto"/>
                <w:sz w:val="24"/>
                <w:szCs w:val="24"/>
                <w:highlight w:val="none"/>
                <w:u w:val="none"/>
                <w:lang w:val="en-US" w:eastAsia="zh-CN"/>
              </w:rPr>
              <w:t>处理后通过</w:t>
            </w:r>
            <w:r>
              <w:rPr>
                <w:rFonts w:hint="eastAsia" w:ascii="Times New Roman" w:hAnsi="Times New Roman" w:eastAsia="宋体" w:cs="Times New Roman"/>
                <w:color w:val="auto"/>
                <w:sz w:val="24"/>
                <w:szCs w:val="24"/>
                <w:highlight w:val="none"/>
                <w:u w:val="none"/>
                <w:lang w:val="en-US" w:eastAsia="zh-CN"/>
              </w:rPr>
              <w:t>15</w:t>
            </w:r>
            <w:r>
              <w:rPr>
                <w:rFonts w:hint="default" w:ascii="Times New Roman" w:hAnsi="Times New Roman" w:eastAsia="宋体" w:cs="Times New Roman"/>
                <w:color w:val="auto"/>
                <w:sz w:val="24"/>
                <w:szCs w:val="24"/>
                <w:highlight w:val="none"/>
                <w:u w:val="none"/>
                <w:lang w:val="en-US" w:eastAsia="zh-CN"/>
              </w:rPr>
              <w:t>m排气筒（DA00</w:t>
            </w:r>
            <w:r>
              <w:rPr>
                <w:rFonts w:hint="eastAsia" w:ascii="Times New Roman" w:hAnsi="Times New Roman" w:eastAsia="宋体" w:cs="Times New Roman"/>
                <w:color w:val="auto"/>
                <w:sz w:val="24"/>
                <w:szCs w:val="24"/>
                <w:highlight w:val="none"/>
                <w:u w:val="none"/>
                <w:lang w:val="en-US" w:eastAsia="zh-CN"/>
              </w:rPr>
              <w:t>2</w:t>
            </w:r>
            <w:r>
              <w:rPr>
                <w:rFonts w:hint="default" w:ascii="Times New Roman" w:hAnsi="Times New Roman" w:eastAsia="宋体" w:cs="Times New Roman"/>
                <w:color w:val="auto"/>
                <w:sz w:val="24"/>
                <w:szCs w:val="24"/>
                <w:highlight w:val="none"/>
                <w:u w:val="none"/>
                <w:lang w:val="en-US" w:eastAsia="zh-CN"/>
              </w:rPr>
              <w:t>）排放</w:t>
            </w:r>
            <w:r>
              <w:rPr>
                <w:rFonts w:hint="eastAsia" w:ascii="Times New Roman" w:hAnsi="Times New Roman" w:eastAsia="宋体" w:cs="Times New Roman"/>
                <w:color w:val="auto"/>
                <w:sz w:val="24"/>
                <w:szCs w:val="24"/>
                <w:highlight w:val="none"/>
                <w:u w:val="none"/>
                <w:lang w:val="en-US" w:eastAsia="zh-CN"/>
              </w:rPr>
              <w:t>。参考《主要污染物总量减排核算技术指南（2022年修订）》，负压收集效率为90%，催化燃烧（CO）处理效率取80%，一级活性炭吸附效率为50%。活性炭吸附+催化燃烧设施（TA001）处理效率为90%，二级活性炭吸附设施（TA002）处理效率则为75%计。根据建设单位提供资料，废气处理系统设置风量</w:t>
            </w:r>
            <w:r>
              <w:rPr>
                <w:rFonts w:hint="eastAsia" w:cs="Times New Roman"/>
                <w:color w:val="auto"/>
                <w:sz w:val="24"/>
                <w:szCs w:val="24"/>
                <w:highlight w:val="none"/>
                <w:u w:val="none"/>
                <w:lang w:val="en-US" w:eastAsia="zh-CN"/>
              </w:rPr>
              <w:t>TA001风机风量为</w:t>
            </w:r>
            <w:r>
              <w:rPr>
                <w:rFonts w:hint="eastAsia" w:ascii="Times New Roman" w:hAnsi="Times New Roman" w:eastAsia="宋体" w:cs="Times New Roman"/>
                <w:color w:val="auto"/>
                <w:sz w:val="24"/>
                <w:szCs w:val="24"/>
                <w:highlight w:val="none"/>
                <w:u w:val="none"/>
                <w:lang w:val="en-US" w:eastAsia="zh-CN"/>
              </w:rPr>
              <w:t>2</w:t>
            </w:r>
            <w:r>
              <w:rPr>
                <w:rFonts w:hint="eastAsia" w:cs="Times New Roman"/>
                <w:color w:val="auto"/>
                <w:sz w:val="24"/>
                <w:szCs w:val="24"/>
                <w:highlight w:val="none"/>
                <w:u w:val="none"/>
                <w:lang w:val="en-US" w:eastAsia="zh-CN"/>
              </w:rPr>
              <w:t>8</w:t>
            </w:r>
            <w:r>
              <w:rPr>
                <w:rFonts w:hint="eastAsia" w:ascii="Times New Roman" w:hAnsi="Times New Roman" w:eastAsia="宋体" w:cs="Times New Roman"/>
                <w:color w:val="auto"/>
                <w:sz w:val="24"/>
                <w:szCs w:val="24"/>
                <w:highlight w:val="none"/>
                <w:u w:val="none"/>
                <w:lang w:val="en-US" w:eastAsia="zh-CN"/>
              </w:rPr>
              <w:t>000m</w:t>
            </w:r>
            <w:r>
              <w:rPr>
                <w:rFonts w:hint="eastAsia" w:ascii="Times New Roman" w:hAnsi="Times New Roman" w:eastAsia="宋体" w:cs="Times New Roman"/>
                <w:color w:val="auto"/>
                <w:sz w:val="24"/>
                <w:szCs w:val="24"/>
                <w:highlight w:val="none"/>
                <w:u w:val="none"/>
                <w:vertAlign w:val="superscript"/>
                <w:lang w:val="en-US" w:eastAsia="zh-CN"/>
              </w:rPr>
              <w:t>3</w:t>
            </w:r>
            <w:r>
              <w:rPr>
                <w:rFonts w:hint="eastAsia" w:ascii="Times New Roman" w:hAnsi="Times New Roman" w:eastAsia="宋体" w:cs="Times New Roman"/>
                <w:color w:val="auto"/>
                <w:sz w:val="24"/>
                <w:szCs w:val="24"/>
                <w:highlight w:val="none"/>
                <w:u w:val="none"/>
                <w:lang w:val="en-US" w:eastAsia="zh-CN"/>
              </w:rPr>
              <w:t>/h</w:t>
            </w:r>
            <w:r>
              <w:rPr>
                <w:rFonts w:hint="eastAsia" w:cs="Times New Roman"/>
                <w:color w:val="auto"/>
                <w:sz w:val="24"/>
                <w:szCs w:val="24"/>
                <w:highlight w:val="none"/>
                <w:u w:val="none"/>
                <w:lang w:val="en-US" w:eastAsia="zh-CN"/>
              </w:rPr>
              <w:t>，TA002风机风量为1</w:t>
            </w:r>
            <w:r>
              <w:rPr>
                <w:rFonts w:hint="eastAsia" w:ascii="Times New Roman" w:hAnsi="Times New Roman" w:eastAsia="宋体" w:cs="Times New Roman"/>
                <w:color w:val="auto"/>
                <w:sz w:val="24"/>
                <w:szCs w:val="24"/>
                <w:highlight w:val="none"/>
                <w:u w:val="none"/>
                <w:lang w:val="en-US" w:eastAsia="zh-CN"/>
              </w:rPr>
              <w:t>0000m</w:t>
            </w:r>
            <w:r>
              <w:rPr>
                <w:rFonts w:hint="eastAsia" w:ascii="Times New Roman" w:hAnsi="Times New Roman" w:eastAsia="宋体" w:cs="Times New Roman"/>
                <w:color w:val="auto"/>
                <w:sz w:val="24"/>
                <w:szCs w:val="24"/>
                <w:highlight w:val="none"/>
                <w:u w:val="none"/>
                <w:vertAlign w:val="superscript"/>
                <w:lang w:val="en-US" w:eastAsia="zh-CN"/>
              </w:rPr>
              <w:t>3</w:t>
            </w:r>
            <w:r>
              <w:rPr>
                <w:rFonts w:hint="eastAsia" w:ascii="Times New Roman" w:hAnsi="Times New Roman" w:eastAsia="宋体" w:cs="Times New Roman"/>
                <w:color w:val="auto"/>
                <w:sz w:val="24"/>
                <w:szCs w:val="24"/>
                <w:highlight w:val="none"/>
                <w:u w:val="none"/>
                <w:lang w:val="en-US" w:eastAsia="zh-CN"/>
              </w:rPr>
              <w:t>/h</w:t>
            </w:r>
            <w:r>
              <w:rPr>
                <w:rFonts w:hint="eastAsia" w:cs="Times New Roman"/>
                <w:color w:val="auto"/>
                <w:sz w:val="24"/>
                <w:szCs w:val="24"/>
                <w:highlight w:val="none"/>
                <w:u w:val="none"/>
                <w:lang w:val="en-US" w:eastAsia="zh-CN"/>
              </w:rPr>
              <w:t>。</w:t>
            </w:r>
            <w:r>
              <w:rPr>
                <w:rFonts w:hint="eastAsia" w:ascii="Times New Roman" w:hAnsi="Times New Roman" w:eastAsia="宋体" w:cs="Times New Roman"/>
                <w:color w:val="auto"/>
                <w:sz w:val="24"/>
                <w:szCs w:val="24"/>
                <w:highlight w:val="none"/>
                <w:u w:val="none"/>
                <w:lang w:val="en-US" w:eastAsia="zh-CN"/>
              </w:rPr>
              <w:t>清洗工序每日工作时间为2h，则</w:t>
            </w:r>
            <w:r>
              <w:rPr>
                <w:rFonts w:hint="default" w:ascii="Times New Roman" w:hAnsi="Times New Roman" w:eastAsia="宋体" w:cs="Times New Roman"/>
                <w:color w:val="auto"/>
                <w:sz w:val="24"/>
                <w:szCs w:val="24"/>
                <w:highlight w:val="none"/>
                <w:u w:val="none"/>
                <w:lang w:val="en-US" w:eastAsia="zh-CN"/>
              </w:rPr>
              <w:t>经</w:t>
            </w:r>
            <w:r>
              <w:rPr>
                <w:rFonts w:hint="eastAsia" w:ascii="Times New Roman" w:hAnsi="Times New Roman" w:eastAsia="宋体" w:cs="Times New Roman"/>
                <w:color w:val="auto"/>
                <w:sz w:val="24"/>
                <w:szCs w:val="24"/>
                <w:highlight w:val="none"/>
                <w:u w:val="none"/>
                <w:lang w:val="en-US" w:eastAsia="zh-CN"/>
              </w:rPr>
              <w:t>喷漆房负压</w:t>
            </w:r>
            <w:r>
              <w:rPr>
                <w:rFonts w:hint="default" w:ascii="Times New Roman" w:hAnsi="Times New Roman" w:eastAsia="宋体" w:cs="Times New Roman"/>
                <w:color w:val="auto"/>
                <w:sz w:val="24"/>
                <w:szCs w:val="24"/>
                <w:highlight w:val="none"/>
                <w:u w:val="none"/>
                <w:lang w:val="en-US" w:eastAsia="zh-CN"/>
              </w:rPr>
              <w:t>系统收集的非甲烷总烃年产生量为</w:t>
            </w:r>
            <w:r>
              <w:rPr>
                <w:rFonts w:hint="eastAsia" w:ascii="Times New Roman" w:hAnsi="Times New Roman" w:eastAsia="宋体" w:cs="Times New Roman"/>
                <w:color w:val="auto"/>
                <w:sz w:val="24"/>
                <w:szCs w:val="24"/>
                <w:highlight w:val="none"/>
                <w:u w:val="none"/>
                <w:lang w:val="en-US" w:eastAsia="zh-CN"/>
              </w:rPr>
              <w:t>0.45</w:t>
            </w:r>
            <w:r>
              <w:rPr>
                <w:rFonts w:hint="default" w:ascii="Times New Roman" w:hAnsi="Times New Roman" w:eastAsia="宋体" w:cs="Times New Roman"/>
                <w:color w:val="auto"/>
                <w:sz w:val="24"/>
                <w:szCs w:val="24"/>
                <w:highlight w:val="none"/>
                <w:u w:val="none"/>
                <w:lang w:val="en-US" w:eastAsia="zh-CN"/>
              </w:rPr>
              <w:t>t/a（</w:t>
            </w:r>
            <w:r>
              <w:rPr>
                <w:rFonts w:hint="eastAsia" w:ascii="Times New Roman" w:hAnsi="Times New Roman" w:eastAsia="宋体" w:cs="Times New Roman"/>
                <w:color w:val="auto"/>
                <w:sz w:val="24"/>
                <w:szCs w:val="24"/>
                <w:highlight w:val="none"/>
                <w:u w:val="none"/>
                <w:lang w:val="en-US" w:eastAsia="zh-CN"/>
              </w:rPr>
              <w:t>0.75</w:t>
            </w:r>
            <w:r>
              <w:rPr>
                <w:rFonts w:hint="default" w:ascii="Times New Roman" w:hAnsi="Times New Roman" w:eastAsia="宋体" w:cs="Times New Roman"/>
                <w:color w:val="auto"/>
                <w:sz w:val="24"/>
                <w:szCs w:val="24"/>
                <w:highlight w:val="none"/>
                <w:u w:val="none"/>
                <w:lang w:val="en-US" w:eastAsia="zh-CN"/>
              </w:rPr>
              <w:t>kg/h、</w:t>
            </w:r>
            <w:r>
              <w:rPr>
                <w:rFonts w:hint="eastAsia" w:cs="Times New Roman"/>
                <w:color w:val="auto"/>
                <w:sz w:val="24"/>
                <w:szCs w:val="24"/>
                <w:highlight w:val="none"/>
                <w:u w:val="none"/>
                <w:lang w:val="en-US" w:eastAsia="zh-CN"/>
              </w:rPr>
              <w:t>26.786</w:t>
            </w:r>
            <w:r>
              <w:rPr>
                <w:rFonts w:hint="default" w:ascii="Times New Roman" w:hAnsi="Times New Roman" w:eastAsia="宋体" w:cs="Times New Roman"/>
                <w:color w:val="auto"/>
                <w:sz w:val="24"/>
                <w:szCs w:val="24"/>
                <w:highlight w:val="none"/>
                <w:u w:val="none"/>
                <w:lang w:val="en-US" w:eastAsia="zh-CN"/>
              </w:rPr>
              <w:t>mg/m</w:t>
            </w:r>
            <w:r>
              <w:rPr>
                <w:rFonts w:hint="default" w:ascii="Times New Roman" w:hAnsi="Times New Roman" w:eastAsia="宋体" w:cs="Times New Roman"/>
                <w:color w:val="auto"/>
                <w:sz w:val="24"/>
                <w:szCs w:val="24"/>
                <w:highlight w:val="none"/>
                <w:u w:val="none"/>
                <w:vertAlign w:val="superscript"/>
                <w:lang w:val="en-US" w:eastAsia="zh-CN"/>
              </w:rPr>
              <w:t>3</w:t>
            </w:r>
            <w:r>
              <w:rPr>
                <w:rFonts w:hint="default" w:ascii="Times New Roman" w:hAnsi="Times New Roman" w:eastAsia="宋体" w:cs="Times New Roman"/>
                <w:color w:val="auto"/>
                <w:sz w:val="24"/>
                <w:szCs w:val="24"/>
                <w:highlight w:val="none"/>
                <w:u w:val="none"/>
                <w:lang w:val="en-US" w:eastAsia="zh-CN"/>
              </w:rPr>
              <w:t>），经活性炭吸附</w:t>
            </w:r>
            <w:r>
              <w:rPr>
                <w:rFonts w:hint="eastAsia" w:ascii="Times New Roman" w:hAnsi="Times New Roman" w:eastAsia="宋体" w:cs="Times New Roman"/>
                <w:color w:val="auto"/>
                <w:sz w:val="24"/>
                <w:szCs w:val="24"/>
                <w:highlight w:val="none"/>
                <w:u w:val="none"/>
                <w:lang w:val="en-US" w:eastAsia="zh-CN"/>
              </w:rPr>
              <w:t>+催化燃烧设施（TA001）</w:t>
            </w:r>
            <w:r>
              <w:rPr>
                <w:rFonts w:hint="default" w:ascii="Times New Roman" w:hAnsi="Times New Roman" w:eastAsia="宋体" w:cs="Times New Roman"/>
                <w:color w:val="auto"/>
                <w:sz w:val="24"/>
                <w:szCs w:val="24"/>
                <w:highlight w:val="none"/>
                <w:u w:val="none"/>
                <w:lang w:val="en-US" w:eastAsia="zh-CN"/>
              </w:rPr>
              <w:t>处理后非甲烷总烃处理量为</w:t>
            </w:r>
            <w:r>
              <w:rPr>
                <w:rFonts w:hint="eastAsia" w:cs="Times New Roman"/>
                <w:color w:val="auto"/>
                <w:sz w:val="24"/>
                <w:szCs w:val="24"/>
                <w:highlight w:val="none"/>
                <w:u w:val="none"/>
                <w:lang w:val="en-US" w:eastAsia="zh-CN"/>
              </w:rPr>
              <w:t>0.405</w:t>
            </w:r>
            <w:r>
              <w:rPr>
                <w:rFonts w:hint="eastAsia" w:ascii="Times New Roman" w:hAnsi="Times New Roman" w:eastAsia="宋体" w:cs="Times New Roman"/>
                <w:color w:val="auto"/>
                <w:sz w:val="24"/>
                <w:szCs w:val="24"/>
                <w:highlight w:val="none"/>
                <w:u w:val="none"/>
                <w:lang w:val="en-US" w:eastAsia="zh-CN"/>
              </w:rPr>
              <w:t>t/a</w:t>
            </w:r>
            <w:r>
              <w:rPr>
                <w:rFonts w:hint="default" w:ascii="Times New Roman" w:hAnsi="Times New Roman" w:eastAsia="宋体" w:cs="Times New Roman"/>
                <w:color w:val="auto"/>
                <w:sz w:val="24"/>
                <w:szCs w:val="24"/>
                <w:highlight w:val="none"/>
                <w:u w:val="none"/>
                <w:lang w:val="en-US" w:eastAsia="zh-CN"/>
              </w:rPr>
              <w:t>，处理剩余的非甲烷总烃</w:t>
            </w:r>
            <w:r>
              <w:rPr>
                <w:rFonts w:hint="eastAsia" w:cs="Times New Roman"/>
                <w:color w:val="auto"/>
                <w:sz w:val="24"/>
                <w:szCs w:val="24"/>
                <w:highlight w:val="none"/>
                <w:u w:val="none"/>
                <w:lang w:val="en-US" w:eastAsia="zh-CN"/>
              </w:rPr>
              <w:t>0.045</w:t>
            </w:r>
            <w:r>
              <w:rPr>
                <w:rFonts w:hint="default" w:ascii="Times New Roman" w:hAnsi="Times New Roman" w:eastAsia="宋体" w:cs="Times New Roman"/>
                <w:color w:val="auto"/>
                <w:sz w:val="24"/>
                <w:szCs w:val="24"/>
                <w:highlight w:val="none"/>
                <w:u w:val="none"/>
                <w:lang w:val="en-US" w:eastAsia="zh-CN"/>
              </w:rPr>
              <w:t>t/a（</w:t>
            </w:r>
            <w:r>
              <w:rPr>
                <w:rFonts w:hint="eastAsia" w:cs="Times New Roman"/>
                <w:color w:val="auto"/>
                <w:sz w:val="24"/>
                <w:szCs w:val="24"/>
                <w:highlight w:val="none"/>
                <w:u w:val="none"/>
                <w:lang w:val="en-US" w:eastAsia="zh-CN"/>
              </w:rPr>
              <w:t>2.679</w:t>
            </w:r>
            <w:r>
              <w:rPr>
                <w:rFonts w:hint="default" w:ascii="Times New Roman" w:hAnsi="Times New Roman" w:eastAsia="宋体" w:cs="Times New Roman"/>
                <w:color w:val="auto"/>
                <w:sz w:val="24"/>
                <w:szCs w:val="24"/>
                <w:highlight w:val="none"/>
                <w:u w:val="none"/>
                <w:lang w:val="en-US" w:eastAsia="zh-CN"/>
              </w:rPr>
              <w:t>kg/h、</w:t>
            </w:r>
            <w:r>
              <w:rPr>
                <w:rFonts w:hint="eastAsia" w:cs="Times New Roman"/>
                <w:color w:val="auto"/>
                <w:sz w:val="24"/>
                <w:szCs w:val="24"/>
                <w:highlight w:val="none"/>
                <w:u w:val="none"/>
                <w:lang w:val="en-US" w:eastAsia="zh-CN"/>
              </w:rPr>
              <w:t>0.045</w:t>
            </w:r>
            <w:r>
              <w:rPr>
                <w:rFonts w:hint="default" w:ascii="Times New Roman" w:hAnsi="Times New Roman" w:eastAsia="宋体" w:cs="Times New Roman"/>
                <w:color w:val="auto"/>
                <w:sz w:val="24"/>
                <w:szCs w:val="24"/>
                <w:highlight w:val="none"/>
                <w:u w:val="none"/>
                <w:lang w:val="en-US" w:eastAsia="zh-CN"/>
              </w:rPr>
              <w:t>mg/m</w:t>
            </w:r>
            <w:r>
              <w:rPr>
                <w:rFonts w:hint="default" w:ascii="Times New Roman" w:hAnsi="Times New Roman" w:eastAsia="宋体" w:cs="Times New Roman"/>
                <w:color w:val="auto"/>
                <w:sz w:val="24"/>
                <w:szCs w:val="24"/>
                <w:highlight w:val="none"/>
                <w:u w:val="none"/>
                <w:vertAlign w:val="superscript"/>
                <w:lang w:val="en-US" w:eastAsia="zh-CN"/>
              </w:rPr>
              <w:t>3</w:t>
            </w:r>
            <w:r>
              <w:rPr>
                <w:rFonts w:hint="default" w:ascii="Times New Roman" w:hAnsi="Times New Roman" w:eastAsia="宋体" w:cs="Times New Roman"/>
                <w:color w:val="auto"/>
                <w:sz w:val="24"/>
                <w:szCs w:val="24"/>
                <w:highlight w:val="none"/>
                <w:u w:val="none"/>
                <w:lang w:val="en-US" w:eastAsia="zh-CN"/>
              </w:rPr>
              <w:t>）通过15m排气筒</w:t>
            </w:r>
            <w:r>
              <w:rPr>
                <w:rFonts w:hint="eastAsia" w:ascii="Times New Roman" w:hAnsi="Times New Roman" w:eastAsia="宋体" w:cs="Times New Roman"/>
                <w:color w:val="auto"/>
                <w:sz w:val="24"/>
                <w:szCs w:val="24"/>
                <w:highlight w:val="none"/>
                <w:u w:val="none"/>
                <w:lang w:val="en-US" w:eastAsia="zh-CN"/>
              </w:rPr>
              <w:t>（DA001）</w:t>
            </w:r>
            <w:r>
              <w:rPr>
                <w:rFonts w:hint="default" w:ascii="Times New Roman" w:hAnsi="Times New Roman" w:eastAsia="宋体" w:cs="Times New Roman"/>
                <w:color w:val="auto"/>
                <w:sz w:val="24"/>
                <w:szCs w:val="24"/>
                <w:highlight w:val="none"/>
                <w:u w:val="none"/>
                <w:lang w:val="en-US" w:eastAsia="zh-CN"/>
              </w:rPr>
              <w:t>排放</w:t>
            </w:r>
            <w:r>
              <w:rPr>
                <w:rFonts w:hint="eastAsia" w:ascii="Times New Roman" w:hAnsi="Times New Roman" w:eastAsia="宋体" w:cs="Times New Roman"/>
                <w:color w:val="auto"/>
                <w:sz w:val="24"/>
                <w:szCs w:val="24"/>
                <w:highlight w:val="none"/>
                <w:u w:val="none"/>
                <w:lang w:val="en-US" w:eastAsia="zh-CN"/>
              </w:rPr>
              <w:t>；</w:t>
            </w:r>
            <w:r>
              <w:rPr>
                <w:rFonts w:hint="default" w:ascii="Times New Roman" w:hAnsi="Times New Roman" w:eastAsia="宋体" w:cs="Times New Roman"/>
                <w:color w:val="auto"/>
                <w:sz w:val="24"/>
                <w:szCs w:val="24"/>
                <w:highlight w:val="none"/>
                <w:u w:val="none"/>
                <w:lang w:val="en-US" w:eastAsia="zh-CN"/>
              </w:rPr>
              <w:t>经</w:t>
            </w:r>
            <w:r>
              <w:rPr>
                <w:rFonts w:hint="eastAsia" w:ascii="Times New Roman" w:hAnsi="Times New Roman" w:eastAsia="宋体" w:cs="Times New Roman"/>
                <w:color w:val="auto"/>
                <w:sz w:val="24"/>
                <w:szCs w:val="24"/>
                <w:highlight w:val="none"/>
                <w:u w:val="none"/>
                <w:lang w:val="en-US" w:eastAsia="zh-CN"/>
              </w:rPr>
              <w:t>车间负压</w:t>
            </w:r>
            <w:r>
              <w:rPr>
                <w:rFonts w:hint="default" w:ascii="Times New Roman" w:hAnsi="Times New Roman" w:eastAsia="宋体" w:cs="Times New Roman"/>
                <w:color w:val="auto"/>
                <w:sz w:val="24"/>
                <w:szCs w:val="24"/>
                <w:highlight w:val="none"/>
                <w:u w:val="none"/>
                <w:lang w:val="en-US" w:eastAsia="zh-CN"/>
              </w:rPr>
              <w:t>系统收集的非甲烷总烃年产生量为</w:t>
            </w:r>
            <w:r>
              <w:rPr>
                <w:rFonts w:hint="eastAsia" w:ascii="Times New Roman" w:hAnsi="Times New Roman" w:eastAsia="宋体" w:cs="Times New Roman"/>
                <w:color w:val="auto"/>
                <w:sz w:val="24"/>
                <w:szCs w:val="24"/>
                <w:highlight w:val="none"/>
                <w:u w:val="none"/>
                <w:lang w:val="en-US" w:eastAsia="zh-CN"/>
              </w:rPr>
              <w:t>0.045</w:t>
            </w:r>
            <w:r>
              <w:rPr>
                <w:rFonts w:hint="default" w:ascii="Times New Roman" w:hAnsi="Times New Roman" w:eastAsia="宋体" w:cs="Times New Roman"/>
                <w:color w:val="auto"/>
                <w:sz w:val="24"/>
                <w:szCs w:val="24"/>
                <w:highlight w:val="none"/>
                <w:u w:val="none"/>
                <w:lang w:val="en-US" w:eastAsia="zh-CN"/>
              </w:rPr>
              <w:t>t/a（</w:t>
            </w:r>
            <w:r>
              <w:rPr>
                <w:rFonts w:hint="eastAsia" w:ascii="Times New Roman" w:hAnsi="Times New Roman" w:eastAsia="宋体" w:cs="Times New Roman"/>
                <w:color w:val="auto"/>
                <w:sz w:val="24"/>
                <w:szCs w:val="24"/>
                <w:highlight w:val="none"/>
                <w:u w:val="none"/>
                <w:lang w:val="en-US" w:eastAsia="zh-CN"/>
              </w:rPr>
              <w:t>0.075</w:t>
            </w:r>
            <w:r>
              <w:rPr>
                <w:rFonts w:hint="default" w:ascii="Times New Roman" w:hAnsi="Times New Roman" w:eastAsia="宋体" w:cs="Times New Roman"/>
                <w:color w:val="auto"/>
                <w:sz w:val="24"/>
                <w:szCs w:val="24"/>
                <w:highlight w:val="none"/>
                <w:u w:val="none"/>
                <w:lang w:val="en-US" w:eastAsia="zh-CN"/>
              </w:rPr>
              <w:t>kg/h、</w:t>
            </w:r>
            <w:r>
              <w:rPr>
                <w:rFonts w:hint="eastAsia" w:cs="Times New Roman"/>
                <w:color w:val="auto"/>
                <w:sz w:val="24"/>
                <w:szCs w:val="24"/>
                <w:highlight w:val="none"/>
                <w:u w:val="none"/>
                <w:lang w:val="en-US" w:eastAsia="zh-CN"/>
              </w:rPr>
              <w:t>7.5</w:t>
            </w:r>
            <w:r>
              <w:rPr>
                <w:rFonts w:hint="default" w:ascii="Times New Roman" w:hAnsi="Times New Roman" w:eastAsia="宋体" w:cs="Times New Roman"/>
                <w:color w:val="auto"/>
                <w:sz w:val="24"/>
                <w:szCs w:val="24"/>
                <w:highlight w:val="none"/>
                <w:u w:val="none"/>
                <w:lang w:val="en-US" w:eastAsia="zh-CN"/>
              </w:rPr>
              <w:t>mg/m</w:t>
            </w:r>
            <w:r>
              <w:rPr>
                <w:rFonts w:hint="default" w:ascii="Times New Roman" w:hAnsi="Times New Roman" w:eastAsia="宋体" w:cs="Times New Roman"/>
                <w:color w:val="auto"/>
                <w:sz w:val="24"/>
                <w:szCs w:val="24"/>
                <w:highlight w:val="none"/>
                <w:u w:val="none"/>
                <w:vertAlign w:val="superscript"/>
                <w:lang w:val="en-US" w:eastAsia="zh-CN"/>
              </w:rPr>
              <w:t>3</w:t>
            </w:r>
            <w:r>
              <w:rPr>
                <w:rFonts w:hint="default" w:ascii="Times New Roman" w:hAnsi="Times New Roman" w:eastAsia="宋体" w:cs="Times New Roman"/>
                <w:color w:val="auto"/>
                <w:sz w:val="24"/>
                <w:szCs w:val="24"/>
                <w:highlight w:val="none"/>
                <w:u w:val="none"/>
                <w:lang w:val="en-US" w:eastAsia="zh-CN"/>
              </w:rPr>
              <w:t>），经</w:t>
            </w:r>
            <w:r>
              <w:rPr>
                <w:rFonts w:hint="eastAsia" w:ascii="Times New Roman" w:hAnsi="Times New Roman" w:eastAsia="宋体" w:cs="Times New Roman"/>
                <w:color w:val="auto"/>
                <w:sz w:val="24"/>
                <w:szCs w:val="24"/>
                <w:highlight w:val="none"/>
                <w:u w:val="none"/>
                <w:lang w:val="en-US" w:eastAsia="zh-CN"/>
              </w:rPr>
              <w:t>二级</w:t>
            </w:r>
            <w:r>
              <w:rPr>
                <w:rFonts w:hint="default" w:ascii="Times New Roman" w:hAnsi="Times New Roman" w:eastAsia="宋体" w:cs="Times New Roman"/>
                <w:color w:val="auto"/>
                <w:sz w:val="24"/>
                <w:szCs w:val="24"/>
                <w:highlight w:val="none"/>
                <w:u w:val="none"/>
                <w:lang w:val="en-US" w:eastAsia="zh-CN"/>
              </w:rPr>
              <w:t>活性炭吸附</w:t>
            </w:r>
            <w:r>
              <w:rPr>
                <w:rFonts w:hint="eastAsia" w:ascii="Times New Roman" w:hAnsi="Times New Roman" w:eastAsia="宋体" w:cs="Times New Roman"/>
                <w:color w:val="auto"/>
                <w:sz w:val="24"/>
                <w:szCs w:val="24"/>
                <w:highlight w:val="none"/>
                <w:u w:val="none"/>
                <w:lang w:val="en-US" w:eastAsia="zh-CN"/>
              </w:rPr>
              <w:t>设施（TA002）</w:t>
            </w:r>
            <w:r>
              <w:rPr>
                <w:rFonts w:hint="default" w:ascii="Times New Roman" w:hAnsi="Times New Roman" w:eastAsia="宋体" w:cs="Times New Roman"/>
                <w:color w:val="auto"/>
                <w:sz w:val="24"/>
                <w:szCs w:val="24"/>
                <w:highlight w:val="none"/>
                <w:u w:val="none"/>
                <w:lang w:val="en-US" w:eastAsia="zh-CN"/>
              </w:rPr>
              <w:t>处理后非甲烷总烃处理量为</w:t>
            </w:r>
            <w:r>
              <w:rPr>
                <w:rFonts w:hint="eastAsia" w:cs="Times New Roman"/>
                <w:color w:val="auto"/>
                <w:sz w:val="24"/>
                <w:szCs w:val="24"/>
                <w:highlight w:val="none"/>
                <w:u w:val="none"/>
                <w:lang w:val="en-US" w:eastAsia="zh-CN"/>
              </w:rPr>
              <w:t>0.034</w:t>
            </w:r>
            <w:r>
              <w:rPr>
                <w:rFonts w:hint="eastAsia" w:ascii="Times New Roman" w:hAnsi="Times New Roman" w:eastAsia="宋体" w:cs="Times New Roman"/>
                <w:color w:val="auto"/>
                <w:sz w:val="24"/>
                <w:szCs w:val="24"/>
                <w:highlight w:val="none"/>
                <w:u w:val="none"/>
                <w:lang w:val="en-US" w:eastAsia="zh-CN"/>
              </w:rPr>
              <w:t>t/a</w:t>
            </w:r>
            <w:r>
              <w:rPr>
                <w:rFonts w:hint="default" w:ascii="Times New Roman" w:hAnsi="Times New Roman" w:eastAsia="宋体" w:cs="Times New Roman"/>
                <w:color w:val="auto"/>
                <w:sz w:val="24"/>
                <w:szCs w:val="24"/>
                <w:highlight w:val="none"/>
                <w:u w:val="none"/>
                <w:lang w:val="en-US" w:eastAsia="zh-CN"/>
              </w:rPr>
              <w:t>，处理剩余的非甲烷总烃</w:t>
            </w:r>
            <w:r>
              <w:rPr>
                <w:rFonts w:hint="eastAsia" w:cs="Times New Roman"/>
                <w:color w:val="auto"/>
                <w:sz w:val="24"/>
                <w:szCs w:val="24"/>
                <w:highlight w:val="none"/>
                <w:u w:val="none"/>
                <w:lang w:val="en-US" w:eastAsia="zh-CN"/>
              </w:rPr>
              <w:t>0.011</w:t>
            </w:r>
            <w:r>
              <w:rPr>
                <w:rFonts w:hint="default" w:ascii="Times New Roman" w:hAnsi="Times New Roman" w:eastAsia="宋体" w:cs="Times New Roman"/>
                <w:color w:val="auto"/>
                <w:sz w:val="24"/>
                <w:szCs w:val="24"/>
                <w:highlight w:val="none"/>
                <w:u w:val="none"/>
                <w:lang w:val="en-US" w:eastAsia="zh-CN"/>
              </w:rPr>
              <w:t>t/a（</w:t>
            </w:r>
            <w:r>
              <w:rPr>
                <w:rFonts w:hint="eastAsia" w:cs="Times New Roman"/>
                <w:color w:val="auto"/>
                <w:sz w:val="24"/>
                <w:szCs w:val="24"/>
                <w:highlight w:val="none"/>
                <w:u w:val="none"/>
                <w:lang w:val="en-US" w:eastAsia="zh-CN"/>
              </w:rPr>
              <w:t>0.019</w:t>
            </w:r>
            <w:r>
              <w:rPr>
                <w:rFonts w:hint="default" w:ascii="Times New Roman" w:hAnsi="Times New Roman" w:eastAsia="宋体" w:cs="Times New Roman"/>
                <w:color w:val="auto"/>
                <w:sz w:val="24"/>
                <w:szCs w:val="24"/>
                <w:highlight w:val="none"/>
                <w:u w:val="none"/>
                <w:lang w:val="en-US" w:eastAsia="zh-CN"/>
              </w:rPr>
              <w:t>kg/h、</w:t>
            </w:r>
            <w:r>
              <w:rPr>
                <w:rFonts w:hint="eastAsia" w:cs="Times New Roman"/>
                <w:color w:val="auto"/>
                <w:sz w:val="24"/>
                <w:szCs w:val="24"/>
                <w:highlight w:val="none"/>
                <w:u w:val="none"/>
                <w:lang w:val="en-US" w:eastAsia="zh-CN"/>
              </w:rPr>
              <w:t>1.875</w:t>
            </w:r>
            <w:r>
              <w:rPr>
                <w:rFonts w:hint="default" w:ascii="Times New Roman" w:hAnsi="Times New Roman" w:eastAsia="宋体" w:cs="Times New Roman"/>
                <w:color w:val="auto"/>
                <w:sz w:val="24"/>
                <w:szCs w:val="24"/>
                <w:highlight w:val="none"/>
                <w:u w:val="none"/>
                <w:lang w:val="en-US" w:eastAsia="zh-CN"/>
              </w:rPr>
              <w:t>mg/m</w:t>
            </w:r>
            <w:r>
              <w:rPr>
                <w:rFonts w:hint="default" w:ascii="Times New Roman" w:hAnsi="Times New Roman" w:eastAsia="宋体" w:cs="Times New Roman"/>
                <w:color w:val="auto"/>
                <w:sz w:val="24"/>
                <w:szCs w:val="24"/>
                <w:highlight w:val="none"/>
                <w:u w:val="none"/>
                <w:vertAlign w:val="superscript"/>
                <w:lang w:val="en-US" w:eastAsia="zh-CN"/>
              </w:rPr>
              <w:t>3</w:t>
            </w:r>
            <w:r>
              <w:rPr>
                <w:rFonts w:hint="default" w:ascii="Times New Roman" w:hAnsi="Times New Roman" w:eastAsia="宋体" w:cs="Times New Roman"/>
                <w:color w:val="auto"/>
                <w:sz w:val="24"/>
                <w:szCs w:val="24"/>
                <w:highlight w:val="none"/>
                <w:u w:val="none"/>
                <w:lang w:val="en-US" w:eastAsia="zh-CN"/>
              </w:rPr>
              <w:t>）通过15m排气筒</w:t>
            </w:r>
            <w:r>
              <w:rPr>
                <w:rFonts w:hint="eastAsia" w:ascii="Times New Roman" w:hAnsi="Times New Roman" w:eastAsia="宋体" w:cs="Times New Roman"/>
                <w:color w:val="auto"/>
                <w:sz w:val="24"/>
                <w:szCs w:val="24"/>
                <w:highlight w:val="none"/>
                <w:u w:val="none"/>
                <w:lang w:val="en-US" w:eastAsia="zh-CN"/>
              </w:rPr>
              <w:t>（DA002）</w:t>
            </w:r>
            <w:r>
              <w:rPr>
                <w:rFonts w:hint="default" w:ascii="Times New Roman" w:hAnsi="Times New Roman" w:eastAsia="宋体" w:cs="Times New Roman"/>
                <w:color w:val="auto"/>
                <w:sz w:val="24"/>
                <w:szCs w:val="24"/>
                <w:highlight w:val="none"/>
                <w:u w:val="none"/>
                <w:lang w:val="en-US" w:eastAsia="zh-CN"/>
              </w:rPr>
              <w:t>排放</w:t>
            </w:r>
            <w:r>
              <w:rPr>
                <w:rFonts w:hint="eastAsia" w:ascii="Times New Roman" w:hAnsi="Times New Roman" w:eastAsia="宋体" w:cs="Times New Roman"/>
                <w:color w:val="auto"/>
                <w:sz w:val="24"/>
                <w:szCs w:val="24"/>
                <w:highlight w:val="none"/>
                <w:u w:val="none"/>
                <w:lang w:val="en-US" w:eastAsia="zh-CN"/>
              </w:rPr>
              <w:t>；清洗废气非甲烷总烃无组织排放量为0.005t/a（0.008kg/h）。</w:t>
            </w:r>
          </w:p>
          <w:p w14:paraId="648A723B">
            <w:pPr>
              <w:keepNext w:val="0"/>
              <w:keepLines w:val="0"/>
              <w:pageBreakBefore w:val="0"/>
              <w:widowControl w:val="0"/>
              <w:kinsoku/>
              <w:wordWrap/>
              <w:overflowPunct/>
              <w:topLinePunct w:val="0"/>
              <w:autoSpaceDE/>
              <w:autoSpaceDN/>
              <w:bidi w:val="0"/>
              <w:adjustRightInd/>
              <w:snapToGrid/>
              <w:spacing w:line="404" w:lineRule="exact"/>
              <w:ind w:firstLine="480" w:firstLineChars="200"/>
              <w:textAlignment w:val="auto"/>
              <w:rPr>
                <w:rFonts w:hint="default" w:ascii="Times New Roman" w:hAnsi="Times New Roman" w:eastAsia="宋体" w:cs="Times New Roman"/>
                <w:color w:val="auto"/>
                <w:sz w:val="24"/>
                <w:szCs w:val="24"/>
                <w:highlight w:val="none"/>
                <w:u w:val="none"/>
                <w:lang w:val="en-US" w:eastAsia="zh-CN"/>
              </w:rPr>
            </w:pPr>
            <w:r>
              <w:rPr>
                <w:rFonts w:hint="eastAsia" w:ascii="Times New Roman" w:hAnsi="Times New Roman" w:eastAsia="宋体" w:cs="Times New Roman"/>
                <w:color w:val="auto"/>
                <w:sz w:val="24"/>
                <w:szCs w:val="24"/>
                <w:highlight w:val="none"/>
                <w:u w:val="none"/>
                <w:lang w:eastAsia="zh-CN"/>
              </w:rPr>
              <w:t>（</w:t>
            </w:r>
            <w:r>
              <w:rPr>
                <w:rFonts w:hint="eastAsia" w:ascii="Times New Roman" w:hAnsi="Times New Roman" w:eastAsia="宋体" w:cs="Times New Roman"/>
                <w:color w:val="auto"/>
                <w:sz w:val="24"/>
                <w:szCs w:val="24"/>
                <w:highlight w:val="none"/>
                <w:u w:val="none"/>
                <w:lang w:val="en-US" w:eastAsia="zh-CN"/>
              </w:rPr>
              <w:t>6</w:t>
            </w:r>
            <w:r>
              <w:rPr>
                <w:rFonts w:hint="eastAsia" w:ascii="Times New Roman" w:hAnsi="Times New Roman" w:eastAsia="宋体" w:cs="Times New Roman"/>
                <w:color w:val="auto"/>
                <w:sz w:val="24"/>
                <w:szCs w:val="24"/>
                <w:highlight w:val="none"/>
                <w:u w:val="none"/>
                <w:lang w:eastAsia="zh-CN"/>
              </w:rPr>
              <w:t>）</w:t>
            </w:r>
            <w:r>
              <w:rPr>
                <w:rFonts w:hint="eastAsia" w:eastAsia="宋体" w:cs="Times New Roman"/>
                <w:color w:val="auto"/>
                <w:sz w:val="24"/>
                <w:szCs w:val="24"/>
                <w:highlight w:val="none"/>
                <w:u w:val="none"/>
                <w:lang w:val="en-US" w:eastAsia="zh-CN"/>
              </w:rPr>
              <w:t>调漆、喷漆、</w:t>
            </w:r>
            <w:r>
              <w:rPr>
                <w:rFonts w:hint="eastAsia" w:cs="Times New Roman"/>
                <w:color w:val="auto"/>
                <w:sz w:val="24"/>
                <w:szCs w:val="24"/>
                <w:highlight w:val="none"/>
                <w:u w:val="none"/>
                <w:lang w:val="en-US" w:eastAsia="zh-CN"/>
              </w:rPr>
              <w:t>晾干</w:t>
            </w:r>
            <w:r>
              <w:rPr>
                <w:rFonts w:hint="eastAsia" w:eastAsia="宋体" w:cs="Times New Roman"/>
                <w:color w:val="auto"/>
                <w:sz w:val="24"/>
                <w:szCs w:val="24"/>
                <w:highlight w:val="none"/>
                <w:u w:val="none"/>
                <w:lang w:val="en-US" w:eastAsia="zh-CN"/>
              </w:rPr>
              <w:t>、烤漆</w:t>
            </w:r>
            <w:r>
              <w:rPr>
                <w:rFonts w:hint="eastAsia" w:ascii="Times New Roman" w:hAnsi="Times New Roman" w:eastAsia="宋体" w:cs="Times New Roman"/>
                <w:color w:val="auto"/>
                <w:sz w:val="24"/>
                <w:szCs w:val="24"/>
                <w:highlight w:val="none"/>
                <w:u w:val="none"/>
                <w:lang w:val="en-US" w:eastAsia="zh-CN"/>
              </w:rPr>
              <w:t>废气</w:t>
            </w:r>
          </w:p>
          <w:p w14:paraId="67F696CF">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eastAsia" w:ascii="Times New Roman" w:hAnsi="Times New Roman" w:eastAsia="宋体" w:cs="Times New Roman"/>
                <w:color w:val="auto"/>
                <w:sz w:val="24"/>
                <w:szCs w:val="24"/>
                <w:highlight w:val="none"/>
                <w:u w:val="none"/>
                <w:lang w:val="en-US" w:eastAsia="zh-CN"/>
              </w:rPr>
            </w:pPr>
            <w:r>
              <w:rPr>
                <w:rFonts w:hint="eastAsia" w:ascii="Times New Roman" w:hAnsi="Times New Roman" w:eastAsia="宋体" w:cs="Times New Roman"/>
                <w:color w:val="auto"/>
                <w:sz w:val="24"/>
                <w:szCs w:val="24"/>
                <w:highlight w:val="none"/>
                <w:u w:val="none"/>
                <w:lang w:val="en-US" w:eastAsia="zh-CN"/>
              </w:rPr>
              <w:t>项目</w:t>
            </w:r>
            <w:r>
              <w:rPr>
                <w:rFonts w:hint="eastAsia" w:eastAsia="宋体" w:cs="Times New Roman"/>
                <w:color w:val="auto"/>
                <w:sz w:val="24"/>
                <w:szCs w:val="24"/>
                <w:highlight w:val="none"/>
                <w:u w:val="none"/>
                <w:lang w:val="en-US" w:eastAsia="zh-CN"/>
              </w:rPr>
              <w:t>调漆、喷漆、</w:t>
            </w:r>
            <w:r>
              <w:rPr>
                <w:rFonts w:hint="eastAsia" w:cs="Times New Roman"/>
                <w:color w:val="auto"/>
                <w:sz w:val="24"/>
                <w:szCs w:val="24"/>
                <w:highlight w:val="none"/>
                <w:u w:val="none"/>
                <w:lang w:val="en-US" w:eastAsia="zh-CN"/>
              </w:rPr>
              <w:t>晾干</w:t>
            </w:r>
            <w:r>
              <w:rPr>
                <w:rFonts w:hint="eastAsia" w:eastAsia="宋体" w:cs="Times New Roman"/>
                <w:color w:val="auto"/>
                <w:sz w:val="24"/>
                <w:szCs w:val="24"/>
                <w:highlight w:val="none"/>
                <w:u w:val="none"/>
                <w:lang w:val="en-US" w:eastAsia="zh-CN"/>
              </w:rPr>
              <w:t>、烤漆</w:t>
            </w:r>
            <w:r>
              <w:rPr>
                <w:rFonts w:hint="eastAsia" w:ascii="Times New Roman" w:hAnsi="Times New Roman" w:eastAsia="宋体" w:cs="Times New Roman"/>
                <w:color w:val="auto"/>
                <w:sz w:val="24"/>
                <w:szCs w:val="24"/>
                <w:highlight w:val="none"/>
                <w:u w:val="none"/>
                <w:lang w:val="en-US" w:eastAsia="zh-CN"/>
              </w:rPr>
              <w:t>过程中会产生有机废气。项目喷漆工序均在密闭负压喷漆房中进行。</w:t>
            </w:r>
            <w:r>
              <w:rPr>
                <w:rFonts w:hint="eastAsia" w:cs="Times New Roman"/>
                <w:color w:val="auto"/>
                <w:sz w:val="24"/>
                <w:szCs w:val="24"/>
                <w:highlight w:val="none"/>
                <w:u w:val="none"/>
                <w:lang w:val="en-US" w:eastAsia="zh-CN"/>
              </w:rPr>
              <w:t>高铁连接板</w:t>
            </w:r>
            <w:r>
              <w:rPr>
                <w:rFonts w:hint="eastAsia" w:ascii="Times New Roman" w:hAnsi="Times New Roman" w:eastAsia="宋体" w:cs="Times New Roman"/>
                <w:color w:val="auto"/>
                <w:sz w:val="24"/>
                <w:szCs w:val="24"/>
                <w:highlight w:val="none"/>
                <w:u w:val="none"/>
                <w:lang w:val="en-US" w:eastAsia="zh-CN"/>
              </w:rPr>
              <w:t>喷漆、风扇、风罩喷漆以及晾干工序产生的废气经水帘除尘+干式过滤除去颗粒物（漆雾）后，与烤漆废气经活性炭吸附+催化燃烧设施（TA001）处理后通过15m排气筒（DA001）排放；用于</w:t>
            </w:r>
            <w:r>
              <w:rPr>
                <w:rFonts w:hint="eastAsia" w:cs="Times New Roman"/>
                <w:color w:val="auto"/>
                <w:sz w:val="24"/>
                <w:szCs w:val="24"/>
                <w:highlight w:val="none"/>
                <w:u w:val="none"/>
                <w:lang w:val="en-US" w:eastAsia="zh-CN"/>
              </w:rPr>
              <w:t>高铁连接板</w:t>
            </w:r>
            <w:r>
              <w:rPr>
                <w:rFonts w:hint="eastAsia" w:ascii="Times New Roman" w:hAnsi="Times New Roman" w:eastAsia="宋体" w:cs="Times New Roman"/>
                <w:color w:val="auto"/>
                <w:sz w:val="24"/>
                <w:szCs w:val="24"/>
                <w:highlight w:val="none"/>
                <w:u w:val="none"/>
                <w:lang w:val="en-US" w:eastAsia="zh-CN"/>
              </w:rPr>
              <w:t>喷涂的喷漆房与烤漆房位于车间二中的密闭负压车间，</w:t>
            </w:r>
            <w:r>
              <w:rPr>
                <w:rFonts w:hint="eastAsia" w:cs="Times New Roman"/>
                <w:color w:val="auto"/>
                <w:sz w:val="24"/>
                <w:szCs w:val="24"/>
                <w:highlight w:val="none"/>
                <w:u w:val="none"/>
                <w:lang w:val="en-US" w:eastAsia="zh-CN"/>
              </w:rPr>
              <w:t>高铁连接板</w:t>
            </w:r>
            <w:r>
              <w:rPr>
                <w:rFonts w:hint="eastAsia" w:ascii="Times New Roman" w:hAnsi="Times New Roman" w:eastAsia="宋体" w:cs="Times New Roman"/>
                <w:color w:val="auto"/>
                <w:sz w:val="24"/>
                <w:szCs w:val="24"/>
                <w:highlight w:val="none"/>
                <w:u w:val="none"/>
                <w:lang w:val="en-US" w:eastAsia="zh-CN"/>
              </w:rPr>
              <w:t>喷涂的喷漆房与烤漆房未收集的有机废气经密闭车间负压收集后再经二级活性炭吸附设施（TA002）处理后通过15m排气筒（DA002）排放。调漆区于车间二中的密闭负压车间中进行，产生的有机废气经密闭车间负压收集后经二级活性炭吸附设施（TA002）处理后通过15m排气筒（DA002）排放。调漆产生的有机废气以油漆总挥发分的10%计，喷漆、晾干、烘烤产生的有机废气以油漆总挥发分的90%计。参考《主要污染物总量减排核算技术指南（2022年修订）》，负压收集效率为90%，催化燃烧（CO）处理效率取80%，一级活性炭吸附效率为50%。活性炭吸附+催化燃烧设施（TA001）处理效率为90%，二级活性炭吸附设施（TA002）处理效率则为75%计。水帘除尘对漆雾的去除效率按90%计。项目油漆物料平衡图见下图。根据建设单位提供资料，废气处理系统设置风量</w:t>
            </w:r>
            <w:r>
              <w:rPr>
                <w:rFonts w:hint="eastAsia" w:cs="Times New Roman"/>
                <w:color w:val="auto"/>
                <w:sz w:val="24"/>
                <w:szCs w:val="24"/>
                <w:highlight w:val="none"/>
                <w:u w:val="none"/>
                <w:lang w:val="en-US" w:eastAsia="zh-CN"/>
              </w:rPr>
              <w:t>TA001风机风量为</w:t>
            </w:r>
            <w:r>
              <w:rPr>
                <w:rFonts w:hint="eastAsia" w:ascii="Times New Roman" w:hAnsi="Times New Roman" w:eastAsia="宋体" w:cs="Times New Roman"/>
                <w:color w:val="auto"/>
                <w:sz w:val="24"/>
                <w:szCs w:val="24"/>
                <w:highlight w:val="none"/>
                <w:u w:val="none"/>
                <w:lang w:val="en-US" w:eastAsia="zh-CN"/>
              </w:rPr>
              <w:t>2</w:t>
            </w:r>
            <w:r>
              <w:rPr>
                <w:rFonts w:hint="eastAsia" w:cs="Times New Roman"/>
                <w:color w:val="auto"/>
                <w:sz w:val="24"/>
                <w:szCs w:val="24"/>
                <w:highlight w:val="none"/>
                <w:u w:val="none"/>
                <w:lang w:val="en-US" w:eastAsia="zh-CN"/>
              </w:rPr>
              <w:t>8</w:t>
            </w:r>
            <w:r>
              <w:rPr>
                <w:rFonts w:hint="eastAsia" w:ascii="Times New Roman" w:hAnsi="Times New Roman" w:eastAsia="宋体" w:cs="Times New Roman"/>
                <w:color w:val="auto"/>
                <w:sz w:val="24"/>
                <w:szCs w:val="24"/>
                <w:highlight w:val="none"/>
                <w:u w:val="none"/>
                <w:lang w:val="en-US" w:eastAsia="zh-CN"/>
              </w:rPr>
              <w:t>000m</w:t>
            </w:r>
            <w:r>
              <w:rPr>
                <w:rFonts w:hint="eastAsia" w:ascii="Times New Roman" w:hAnsi="Times New Roman" w:eastAsia="宋体" w:cs="Times New Roman"/>
                <w:color w:val="auto"/>
                <w:sz w:val="24"/>
                <w:szCs w:val="24"/>
                <w:highlight w:val="none"/>
                <w:u w:val="none"/>
                <w:vertAlign w:val="superscript"/>
                <w:lang w:val="en-US" w:eastAsia="zh-CN"/>
              </w:rPr>
              <w:t>3</w:t>
            </w:r>
            <w:r>
              <w:rPr>
                <w:rFonts w:hint="eastAsia" w:ascii="Times New Roman" w:hAnsi="Times New Roman" w:eastAsia="宋体" w:cs="Times New Roman"/>
                <w:color w:val="auto"/>
                <w:sz w:val="24"/>
                <w:szCs w:val="24"/>
                <w:highlight w:val="none"/>
                <w:u w:val="none"/>
                <w:lang w:val="en-US" w:eastAsia="zh-CN"/>
              </w:rPr>
              <w:t>/h</w:t>
            </w:r>
            <w:r>
              <w:rPr>
                <w:rFonts w:hint="eastAsia" w:cs="Times New Roman"/>
                <w:color w:val="auto"/>
                <w:sz w:val="24"/>
                <w:szCs w:val="24"/>
                <w:highlight w:val="none"/>
                <w:u w:val="none"/>
                <w:lang w:val="en-US" w:eastAsia="zh-CN"/>
              </w:rPr>
              <w:t>，TA002风机风量为1</w:t>
            </w:r>
            <w:r>
              <w:rPr>
                <w:rFonts w:hint="eastAsia" w:ascii="Times New Roman" w:hAnsi="Times New Roman" w:eastAsia="宋体" w:cs="Times New Roman"/>
                <w:color w:val="auto"/>
                <w:sz w:val="24"/>
                <w:szCs w:val="24"/>
                <w:highlight w:val="none"/>
                <w:u w:val="none"/>
                <w:lang w:val="en-US" w:eastAsia="zh-CN"/>
              </w:rPr>
              <w:t>0000m</w:t>
            </w:r>
            <w:r>
              <w:rPr>
                <w:rFonts w:hint="eastAsia" w:ascii="Times New Roman" w:hAnsi="Times New Roman" w:eastAsia="宋体" w:cs="Times New Roman"/>
                <w:color w:val="auto"/>
                <w:sz w:val="24"/>
                <w:szCs w:val="24"/>
                <w:highlight w:val="none"/>
                <w:u w:val="none"/>
                <w:vertAlign w:val="superscript"/>
                <w:lang w:val="en-US" w:eastAsia="zh-CN"/>
              </w:rPr>
              <w:t>3</w:t>
            </w:r>
            <w:r>
              <w:rPr>
                <w:rFonts w:hint="eastAsia" w:ascii="Times New Roman" w:hAnsi="Times New Roman" w:eastAsia="宋体" w:cs="Times New Roman"/>
                <w:color w:val="auto"/>
                <w:sz w:val="24"/>
                <w:szCs w:val="24"/>
                <w:highlight w:val="none"/>
                <w:u w:val="none"/>
                <w:lang w:val="en-US" w:eastAsia="zh-CN"/>
              </w:rPr>
              <w:t>/h。项目</w:t>
            </w:r>
            <w:r>
              <w:rPr>
                <w:rFonts w:hint="eastAsia" w:eastAsia="宋体" w:cs="Times New Roman"/>
                <w:color w:val="auto"/>
                <w:sz w:val="24"/>
                <w:szCs w:val="24"/>
                <w:highlight w:val="none"/>
                <w:u w:val="none"/>
                <w:lang w:val="en-US" w:eastAsia="zh-CN"/>
              </w:rPr>
              <w:t>调漆、喷漆、</w:t>
            </w:r>
            <w:r>
              <w:rPr>
                <w:rFonts w:hint="eastAsia" w:cs="Times New Roman"/>
                <w:color w:val="auto"/>
                <w:sz w:val="24"/>
                <w:szCs w:val="24"/>
                <w:highlight w:val="none"/>
                <w:u w:val="none"/>
                <w:lang w:val="en-US" w:eastAsia="zh-CN"/>
              </w:rPr>
              <w:t>晾干</w:t>
            </w:r>
            <w:r>
              <w:rPr>
                <w:rFonts w:hint="eastAsia" w:eastAsia="宋体" w:cs="Times New Roman"/>
                <w:color w:val="auto"/>
                <w:sz w:val="24"/>
                <w:szCs w:val="24"/>
                <w:highlight w:val="none"/>
                <w:u w:val="none"/>
                <w:lang w:val="en-US" w:eastAsia="zh-CN"/>
              </w:rPr>
              <w:t>、烤漆</w:t>
            </w:r>
            <w:r>
              <w:rPr>
                <w:rFonts w:hint="eastAsia" w:ascii="Times New Roman" w:hAnsi="Times New Roman" w:eastAsia="宋体" w:cs="Times New Roman"/>
                <w:color w:val="auto"/>
                <w:sz w:val="24"/>
                <w:szCs w:val="24"/>
                <w:highlight w:val="none"/>
                <w:u w:val="none"/>
                <w:lang w:val="en-US" w:eastAsia="zh-CN"/>
              </w:rPr>
              <w:t>过程中会产生有机废气</w:t>
            </w:r>
            <w:r>
              <w:rPr>
                <w:rFonts w:hint="eastAsia" w:cs="Times New Roman"/>
                <w:color w:val="auto"/>
                <w:sz w:val="24"/>
                <w:szCs w:val="24"/>
                <w:highlight w:val="none"/>
                <w:u w:val="none"/>
                <w:lang w:val="en-US" w:eastAsia="zh-CN"/>
              </w:rPr>
              <w:t>情况见下表</w:t>
            </w:r>
            <w:r>
              <w:rPr>
                <w:rFonts w:hint="eastAsia" w:ascii="Times New Roman" w:hAnsi="Times New Roman" w:eastAsia="宋体" w:cs="Times New Roman"/>
                <w:color w:val="auto"/>
                <w:sz w:val="24"/>
                <w:szCs w:val="24"/>
                <w:highlight w:val="none"/>
                <w:u w:val="none"/>
                <w:lang w:val="en-US" w:eastAsia="zh-CN"/>
              </w:rPr>
              <w:t>。</w:t>
            </w:r>
          </w:p>
          <w:p w14:paraId="707B6754">
            <w:pPr>
              <w:adjustRightInd w:val="0"/>
              <w:snapToGrid w:val="0"/>
              <w:spacing w:line="300" w:lineRule="exact"/>
              <w:jc w:val="center"/>
              <w:rPr>
                <w:rFonts w:hint="eastAsia" w:hAnsi="宋体"/>
                <w:b/>
                <w:color w:val="auto"/>
                <w:szCs w:val="21"/>
                <w:highlight w:val="none"/>
                <w:u w:val="none" w:color="auto"/>
              </w:rPr>
            </w:pPr>
            <w:r>
              <w:rPr>
                <w:rFonts w:hint="eastAsia" w:hAnsi="宋体"/>
                <w:b/>
                <w:color w:val="auto"/>
                <w:szCs w:val="21"/>
                <w:highlight w:val="none"/>
                <w:u w:val="none" w:color="auto"/>
              </w:rPr>
              <w:t>表</w:t>
            </w:r>
            <w:r>
              <w:rPr>
                <w:rFonts w:hint="eastAsia" w:hAnsi="宋体"/>
                <w:b/>
                <w:color w:val="auto"/>
                <w:szCs w:val="21"/>
                <w:highlight w:val="none"/>
                <w:u w:val="none" w:color="auto"/>
                <w:lang w:val="en-US" w:eastAsia="zh-CN"/>
              </w:rPr>
              <w:t>4-1  调漆、喷漆、晾干、烤漆废气污染物产排情况</w:t>
            </w:r>
            <w:r>
              <w:rPr>
                <w:rFonts w:hint="eastAsia" w:hAnsi="宋体"/>
                <w:b/>
                <w:color w:val="auto"/>
                <w:szCs w:val="21"/>
                <w:highlight w:val="none"/>
                <w:u w:val="none" w:color="auto"/>
              </w:rPr>
              <w:t>表</w:t>
            </w:r>
          </w:p>
          <w:tbl>
            <w:tblPr>
              <w:tblStyle w:val="31"/>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
              <w:gridCol w:w="690"/>
              <w:gridCol w:w="551"/>
              <w:gridCol w:w="548"/>
              <w:gridCol w:w="735"/>
              <w:gridCol w:w="727"/>
              <w:gridCol w:w="930"/>
              <w:gridCol w:w="872"/>
              <w:gridCol w:w="666"/>
              <w:gridCol w:w="714"/>
              <w:gridCol w:w="823"/>
              <w:gridCol w:w="767"/>
            </w:tblGrid>
            <w:tr w14:paraId="13B78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289" w:type="pct"/>
                  <w:vMerge w:val="restart"/>
                  <w:noWrap w:val="0"/>
                  <w:vAlign w:val="center"/>
                </w:tcPr>
                <w:p w14:paraId="1E04D368">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产排</w:t>
                  </w:r>
                </w:p>
                <w:p w14:paraId="4D4C49B2">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污环节</w:t>
                  </w:r>
                </w:p>
              </w:tc>
              <w:tc>
                <w:tcPr>
                  <w:tcW w:w="405" w:type="pct"/>
                  <w:vMerge w:val="restart"/>
                  <w:noWrap w:val="0"/>
                  <w:vAlign w:val="center"/>
                </w:tcPr>
                <w:p w14:paraId="5B877DEE">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污染物</w:t>
                  </w:r>
                </w:p>
              </w:tc>
              <w:tc>
                <w:tcPr>
                  <w:tcW w:w="323" w:type="pct"/>
                  <w:vMerge w:val="restart"/>
                  <w:noWrap w:val="0"/>
                  <w:vAlign w:val="center"/>
                </w:tcPr>
                <w:p w14:paraId="1E8CDFA0">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排放</w:t>
                  </w:r>
                </w:p>
                <w:p w14:paraId="42688496">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方式</w:t>
                  </w:r>
                </w:p>
              </w:tc>
              <w:tc>
                <w:tcPr>
                  <w:tcW w:w="1180" w:type="pct"/>
                  <w:gridSpan w:val="3"/>
                  <w:noWrap w:val="0"/>
                  <w:vAlign w:val="center"/>
                </w:tcPr>
                <w:p w14:paraId="2DC19380">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污染物产生情况</w:t>
                  </w:r>
                </w:p>
              </w:tc>
              <w:tc>
                <w:tcPr>
                  <w:tcW w:w="1449" w:type="pct"/>
                  <w:gridSpan w:val="3"/>
                  <w:noWrap w:val="0"/>
                  <w:vAlign w:val="center"/>
                </w:tcPr>
                <w:p w14:paraId="7C041B9A">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治理设施</w:t>
                  </w:r>
                </w:p>
              </w:tc>
              <w:tc>
                <w:tcPr>
                  <w:tcW w:w="1352" w:type="pct"/>
                  <w:gridSpan w:val="3"/>
                  <w:noWrap w:val="0"/>
                  <w:vAlign w:val="center"/>
                </w:tcPr>
                <w:p w14:paraId="7E18E074">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污染物排放情况</w:t>
                  </w:r>
                </w:p>
              </w:tc>
            </w:tr>
            <w:tr w14:paraId="57099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289" w:type="pct"/>
                  <w:vMerge w:val="continue"/>
                  <w:noWrap w:val="0"/>
                  <w:vAlign w:val="center"/>
                </w:tcPr>
                <w:p w14:paraId="45CC9406">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p>
              </w:tc>
              <w:tc>
                <w:tcPr>
                  <w:tcW w:w="405" w:type="pct"/>
                  <w:vMerge w:val="continue"/>
                  <w:noWrap w:val="0"/>
                  <w:vAlign w:val="center"/>
                </w:tcPr>
                <w:p w14:paraId="23E805A2">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p>
              </w:tc>
              <w:tc>
                <w:tcPr>
                  <w:tcW w:w="323" w:type="pct"/>
                  <w:vMerge w:val="continue"/>
                  <w:noWrap w:val="0"/>
                  <w:vAlign w:val="center"/>
                </w:tcPr>
                <w:p w14:paraId="0FACD54A">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p>
              </w:tc>
              <w:tc>
                <w:tcPr>
                  <w:tcW w:w="321" w:type="pct"/>
                  <w:noWrap w:val="0"/>
                  <w:vAlign w:val="center"/>
                </w:tcPr>
                <w:p w14:paraId="5CCCC05F">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产生量t/a</w:t>
                  </w:r>
                </w:p>
              </w:tc>
              <w:tc>
                <w:tcPr>
                  <w:tcW w:w="431" w:type="pct"/>
                  <w:noWrap w:val="0"/>
                  <w:vAlign w:val="center"/>
                </w:tcPr>
                <w:p w14:paraId="6A6D5BC2">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浓度</w:t>
                  </w:r>
                </w:p>
                <w:p w14:paraId="5C8FAFDC">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mg/m</w:t>
                  </w:r>
                  <w:r>
                    <w:rPr>
                      <w:rFonts w:hint="default" w:ascii="Times New Roman" w:hAnsi="Times New Roman" w:eastAsia="宋体" w:cs="Times New Roman"/>
                      <w:b/>
                      <w:bCs w:val="0"/>
                      <w:snapToGrid w:val="0"/>
                      <w:color w:val="auto"/>
                      <w:spacing w:val="4"/>
                      <w:sz w:val="21"/>
                      <w:szCs w:val="21"/>
                      <w:u w:val="none" w:color="auto"/>
                      <w:vertAlign w:val="superscript"/>
                    </w:rPr>
                    <w:t>3</w:t>
                  </w:r>
                </w:p>
              </w:tc>
              <w:tc>
                <w:tcPr>
                  <w:tcW w:w="426" w:type="pct"/>
                  <w:noWrap w:val="0"/>
                  <w:vAlign w:val="center"/>
                </w:tcPr>
                <w:p w14:paraId="415A8FFF">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速率</w:t>
                  </w:r>
                </w:p>
                <w:p w14:paraId="7D140EF4">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kg/h</w:t>
                  </w:r>
                </w:p>
              </w:tc>
              <w:tc>
                <w:tcPr>
                  <w:tcW w:w="546" w:type="pct"/>
                  <w:noWrap w:val="0"/>
                  <w:vAlign w:val="center"/>
                </w:tcPr>
                <w:p w14:paraId="3D173DEA">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工艺</w:t>
                  </w:r>
                </w:p>
              </w:tc>
              <w:tc>
                <w:tcPr>
                  <w:tcW w:w="511" w:type="pct"/>
                  <w:noWrap w:val="0"/>
                  <w:vAlign w:val="center"/>
                </w:tcPr>
                <w:p w14:paraId="47577BAC">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效率</w:t>
                  </w:r>
                </w:p>
                <w:p w14:paraId="3F2D34B5">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w:t>
                  </w:r>
                </w:p>
              </w:tc>
              <w:tc>
                <w:tcPr>
                  <w:tcW w:w="391" w:type="pct"/>
                  <w:noWrap w:val="0"/>
                  <w:vAlign w:val="center"/>
                </w:tcPr>
                <w:p w14:paraId="62C7EFD8">
                  <w:pPr>
                    <w:keepNext w:val="0"/>
                    <w:keepLines w:val="0"/>
                    <w:suppressLineNumbers w:val="0"/>
                    <w:wordWrap w:val="0"/>
                    <w:topLinePunct/>
                    <w:spacing w:before="0" w:beforeAutospacing="0" w:after="0" w:afterAutospacing="0" w:line="240" w:lineRule="auto"/>
                    <w:ind w:left="0" w:right="0"/>
                    <w:jc w:val="center"/>
                    <w:rPr>
                      <w:rFonts w:hint="eastAsia" w:ascii="Times New Roman" w:hAnsi="Times New Roman"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排气筒</w:t>
                  </w:r>
                </w:p>
              </w:tc>
              <w:tc>
                <w:tcPr>
                  <w:tcW w:w="419" w:type="pct"/>
                  <w:noWrap w:val="0"/>
                  <w:vAlign w:val="center"/>
                </w:tcPr>
                <w:p w14:paraId="16DC57E8">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排放</w:t>
                  </w:r>
                </w:p>
                <w:p w14:paraId="616C3124">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量t/a</w:t>
                  </w:r>
                </w:p>
              </w:tc>
              <w:tc>
                <w:tcPr>
                  <w:tcW w:w="483" w:type="pct"/>
                  <w:noWrap w:val="0"/>
                  <w:vAlign w:val="center"/>
                </w:tcPr>
                <w:p w14:paraId="2C1D2DBB">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浓度</w:t>
                  </w:r>
                </w:p>
                <w:p w14:paraId="37BF80FD">
                  <w:pPr>
                    <w:keepNext w:val="0"/>
                    <w:keepLines w:val="0"/>
                    <w:suppressLineNumbers w:val="0"/>
                    <w:wordWrap w:val="0"/>
                    <w:topLinePunct/>
                    <w:spacing w:before="0" w:beforeAutospacing="0" w:after="0" w:afterAutospacing="0" w:line="240" w:lineRule="auto"/>
                    <w:ind w:left="0" w:right="0"/>
                    <w:jc w:val="center"/>
                    <w:rPr>
                      <w:rFonts w:hint="eastAsia" w:ascii="Times New Roman" w:hAnsi="Times New Roman" w:eastAsia="宋体" w:cs="Times New Roman"/>
                      <w:b/>
                      <w:bCs w:val="0"/>
                      <w:snapToGrid w:val="0"/>
                      <w:color w:val="auto"/>
                      <w:spacing w:val="4"/>
                      <w:sz w:val="21"/>
                      <w:szCs w:val="21"/>
                      <w:u w:val="none" w:color="auto"/>
                      <w:lang w:val="en-US" w:eastAsia="zh-CN"/>
                    </w:rPr>
                  </w:pPr>
                  <w:r>
                    <w:rPr>
                      <w:rFonts w:hint="default" w:ascii="Times New Roman" w:hAnsi="Times New Roman" w:eastAsia="宋体" w:cs="Times New Roman"/>
                      <w:b/>
                      <w:bCs w:val="0"/>
                      <w:snapToGrid w:val="0"/>
                      <w:color w:val="auto"/>
                      <w:spacing w:val="4"/>
                      <w:sz w:val="21"/>
                      <w:szCs w:val="21"/>
                      <w:u w:val="none" w:color="auto"/>
                    </w:rPr>
                    <w:t>mg/m</w:t>
                  </w:r>
                  <w:r>
                    <w:rPr>
                      <w:rFonts w:hint="eastAsia" w:eastAsia="宋体" w:cs="Times New Roman"/>
                      <w:b/>
                      <w:bCs w:val="0"/>
                      <w:snapToGrid w:val="0"/>
                      <w:color w:val="auto"/>
                      <w:spacing w:val="4"/>
                      <w:sz w:val="21"/>
                      <w:szCs w:val="21"/>
                      <w:u w:val="none" w:color="auto"/>
                      <w:vertAlign w:val="superscript"/>
                      <w:lang w:val="en-US" w:eastAsia="zh-CN"/>
                    </w:rPr>
                    <w:t>3</w:t>
                  </w:r>
                </w:p>
              </w:tc>
              <w:tc>
                <w:tcPr>
                  <w:tcW w:w="450" w:type="pct"/>
                  <w:noWrap w:val="0"/>
                  <w:vAlign w:val="center"/>
                </w:tcPr>
                <w:p w14:paraId="31D3B0F0">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速率</w:t>
                  </w:r>
                </w:p>
                <w:p w14:paraId="4552D394">
                  <w:pPr>
                    <w:keepNext w:val="0"/>
                    <w:keepLines w:val="0"/>
                    <w:suppressLineNumbers w:val="0"/>
                    <w:wordWrap w:val="0"/>
                    <w:topLinePunct/>
                    <w:spacing w:before="0" w:beforeAutospacing="0" w:after="0" w:afterAutospacing="0" w:line="240" w:lineRule="auto"/>
                    <w:ind w:left="0" w:right="0"/>
                    <w:jc w:val="center"/>
                    <w:rPr>
                      <w:rFonts w:hint="default" w:ascii="Times New Roman" w:hAnsi="Times New Roman" w:eastAsia="宋体" w:cs="Times New Roman"/>
                      <w:b/>
                      <w:bCs w:val="0"/>
                      <w:snapToGrid w:val="0"/>
                      <w:color w:val="auto"/>
                      <w:spacing w:val="4"/>
                      <w:sz w:val="21"/>
                      <w:szCs w:val="21"/>
                      <w:u w:val="none" w:color="auto"/>
                    </w:rPr>
                  </w:pPr>
                  <w:r>
                    <w:rPr>
                      <w:rFonts w:hint="default" w:ascii="Times New Roman" w:hAnsi="Times New Roman" w:eastAsia="宋体" w:cs="Times New Roman"/>
                      <w:b/>
                      <w:bCs w:val="0"/>
                      <w:snapToGrid w:val="0"/>
                      <w:color w:val="auto"/>
                      <w:spacing w:val="4"/>
                      <w:sz w:val="21"/>
                      <w:szCs w:val="21"/>
                      <w:u w:val="none" w:color="auto"/>
                    </w:rPr>
                    <w:t>kg/h</w:t>
                  </w:r>
                </w:p>
              </w:tc>
            </w:tr>
            <w:tr w14:paraId="00320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289" w:type="pct"/>
                  <w:vMerge w:val="restart"/>
                  <w:noWrap w:val="0"/>
                  <w:vAlign w:val="center"/>
                </w:tcPr>
                <w:p w14:paraId="2065267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调漆</w:t>
                  </w:r>
                </w:p>
              </w:tc>
              <w:tc>
                <w:tcPr>
                  <w:tcW w:w="405" w:type="pct"/>
                  <w:vMerge w:val="restart"/>
                  <w:noWrap w:val="0"/>
                  <w:vAlign w:val="center"/>
                </w:tcPr>
                <w:p w14:paraId="5494B39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VOCs</w:t>
                  </w:r>
                </w:p>
              </w:tc>
              <w:tc>
                <w:tcPr>
                  <w:tcW w:w="323" w:type="pct"/>
                  <w:noWrap w:val="0"/>
                  <w:vAlign w:val="center"/>
                </w:tcPr>
                <w:p w14:paraId="5426D3F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4F7CE08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0.254 </w:t>
                  </w:r>
                </w:p>
              </w:tc>
              <w:tc>
                <w:tcPr>
                  <w:tcW w:w="735" w:type="dxa"/>
                  <w:noWrap w:val="0"/>
                  <w:vAlign w:val="center"/>
                </w:tcPr>
                <w:p w14:paraId="62F1910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10.583 </w:t>
                  </w:r>
                </w:p>
              </w:tc>
              <w:tc>
                <w:tcPr>
                  <w:tcW w:w="727" w:type="dxa"/>
                  <w:noWrap w:val="0"/>
                  <w:vAlign w:val="center"/>
                </w:tcPr>
                <w:p w14:paraId="608493A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0.106 </w:t>
                  </w:r>
                </w:p>
              </w:tc>
              <w:tc>
                <w:tcPr>
                  <w:tcW w:w="930" w:type="dxa"/>
                  <w:noWrap w:val="0"/>
                  <w:vAlign w:val="center"/>
                </w:tcPr>
                <w:p w14:paraId="304C4E42">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二级活性炭吸附</w:t>
                  </w:r>
                </w:p>
              </w:tc>
              <w:tc>
                <w:tcPr>
                  <w:tcW w:w="872" w:type="dxa"/>
                  <w:noWrap w:val="0"/>
                  <w:vAlign w:val="center"/>
                </w:tcPr>
                <w:p w14:paraId="35728A62">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r>
                    <w:rPr>
                      <w:rFonts w:hint="eastAsia" w:ascii="宋体" w:hAnsi="宋体" w:eastAsia="宋体" w:cs="宋体"/>
                      <w:i w:val="0"/>
                      <w:iCs w:val="0"/>
                      <w:color w:val="000000"/>
                      <w:kern w:val="0"/>
                      <w:sz w:val="21"/>
                      <w:szCs w:val="21"/>
                      <w:u w:val="none"/>
                      <w:lang w:val="en-US" w:eastAsia="zh-CN" w:bidi="ar"/>
                    </w:rPr>
                    <w:t>，处理效率</w:t>
                  </w:r>
                  <w:r>
                    <w:rPr>
                      <w:rFonts w:hint="default" w:ascii="Times New Roman" w:hAnsi="Times New Roman" w:eastAsia="宋体" w:cs="Times New Roman"/>
                      <w:i w:val="0"/>
                      <w:iCs w:val="0"/>
                      <w:color w:val="000000"/>
                      <w:kern w:val="0"/>
                      <w:sz w:val="21"/>
                      <w:szCs w:val="21"/>
                      <w:u w:val="none"/>
                      <w:lang w:val="en-US" w:eastAsia="zh-CN" w:bidi="ar"/>
                    </w:rPr>
                    <w:t>75%</w:t>
                  </w:r>
                </w:p>
              </w:tc>
              <w:tc>
                <w:tcPr>
                  <w:tcW w:w="666" w:type="dxa"/>
                  <w:noWrap w:val="0"/>
                  <w:vAlign w:val="center"/>
                </w:tcPr>
                <w:p w14:paraId="5CE32A79">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DA002</w:t>
                  </w:r>
                </w:p>
              </w:tc>
              <w:tc>
                <w:tcPr>
                  <w:tcW w:w="714" w:type="dxa"/>
                  <w:noWrap w:val="0"/>
                  <w:vAlign w:val="center"/>
                </w:tcPr>
                <w:p w14:paraId="0033655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0.063 </w:t>
                  </w:r>
                </w:p>
              </w:tc>
              <w:tc>
                <w:tcPr>
                  <w:tcW w:w="823" w:type="dxa"/>
                  <w:noWrap w:val="0"/>
                  <w:vAlign w:val="center"/>
                </w:tcPr>
                <w:p w14:paraId="4A953E4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2.646 </w:t>
                  </w:r>
                </w:p>
              </w:tc>
              <w:tc>
                <w:tcPr>
                  <w:tcW w:w="767" w:type="dxa"/>
                  <w:noWrap w:val="0"/>
                  <w:vAlign w:val="center"/>
                </w:tcPr>
                <w:p w14:paraId="50316C0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0.026 </w:t>
                  </w:r>
                </w:p>
              </w:tc>
            </w:tr>
            <w:tr w14:paraId="2AF19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289" w:type="pct"/>
                  <w:vMerge w:val="continue"/>
                  <w:noWrap w:val="0"/>
                  <w:vAlign w:val="center"/>
                </w:tcPr>
                <w:p w14:paraId="7131CD0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250142E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71ED19C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548" w:type="dxa"/>
                  <w:noWrap w:val="0"/>
                  <w:vAlign w:val="center"/>
                </w:tcPr>
                <w:p w14:paraId="487475F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0.028 </w:t>
                  </w:r>
                </w:p>
              </w:tc>
              <w:tc>
                <w:tcPr>
                  <w:tcW w:w="735" w:type="dxa"/>
                  <w:noWrap w:val="0"/>
                  <w:vAlign w:val="center"/>
                </w:tcPr>
                <w:p w14:paraId="0136813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27" w:type="dxa"/>
                  <w:noWrap w:val="0"/>
                  <w:vAlign w:val="center"/>
                </w:tcPr>
                <w:p w14:paraId="071BE22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0.012 </w:t>
                  </w:r>
                </w:p>
              </w:tc>
              <w:tc>
                <w:tcPr>
                  <w:tcW w:w="930" w:type="dxa"/>
                  <w:noWrap w:val="0"/>
                  <w:vAlign w:val="center"/>
                </w:tcPr>
                <w:p w14:paraId="39C0CD80">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872" w:type="dxa"/>
                  <w:noWrap w:val="0"/>
                  <w:vAlign w:val="center"/>
                </w:tcPr>
                <w:p w14:paraId="7516854A">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666" w:type="dxa"/>
                  <w:noWrap w:val="0"/>
                  <w:vAlign w:val="center"/>
                </w:tcPr>
                <w:p w14:paraId="0E231C13">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14" w:type="dxa"/>
                  <w:noWrap w:val="0"/>
                  <w:vAlign w:val="center"/>
                </w:tcPr>
                <w:p w14:paraId="15E13D9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0.028 </w:t>
                  </w:r>
                </w:p>
              </w:tc>
              <w:tc>
                <w:tcPr>
                  <w:tcW w:w="823" w:type="dxa"/>
                  <w:noWrap w:val="0"/>
                  <w:vAlign w:val="center"/>
                </w:tcPr>
                <w:p w14:paraId="7D3CB6B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67" w:type="dxa"/>
                  <w:noWrap w:val="0"/>
                  <w:vAlign w:val="center"/>
                </w:tcPr>
                <w:p w14:paraId="75CE55C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0.012 </w:t>
                  </w:r>
                </w:p>
              </w:tc>
            </w:tr>
            <w:tr w14:paraId="0F0D2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289" w:type="pct"/>
                  <w:vMerge w:val="continue"/>
                  <w:noWrap w:val="0"/>
                  <w:vAlign w:val="center"/>
                </w:tcPr>
                <w:p w14:paraId="25D47E5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restart"/>
                  <w:noWrap w:val="0"/>
                  <w:vAlign w:val="center"/>
                </w:tcPr>
                <w:p w14:paraId="12EF24C2">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二甲苯</w:t>
                  </w:r>
                </w:p>
              </w:tc>
              <w:tc>
                <w:tcPr>
                  <w:tcW w:w="323" w:type="pct"/>
                  <w:noWrap w:val="0"/>
                  <w:vAlign w:val="center"/>
                </w:tcPr>
                <w:p w14:paraId="457C8B6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289B5C9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0.138 </w:t>
                  </w:r>
                </w:p>
              </w:tc>
              <w:tc>
                <w:tcPr>
                  <w:tcW w:w="735" w:type="dxa"/>
                  <w:noWrap w:val="0"/>
                  <w:vAlign w:val="center"/>
                </w:tcPr>
                <w:p w14:paraId="023F27D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5.738 </w:t>
                  </w:r>
                </w:p>
              </w:tc>
              <w:tc>
                <w:tcPr>
                  <w:tcW w:w="727" w:type="dxa"/>
                  <w:noWrap w:val="0"/>
                  <w:vAlign w:val="center"/>
                </w:tcPr>
                <w:p w14:paraId="14B0B43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0.057 </w:t>
                  </w:r>
                </w:p>
              </w:tc>
              <w:tc>
                <w:tcPr>
                  <w:tcW w:w="930" w:type="dxa"/>
                  <w:noWrap w:val="0"/>
                  <w:vAlign w:val="center"/>
                </w:tcPr>
                <w:p w14:paraId="2E9C1CB5">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二级活性炭吸附</w:t>
                  </w:r>
                </w:p>
              </w:tc>
              <w:tc>
                <w:tcPr>
                  <w:tcW w:w="872" w:type="dxa"/>
                  <w:noWrap w:val="0"/>
                  <w:vAlign w:val="center"/>
                </w:tcPr>
                <w:p w14:paraId="615378AC">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r>
                    <w:rPr>
                      <w:rFonts w:hint="eastAsia" w:ascii="宋体" w:hAnsi="宋体" w:eastAsia="宋体" w:cs="宋体"/>
                      <w:i w:val="0"/>
                      <w:iCs w:val="0"/>
                      <w:color w:val="000000"/>
                      <w:kern w:val="0"/>
                      <w:sz w:val="21"/>
                      <w:szCs w:val="21"/>
                      <w:u w:val="none"/>
                      <w:lang w:val="en-US" w:eastAsia="zh-CN" w:bidi="ar"/>
                    </w:rPr>
                    <w:t>，处理效率</w:t>
                  </w:r>
                  <w:r>
                    <w:rPr>
                      <w:rFonts w:hint="default" w:ascii="Times New Roman" w:hAnsi="Times New Roman" w:eastAsia="宋体" w:cs="Times New Roman"/>
                      <w:i w:val="0"/>
                      <w:iCs w:val="0"/>
                      <w:color w:val="000000"/>
                      <w:kern w:val="0"/>
                      <w:sz w:val="21"/>
                      <w:szCs w:val="21"/>
                      <w:u w:val="none"/>
                      <w:lang w:val="en-US" w:eastAsia="zh-CN" w:bidi="ar"/>
                    </w:rPr>
                    <w:t>75%</w:t>
                  </w:r>
                </w:p>
              </w:tc>
              <w:tc>
                <w:tcPr>
                  <w:tcW w:w="666" w:type="dxa"/>
                  <w:noWrap w:val="0"/>
                  <w:vAlign w:val="center"/>
                </w:tcPr>
                <w:p w14:paraId="4806C80D">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DA002</w:t>
                  </w:r>
                </w:p>
              </w:tc>
              <w:tc>
                <w:tcPr>
                  <w:tcW w:w="714" w:type="dxa"/>
                  <w:noWrap w:val="0"/>
                  <w:vAlign w:val="center"/>
                </w:tcPr>
                <w:p w14:paraId="2482E7C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0.034 </w:t>
                  </w:r>
                </w:p>
              </w:tc>
              <w:tc>
                <w:tcPr>
                  <w:tcW w:w="823" w:type="dxa"/>
                  <w:noWrap w:val="0"/>
                  <w:vAlign w:val="center"/>
                </w:tcPr>
                <w:p w14:paraId="2A0060D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1.434 </w:t>
                  </w:r>
                </w:p>
              </w:tc>
              <w:tc>
                <w:tcPr>
                  <w:tcW w:w="767" w:type="dxa"/>
                  <w:noWrap w:val="0"/>
                  <w:vAlign w:val="center"/>
                </w:tcPr>
                <w:p w14:paraId="3E087B8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0.014 </w:t>
                  </w:r>
                </w:p>
              </w:tc>
            </w:tr>
            <w:tr w14:paraId="71C44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289" w:type="pct"/>
                  <w:vMerge w:val="continue"/>
                  <w:noWrap w:val="0"/>
                  <w:vAlign w:val="center"/>
                </w:tcPr>
                <w:p w14:paraId="0F46DE5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37580EE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0652BF75">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548" w:type="dxa"/>
                  <w:noWrap w:val="0"/>
                  <w:vAlign w:val="center"/>
                </w:tcPr>
                <w:p w14:paraId="7A05B03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0.015 </w:t>
                  </w:r>
                </w:p>
              </w:tc>
              <w:tc>
                <w:tcPr>
                  <w:tcW w:w="735" w:type="dxa"/>
                  <w:noWrap w:val="0"/>
                  <w:vAlign w:val="center"/>
                </w:tcPr>
                <w:p w14:paraId="2CF995C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27" w:type="dxa"/>
                  <w:noWrap w:val="0"/>
                  <w:vAlign w:val="center"/>
                </w:tcPr>
                <w:p w14:paraId="3B5305D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0.006 </w:t>
                  </w:r>
                </w:p>
              </w:tc>
              <w:tc>
                <w:tcPr>
                  <w:tcW w:w="930" w:type="dxa"/>
                  <w:noWrap w:val="0"/>
                  <w:vAlign w:val="center"/>
                </w:tcPr>
                <w:p w14:paraId="47043E30">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872" w:type="dxa"/>
                  <w:noWrap w:val="0"/>
                  <w:vAlign w:val="center"/>
                </w:tcPr>
                <w:p w14:paraId="6F98FE04">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666" w:type="dxa"/>
                  <w:noWrap w:val="0"/>
                  <w:vAlign w:val="center"/>
                </w:tcPr>
                <w:p w14:paraId="0422413C">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14" w:type="dxa"/>
                  <w:noWrap w:val="0"/>
                  <w:vAlign w:val="center"/>
                </w:tcPr>
                <w:p w14:paraId="4402238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0.015 </w:t>
                  </w:r>
                </w:p>
              </w:tc>
              <w:tc>
                <w:tcPr>
                  <w:tcW w:w="823" w:type="dxa"/>
                  <w:noWrap w:val="0"/>
                  <w:vAlign w:val="center"/>
                </w:tcPr>
                <w:p w14:paraId="18FC9DA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67" w:type="dxa"/>
                  <w:noWrap w:val="0"/>
                  <w:vAlign w:val="center"/>
                </w:tcPr>
                <w:p w14:paraId="1DA0341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0.006 </w:t>
                  </w:r>
                </w:p>
              </w:tc>
            </w:tr>
            <w:tr w14:paraId="2B39A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289" w:type="pct"/>
                  <w:vMerge w:val="continue"/>
                  <w:noWrap w:val="0"/>
                  <w:vAlign w:val="center"/>
                </w:tcPr>
                <w:p w14:paraId="1A60173F">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restart"/>
                  <w:noWrap w:val="0"/>
                  <w:vAlign w:val="center"/>
                </w:tcPr>
                <w:p w14:paraId="54DDA3D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甲苯</w:t>
                  </w:r>
                </w:p>
              </w:tc>
              <w:tc>
                <w:tcPr>
                  <w:tcW w:w="323" w:type="pct"/>
                  <w:noWrap w:val="0"/>
                  <w:vAlign w:val="center"/>
                </w:tcPr>
                <w:p w14:paraId="0F1AC71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06972DC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0.028 </w:t>
                  </w:r>
                </w:p>
              </w:tc>
              <w:tc>
                <w:tcPr>
                  <w:tcW w:w="735" w:type="dxa"/>
                  <w:noWrap w:val="0"/>
                  <w:vAlign w:val="center"/>
                </w:tcPr>
                <w:p w14:paraId="6074F5B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1.178 </w:t>
                  </w:r>
                </w:p>
              </w:tc>
              <w:tc>
                <w:tcPr>
                  <w:tcW w:w="727" w:type="dxa"/>
                  <w:noWrap w:val="0"/>
                  <w:vAlign w:val="center"/>
                </w:tcPr>
                <w:p w14:paraId="4B0FD15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0.012 </w:t>
                  </w:r>
                </w:p>
              </w:tc>
              <w:tc>
                <w:tcPr>
                  <w:tcW w:w="930" w:type="dxa"/>
                  <w:noWrap w:val="0"/>
                  <w:vAlign w:val="center"/>
                </w:tcPr>
                <w:p w14:paraId="5B1BF6E7">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二级活性炭吸附</w:t>
                  </w:r>
                </w:p>
              </w:tc>
              <w:tc>
                <w:tcPr>
                  <w:tcW w:w="872" w:type="dxa"/>
                  <w:noWrap w:val="0"/>
                  <w:vAlign w:val="center"/>
                </w:tcPr>
                <w:p w14:paraId="5787D9CA">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r>
                    <w:rPr>
                      <w:rFonts w:hint="eastAsia" w:ascii="宋体" w:hAnsi="宋体" w:eastAsia="宋体" w:cs="宋体"/>
                      <w:i w:val="0"/>
                      <w:iCs w:val="0"/>
                      <w:color w:val="000000"/>
                      <w:kern w:val="0"/>
                      <w:sz w:val="21"/>
                      <w:szCs w:val="21"/>
                      <w:u w:val="none"/>
                      <w:lang w:val="en-US" w:eastAsia="zh-CN" w:bidi="ar"/>
                    </w:rPr>
                    <w:t>，处理效率</w:t>
                  </w:r>
                  <w:r>
                    <w:rPr>
                      <w:rFonts w:hint="default" w:ascii="Times New Roman" w:hAnsi="Times New Roman" w:eastAsia="宋体" w:cs="Times New Roman"/>
                      <w:i w:val="0"/>
                      <w:iCs w:val="0"/>
                      <w:color w:val="000000"/>
                      <w:kern w:val="0"/>
                      <w:sz w:val="21"/>
                      <w:szCs w:val="21"/>
                      <w:u w:val="none"/>
                      <w:lang w:val="en-US" w:eastAsia="zh-CN" w:bidi="ar"/>
                    </w:rPr>
                    <w:t>75%</w:t>
                  </w:r>
                </w:p>
              </w:tc>
              <w:tc>
                <w:tcPr>
                  <w:tcW w:w="666" w:type="dxa"/>
                  <w:noWrap w:val="0"/>
                  <w:vAlign w:val="center"/>
                </w:tcPr>
                <w:p w14:paraId="7C72904F">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DA002</w:t>
                  </w:r>
                </w:p>
              </w:tc>
              <w:tc>
                <w:tcPr>
                  <w:tcW w:w="714" w:type="dxa"/>
                  <w:noWrap w:val="0"/>
                  <w:vAlign w:val="center"/>
                </w:tcPr>
                <w:p w14:paraId="29D4139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0.007 </w:t>
                  </w:r>
                </w:p>
              </w:tc>
              <w:tc>
                <w:tcPr>
                  <w:tcW w:w="823" w:type="dxa"/>
                  <w:noWrap w:val="0"/>
                  <w:vAlign w:val="center"/>
                </w:tcPr>
                <w:p w14:paraId="3029DFE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0.294 </w:t>
                  </w:r>
                </w:p>
              </w:tc>
              <w:tc>
                <w:tcPr>
                  <w:tcW w:w="767" w:type="dxa"/>
                  <w:noWrap w:val="0"/>
                  <w:vAlign w:val="center"/>
                </w:tcPr>
                <w:p w14:paraId="27E5343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r>
            <w:tr w14:paraId="7DF05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289" w:type="pct"/>
                  <w:vMerge w:val="continue"/>
                  <w:noWrap w:val="0"/>
                  <w:vAlign w:val="center"/>
                </w:tcPr>
                <w:p w14:paraId="3AB2213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43A0187F">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27335C4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548" w:type="dxa"/>
                  <w:noWrap w:val="0"/>
                  <w:vAlign w:val="center"/>
                </w:tcPr>
                <w:p w14:paraId="1BE753A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0.003 </w:t>
                  </w:r>
                </w:p>
              </w:tc>
              <w:tc>
                <w:tcPr>
                  <w:tcW w:w="735" w:type="dxa"/>
                  <w:noWrap w:val="0"/>
                  <w:vAlign w:val="center"/>
                </w:tcPr>
                <w:p w14:paraId="783FB99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27" w:type="dxa"/>
                  <w:noWrap w:val="0"/>
                  <w:vAlign w:val="center"/>
                </w:tcPr>
                <w:p w14:paraId="171B71D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0.001 </w:t>
                  </w:r>
                </w:p>
              </w:tc>
              <w:tc>
                <w:tcPr>
                  <w:tcW w:w="930" w:type="dxa"/>
                  <w:noWrap w:val="0"/>
                  <w:vAlign w:val="center"/>
                </w:tcPr>
                <w:p w14:paraId="657E937C">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872" w:type="dxa"/>
                  <w:noWrap w:val="0"/>
                  <w:vAlign w:val="center"/>
                </w:tcPr>
                <w:p w14:paraId="6466726B">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666" w:type="dxa"/>
                  <w:noWrap w:val="0"/>
                  <w:vAlign w:val="center"/>
                </w:tcPr>
                <w:p w14:paraId="1BFF6664">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14" w:type="dxa"/>
                  <w:noWrap w:val="0"/>
                  <w:vAlign w:val="center"/>
                </w:tcPr>
                <w:p w14:paraId="452DFDE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0.003 </w:t>
                  </w:r>
                </w:p>
              </w:tc>
              <w:tc>
                <w:tcPr>
                  <w:tcW w:w="823" w:type="dxa"/>
                  <w:noWrap w:val="0"/>
                  <w:vAlign w:val="center"/>
                </w:tcPr>
                <w:p w14:paraId="6311083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67" w:type="dxa"/>
                  <w:noWrap w:val="0"/>
                  <w:vAlign w:val="center"/>
                </w:tcPr>
                <w:p w14:paraId="47B640B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0.001 </w:t>
                  </w:r>
                </w:p>
              </w:tc>
            </w:tr>
            <w:tr w14:paraId="6465C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289" w:type="pct"/>
                  <w:vMerge w:val="restart"/>
                  <w:noWrap w:val="0"/>
                  <w:vAlign w:val="center"/>
                </w:tcPr>
                <w:p w14:paraId="74587D94">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高铁连接板</w:t>
                  </w:r>
                  <w:r>
                    <w:rPr>
                      <w:rFonts w:hint="eastAsia" w:eastAsia="宋体" w:cs="Times New Roman"/>
                      <w:b w:val="0"/>
                      <w:bCs/>
                      <w:snapToGrid w:val="0"/>
                      <w:color w:val="auto"/>
                      <w:spacing w:val="4"/>
                      <w:sz w:val="21"/>
                      <w:szCs w:val="21"/>
                      <w:u w:val="none" w:color="auto"/>
                      <w:lang w:val="en-US" w:eastAsia="zh-CN"/>
                    </w:rPr>
                    <w:t>喷漆、烤漆</w:t>
                  </w:r>
                </w:p>
              </w:tc>
              <w:tc>
                <w:tcPr>
                  <w:tcW w:w="405" w:type="pct"/>
                  <w:vMerge w:val="restart"/>
                  <w:noWrap w:val="0"/>
                  <w:vAlign w:val="center"/>
                </w:tcPr>
                <w:p w14:paraId="266ECEC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漆雾（颗粒物）</w:t>
                  </w:r>
                </w:p>
              </w:tc>
              <w:tc>
                <w:tcPr>
                  <w:tcW w:w="323" w:type="pct"/>
                  <w:noWrap w:val="0"/>
                  <w:vAlign w:val="center"/>
                </w:tcPr>
                <w:p w14:paraId="1CBFAED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08C6AB2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0.636 </w:t>
                  </w:r>
                </w:p>
              </w:tc>
              <w:tc>
                <w:tcPr>
                  <w:tcW w:w="735" w:type="dxa"/>
                  <w:noWrap w:val="0"/>
                  <w:vAlign w:val="center"/>
                </w:tcPr>
                <w:p w14:paraId="5C509BB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9.469 </w:t>
                  </w:r>
                </w:p>
              </w:tc>
              <w:tc>
                <w:tcPr>
                  <w:tcW w:w="727" w:type="dxa"/>
                  <w:noWrap w:val="0"/>
                  <w:vAlign w:val="center"/>
                </w:tcPr>
                <w:p w14:paraId="7A76BDE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0.265 </w:t>
                  </w:r>
                </w:p>
              </w:tc>
              <w:tc>
                <w:tcPr>
                  <w:tcW w:w="930" w:type="dxa"/>
                  <w:noWrap w:val="0"/>
                  <w:vAlign w:val="center"/>
                </w:tcPr>
                <w:p w14:paraId="2B14BA25">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水帘除尘</w:t>
                  </w:r>
                </w:p>
              </w:tc>
              <w:tc>
                <w:tcPr>
                  <w:tcW w:w="872" w:type="dxa"/>
                  <w:noWrap w:val="0"/>
                  <w:vAlign w:val="center"/>
                </w:tcPr>
                <w:p w14:paraId="249A6177">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r>
                    <w:rPr>
                      <w:rFonts w:hint="eastAsia" w:ascii="宋体" w:hAnsi="宋体" w:eastAsia="宋体" w:cs="宋体"/>
                      <w:i w:val="0"/>
                      <w:iCs w:val="0"/>
                      <w:color w:val="000000"/>
                      <w:kern w:val="0"/>
                      <w:sz w:val="21"/>
                      <w:szCs w:val="21"/>
                      <w:u w:val="none"/>
                      <w:lang w:val="en-US" w:eastAsia="zh-CN" w:bidi="ar"/>
                    </w:rPr>
                    <w:t>，处理效率</w:t>
                  </w:r>
                  <w:r>
                    <w:rPr>
                      <w:rFonts w:hint="default" w:ascii="Times New Roman" w:hAnsi="Times New Roman" w:eastAsia="宋体" w:cs="Times New Roman"/>
                      <w:i w:val="0"/>
                      <w:iCs w:val="0"/>
                      <w:color w:val="000000"/>
                      <w:kern w:val="0"/>
                      <w:sz w:val="21"/>
                      <w:szCs w:val="21"/>
                      <w:u w:val="none"/>
                      <w:lang w:val="en-US" w:eastAsia="zh-CN" w:bidi="ar"/>
                    </w:rPr>
                    <w:t>90%</w:t>
                  </w:r>
                </w:p>
              </w:tc>
              <w:tc>
                <w:tcPr>
                  <w:tcW w:w="666" w:type="dxa"/>
                  <w:noWrap w:val="0"/>
                  <w:vAlign w:val="center"/>
                </w:tcPr>
                <w:p w14:paraId="139AA951">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DA001</w:t>
                  </w:r>
                </w:p>
              </w:tc>
              <w:tc>
                <w:tcPr>
                  <w:tcW w:w="714" w:type="dxa"/>
                  <w:noWrap w:val="0"/>
                  <w:vAlign w:val="center"/>
                </w:tcPr>
                <w:p w14:paraId="4340C04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0.064 </w:t>
                  </w:r>
                </w:p>
              </w:tc>
              <w:tc>
                <w:tcPr>
                  <w:tcW w:w="823" w:type="dxa"/>
                  <w:noWrap w:val="0"/>
                  <w:vAlign w:val="center"/>
                </w:tcPr>
                <w:p w14:paraId="4E8F455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0.947 </w:t>
                  </w:r>
                </w:p>
              </w:tc>
              <w:tc>
                <w:tcPr>
                  <w:tcW w:w="767" w:type="dxa"/>
                  <w:noWrap w:val="0"/>
                  <w:vAlign w:val="center"/>
                </w:tcPr>
                <w:p w14:paraId="42C79C9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0.027 </w:t>
                  </w:r>
                </w:p>
              </w:tc>
            </w:tr>
            <w:tr w14:paraId="4EC13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289" w:type="pct"/>
                  <w:vMerge w:val="continue"/>
                  <w:noWrap w:val="0"/>
                  <w:vAlign w:val="center"/>
                </w:tcPr>
                <w:p w14:paraId="11FF4F5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6CF85BD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6DDCC12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466D235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0.064 </w:t>
                  </w:r>
                </w:p>
              </w:tc>
              <w:tc>
                <w:tcPr>
                  <w:tcW w:w="735" w:type="dxa"/>
                  <w:noWrap w:val="0"/>
                  <w:vAlign w:val="center"/>
                </w:tcPr>
                <w:p w14:paraId="3B1FFFA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2.651 </w:t>
                  </w:r>
                </w:p>
              </w:tc>
              <w:tc>
                <w:tcPr>
                  <w:tcW w:w="727" w:type="dxa"/>
                  <w:noWrap w:val="0"/>
                  <w:vAlign w:val="center"/>
                </w:tcPr>
                <w:p w14:paraId="5F96B04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0.027 </w:t>
                  </w:r>
                </w:p>
              </w:tc>
              <w:tc>
                <w:tcPr>
                  <w:tcW w:w="930" w:type="dxa"/>
                  <w:noWrap w:val="0"/>
                  <w:vAlign w:val="center"/>
                </w:tcPr>
                <w:p w14:paraId="70C40447">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p>
              </w:tc>
              <w:tc>
                <w:tcPr>
                  <w:tcW w:w="872" w:type="dxa"/>
                  <w:noWrap w:val="0"/>
                  <w:vAlign w:val="center"/>
                </w:tcPr>
                <w:p w14:paraId="3B537397">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p>
              </w:tc>
              <w:tc>
                <w:tcPr>
                  <w:tcW w:w="666" w:type="dxa"/>
                  <w:noWrap w:val="0"/>
                  <w:vAlign w:val="center"/>
                </w:tcPr>
                <w:p w14:paraId="3067CAFD">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DA002</w:t>
                  </w:r>
                </w:p>
              </w:tc>
              <w:tc>
                <w:tcPr>
                  <w:tcW w:w="714" w:type="dxa"/>
                  <w:noWrap w:val="0"/>
                  <w:vAlign w:val="center"/>
                </w:tcPr>
                <w:p w14:paraId="6A2DDB2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0.064 </w:t>
                  </w:r>
                </w:p>
              </w:tc>
              <w:tc>
                <w:tcPr>
                  <w:tcW w:w="823" w:type="dxa"/>
                  <w:noWrap w:val="0"/>
                  <w:vAlign w:val="center"/>
                </w:tcPr>
                <w:p w14:paraId="44E1DB3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2.651 </w:t>
                  </w:r>
                </w:p>
              </w:tc>
              <w:tc>
                <w:tcPr>
                  <w:tcW w:w="767" w:type="dxa"/>
                  <w:noWrap w:val="0"/>
                  <w:vAlign w:val="center"/>
                </w:tcPr>
                <w:p w14:paraId="7DDB7EC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0.027 </w:t>
                  </w:r>
                </w:p>
              </w:tc>
            </w:tr>
            <w:tr w14:paraId="4A217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289" w:type="pct"/>
                  <w:vMerge w:val="continue"/>
                  <w:noWrap w:val="0"/>
                  <w:vAlign w:val="center"/>
                </w:tcPr>
                <w:p w14:paraId="6FAECEE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39F7A932">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16BA10C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无组织</w:t>
                  </w:r>
                </w:p>
              </w:tc>
              <w:tc>
                <w:tcPr>
                  <w:tcW w:w="548" w:type="dxa"/>
                  <w:noWrap w:val="0"/>
                  <w:vAlign w:val="center"/>
                </w:tcPr>
                <w:p w14:paraId="7300014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0.007 </w:t>
                  </w:r>
                </w:p>
              </w:tc>
              <w:tc>
                <w:tcPr>
                  <w:tcW w:w="735" w:type="dxa"/>
                  <w:noWrap w:val="0"/>
                  <w:vAlign w:val="center"/>
                </w:tcPr>
                <w:p w14:paraId="533FB24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727" w:type="dxa"/>
                  <w:noWrap w:val="0"/>
                  <w:vAlign w:val="center"/>
                </w:tcPr>
                <w:p w14:paraId="6535465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c>
                <w:tcPr>
                  <w:tcW w:w="930" w:type="dxa"/>
                  <w:noWrap w:val="0"/>
                  <w:vAlign w:val="center"/>
                </w:tcPr>
                <w:p w14:paraId="06B2AB9D">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872" w:type="dxa"/>
                  <w:noWrap w:val="0"/>
                  <w:vAlign w:val="center"/>
                </w:tcPr>
                <w:p w14:paraId="7665EFC2">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66" w:type="dxa"/>
                  <w:noWrap w:val="0"/>
                  <w:vAlign w:val="center"/>
                </w:tcPr>
                <w:p w14:paraId="09E09B5A">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714" w:type="dxa"/>
                  <w:noWrap w:val="0"/>
                  <w:vAlign w:val="center"/>
                </w:tcPr>
                <w:p w14:paraId="3EB4F63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0.007 </w:t>
                  </w:r>
                </w:p>
              </w:tc>
              <w:tc>
                <w:tcPr>
                  <w:tcW w:w="823" w:type="dxa"/>
                  <w:noWrap w:val="0"/>
                  <w:vAlign w:val="center"/>
                </w:tcPr>
                <w:p w14:paraId="76A9BDE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767" w:type="dxa"/>
                  <w:noWrap w:val="0"/>
                  <w:vAlign w:val="center"/>
                </w:tcPr>
                <w:p w14:paraId="5BFDE77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r>
            <w:tr w14:paraId="09D72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289" w:type="pct"/>
                  <w:vMerge w:val="continue"/>
                  <w:noWrap w:val="0"/>
                  <w:vAlign w:val="center"/>
                </w:tcPr>
                <w:p w14:paraId="63B36F1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restart"/>
                  <w:noWrap w:val="0"/>
                  <w:vAlign w:val="center"/>
                </w:tcPr>
                <w:p w14:paraId="27620FC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VOCs</w:t>
                  </w:r>
                </w:p>
              </w:tc>
              <w:tc>
                <w:tcPr>
                  <w:tcW w:w="323" w:type="pct"/>
                  <w:noWrap w:val="0"/>
                  <w:vAlign w:val="center"/>
                </w:tcPr>
                <w:p w14:paraId="42C574E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4F71D0E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2.123 </w:t>
                  </w:r>
                </w:p>
              </w:tc>
              <w:tc>
                <w:tcPr>
                  <w:tcW w:w="735" w:type="dxa"/>
                  <w:noWrap w:val="0"/>
                  <w:vAlign w:val="center"/>
                </w:tcPr>
                <w:p w14:paraId="0348387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31.592 </w:t>
                  </w:r>
                </w:p>
              </w:tc>
              <w:tc>
                <w:tcPr>
                  <w:tcW w:w="727" w:type="dxa"/>
                  <w:noWrap w:val="0"/>
                  <w:vAlign w:val="center"/>
                </w:tcPr>
                <w:p w14:paraId="7E8FF6F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0.885 </w:t>
                  </w:r>
                </w:p>
              </w:tc>
              <w:tc>
                <w:tcPr>
                  <w:tcW w:w="930" w:type="dxa"/>
                  <w:noWrap w:val="0"/>
                  <w:vAlign w:val="center"/>
                </w:tcPr>
                <w:p w14:paraId="7078968E">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活性炭吸附</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催化燃烧</w:t>
                  </w:r>
                </w:p>
              </w:tc>
              <w:tc>
                <w:tcPr>
                  <w:tcW w:w="872" w:type="dxa"/>
                  <w:noWrap w:val="0"/>
                  <w:vAlign w:val="center"/>
                </w:tcPr>
                <w:p w14:paraId="3F1A4D50">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r>
                    <w:rPr>
                      <w:rFonts w:hint="eastAsia" w:ascii="宋体" w:hAnsi="宋体" w:eastAsia="宋体" w:cs="宋体"/>
                      <w:i w:val="0"/>
                      <w:iCs w:val="0"/>
                      <w:color w:val="000000"/>
                      <w:kern w:val="0"/>
                      <w:sz w:val="21"/>
                      <w:szCs w:val="21"/>
                      <w:u w:val="none"/>
                      <w:lang w:val="en-US" w:eastAsia="zh-CN" w:bidi="ar"/>
                    </w:rPr>
                    <w:t>，处理效率90</w:t>
                  </w:r>
                  <w:r>
                    <w:rPr>
                      <w:rFonts w:hint="default" w:ascii="Times New Roman" w:hAnsi="Times New Roman" w:eastAsia="宋体" w:cs="Times New Roman"/>
                      <w:i w:val="0"/>
                      <w:iCs w:val="0"/>
                      <w:color w:val="000000"/>
                      <w:kern w:val="0"/>
                      <w:sz w:val="21"/>
                      <w:szCs w:val="21"/>
                      <w:u w:val="none"/>
                      <w:lang w:val="en-US" w:eastAsia="zh-CN" w:bidi="ar"/>
                    </w:rPr>
                    <w:t>%</w:t>
                  </w:r>
                </w:p>
              </w:tc>
              <w:tc>
                <w:tcPr>
                  <w:tcW w:w="666" w:type="dxa"/>
                  <w:noWrap w:val="0"/>
                  <w:vAlign w:val="center"/>
                </w:tcPr>
                <w:p w14:paraId="0B7C146E">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DA001</w:t>
                  </w:r>
                </w:p>
              </w:tc>
              <w:tc>
                <w:tcPr>
                  <w:tcW w:w="714" w:type="dxa"/>
                  <w:noWrap w:val="0"/>
                  <w:vAlign w:val="center"/>
                </w:tcPr>
                <w:p w14:paraId="24916BA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0.212 </w:t>
                  </w:r>
                </w:p>
              </w:tc>
              <w:tc>
                <w:tcPr>
                  <w:tcW w:w="823" w:type="dxa"/>
                  <w:noWrap w:val="0"/>
                  <w:vAlign w:val="center"/>
                </w:tcPr>
                <w:p w14:paraId="2F1DA98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3.159 </w:t>
                  </w:r>
                </w:p>
              </w:tc>
              <w:tc>
                <w:tcPr>
                  <w:tcW w:w="767" w:type="dxa"/>
                  <w:noWrap w:val="0"/>
                  <w:vAlign w:val="center"/>
                </w:tcPr>
                <w:p w14:paraId="4D6A676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0.088 </w:t>
                  </w:r>
                </w:p>
              </w:tc>
            </w:tr>
            <w:tr w14:paraId="5A67B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289" w:type="pct"/>
                  <w:vMerge w:val="continue"/>
                  <w:noWrap w:val="0"/>
                  <w:vAlign w:val="center"/>
                </w:tcPr>
                <w:p w14:paraId="3A5C72B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192E5F15">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770BE24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3200570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0.212 </w:t>
                  </w:r>
                </w:p>
              </w:tc>
              <w:tc>
                <w:tcPr>
                  <w:tcW w:w="735" w:type="dxa"/>
                  <w:noWrap w:val="0"/>
                  <w:vAlign w:val="center"/>
                </w:tcPr>
                <w:p w14:paraId="2874680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8.846 </w:t>
                  </w:r>
                </w:p>
              </w:tc>
              <w:tc>
                <w:tcPr>
                  <w:tcW w:w="727" w:type="dxa"/>
                  <w:noWrap w:val="0"/>
                  <w:vAlign w:val="center"/>
                </w:tcPr>
                <w:p w14:paraId="5CA4C73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0.088 </w:t>
                  </w:r>
                </w:p>
              </w:tc>
              <w:tc>
                <w:tcPr>
                  <w:tcW w:w="930" w:type="dxa"/>
                  <w:noWrap w:val="0"/>
                  <w:vAlign w:val="center"/>
                </w:tcPr>
                <w:p w14:paraId="0B1DBDAA">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二级活性炭吸附</w:t>
                  </w:r>
                </w:p>
              </w:tc>
              <w:tc>
                <w:tcPr>
                  <w:tcW w:w="872" w:type="dxa"/>
                  <w:noWrap w:val="0"/>
                  <w:vAlign w:val="center"/>
                </w:tcPr>
                <w:p w14:paraId="2CAAD12E">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r>
                    <w:rPr>
                      <w:rFonts w:hint="eastAsia" w:ascii="宋体" w:hAnsi="宋体" w:eastAsia="宋体" w:cs="宋体"/>
                      <w:i w:val="0"/>
                      <w:iCs w:val="0"/>
                      <w:color w:val="000000"/>
                      <w:kern w:val="0"/>
                      <w:sz w:val="21"/>
                      <w:szCs w:val="21"/>
                      <w:u w:val="none"/>
                      <w:lang w:val="en-US" w:eastAsia="zh-CN" w:bidi="ar"/>
                    </w:rPr>
                    <w:t>，处理效率</w:t>
                  </w:r>
                  <w:r>
                    <w:rPr>
                      <w:rFonts w:hint="default" w:ascii="Times New Roman" w:hAnsi="Times New Roman" w:eastAsia="宋体" w:cs="Times New Roman"/>
                      <w:i w:val="0"/>
                      <w:iCs w:val="0"/>
                      <w:color w:val="000000"/>
                      <w:kern w:val="0"/>
                      <w:sz w:val="21"/>
                      <w:szCs w:val="21"/>
                      <w:u w:val="none"/>
                      <w:lang w:val="en-US" w:eastAsia="zh-CN" w:bidi="ar"/>
                    </w:rPr>
                    <w:t>75%</w:t>
                  </w:r>
                </w:p>
              </w:tc>
              <w:tc>
                <w:tcPr>
                  <w:tcW w:w="666" w:type="dxa"/>
                  <w:noWrap w:val="0"/>
                  <w:vAlign w:val="center"/>
                </w:tcPr>
                <w:p w14:paraId="27019785">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DA002</w:t>
                  </w:r>
                </w:p>
              </w:tc>
              <w:tc>
                <w:tcPr>
                  <w:tcW w:w="714" w:type="dxa"/>
                  <w:noWrap w:val="0"/>
                  <w:vAlign w:val="center"/>
                </w:tcPr>
                <w:p w14:paraId="3B55B6A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0.053 </w:t>
                  </w:r>
                </w:p>
              </w:tc>
              <w:tc>
                <w:tcPr>
                  <w:tcW w:w="823" w:type="dxa"/>
                  <w:noWrap w:val="0"/>
                  <w:vAlign w:val="center"/>
                </w:tcPr>
                <w:p w14:paraId="72269E5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2.211 </w:t>
                  </w:r>
                </w:p>
              </w:tc>
              <w:tc>
                <w:tcPr>
                  <w:tcW w:w="767" w:type="dxa"/>
                  <w:noWrap w:val="0"/>
                  <w:vAlign w:val="center"/>
                </w:tcPr>
                <w:p w14:paraId="4C31CB4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0.022 </w:t>
                  </w:r>
                </w:p>
              </w:tc>
            </w:tr>
            <w:tr w14:paraId="29589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289" w:type="pct"/>
                  <w:vMerge w:val="continue"/>
                  <w:noWrap w:val="0"/>
                  <w:vAlign w:val="center"/>
                </w:tcPr>
                <w:p w14:paraId="11314E3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08D7670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723873B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548" w:type="dxa"/>
                  <w:noWrap w:val="0"/>
                  <w:vAlign w:val="center"/>
                </w:tcPr>
                <w:p w14:paraId="0D68472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0.024 </w:t>
                  </w:r>
                </w:p>
              </w:tc>
              <w:tc>
                <w:tcPr>
                  <w:tcW w:w="735" w:type="dxa"/>
                  <w:noWrap w:val="0"/>
                  <w:vAlign w:val="center"/>
                </w:tcPr>
                <w:p w14:paraId="7E75F3F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27" w:type="dxa"/>
                  <w:noWrap w:val="0"/>
                  <w:vAlign w:val="center"/>
                </w:tcPr>
                <w:p w14:paraId="6FA34B7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0.010 </w:t>
                  </w:r>
                </w:p>
              </w:tc>
              <w:tc>
                <w:tcPr>
                  <w:tcW w:w="930" w:type="dxa"/>
                  <w:noWrap w:val="0"/>
                  <w:vAlign w:val="center"/>
                </w:tcPr>
                <w:p w14:paraId="22197629">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872" w:type="dxa"/>
                  <w:noWrap w:val="0"/>
                  <w:vAlign w:val="center"/>
                </w:tcPr>
                <w:p w14:paraId="23D830EA">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666" w:type="dxa"/>
                  <w:noWrap w:val="0"/>
                  <w:vAlign w:val="center"/>
                </w:tcPr>
                <w:p w14:paraId="3FA0A477">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14" w:type="dxa"/>
                  <w:noWrap w:val="0"/>
                  <w:vAlign w:val="center"/>
                </w:tcPr>
                <w:p w14:paraId="154A5A5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0.024 </w:t>
                  </w:r>
                </w:p>
              </w:tc>
              <w:tc>
                <w:tcPr>
                  <w:tcW w:w="823" w:type="dxa"/>
                  <w:noWrap w:val="0"/>
                  <w:vAlign w:val="center"/>
                </w:tcPr>
                <w:p w14:paraId="52B1D24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67" w:type="dxa"/>
                  <w:noWrap w:val="0"/>
                  <w:vAlign w:val="center"/>
                </w:tcPr>
                <w:p w14:paraId="3170D13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0.010 </w:t>
                  </w:r>
                </w:p>
              </w:tc>
            </w:tr>
            <w:tr w14:paraId="21B13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289" w:type="pct"/>
                  <w:vMerge w:val="continue"/>
                  <w:noWrap w:val="0"/>
                  <w:vAlign w:val="center"/>
                </w:tcPr>
                <w:p w14:paraId="6D97200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restart"/>
                  <w:noWrap w:val="0"/>
                  <w:vAlign w:val="center"/>
                </w:tcPr>
                <w:p w14:paraId="228048D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二甲苯</w:t>
                  </w:r>
                </w:p>
              </w:tc>
              <w:tc>
                <w:tcPr>
                  <w:tcW w:w="323" w:type="pct"/>
                  <w:noWrap w:val="0"/>
                  <w:vAlign w:val="center"/>
                </w:tcPr>
                <w:p w14:paraId="5EB86614">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66DD4C6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1.158 </w:t>
                  </w:r>
                </w:p>
              </w:tc>
              <w:tc>
                <w:tcPr>
                  <w:tcW w:w="735" w:type="dxa"/>
                  <w:noWrap w:val="0"/>
                  <w:vAlign w:val="center"/>
                </w:tcPr>
                <w:p w14:paraId="2C19D6D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17.237 </w:t>
                  </w:r>
                </w:p>
              </w:tc>
              <w:tc>
                <w:tcPr>
                  <w:tcW w:w="727" w:type="dxa"/>
                  <w:noWrap w:val="0"/>
                  <w:vAlign w:val="center"/>
                </w:tcPr>
                <w:p w14:paraId="2E5C91C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0.483 </w:t>
                  </w:r>
                </w:p>
              </w:tc>
              <w:tc>
                <w:tcPr>
                  <w:tcW w:w="930" w:type="dxa"/>
                  <w:noWrap w:val="0"/>
                  <w:vAlign w:val="center"/>
                </w:tcPr>
                <w:p w14:paraId="514BA47B">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活性炭吸附</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催化燃烧</w:t>
                  </w:r>
                </w:p>
              </w:tc>
              <w:tc>
                <w:tcPr>
                  <w:tcW w:w="872" w:type="dxa"/>
                  <w:noWrap w:val="0"/>
                  <w:vAlign w:val="center"/>
                </w:tcPr>
                <w:p w14:paraId="60AA5265">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r>
                    <w:rPr>
                      <w:rFonts w:hint="eastAsia" w:ascii="宋体" w:hAnsi="宋体" w:eastAsia="宋体" w:cs="宋体"/>
                      <w:i w:val="0"/>
                      <w:iCs w:val="0"/>
                      <w:color w:val="000000"/>
                      <w:kern w:val="0"/>
                      <w:sz w:val="21"/>
                      <w:szCs w:val="21"/>
                      <w:u w:val="none"/>
                      <w:lang w:val="en-US" w:eastAsia="zh-CN" w:bidi="ar"/>
                    </w:rPr>
                    <w:t>，处理效率90</w:t>
                  </w:r>
                  <w:r>
                    <w:rPr>
                      <w:rFonts w:hint="default" w:ascii="Times New Roman" w:hAnsi="Times New Roman" w:eastAsia="宋体" w:cs="Times New Roman"/>
                      <w:i w:val="0"/>
                      <w:iCs w:val="0"/>
                      <w:color w:val="000000"/>
                      <w:kern w:val="0"/>
                      <w:sz w:val="21"/>
                      <w:szCs w:val="21"/>
                      <w:u w:val="none"/>
                      <w:lang w:val="en-US" w:eastAsia="zh-CN" w:bidi="ar"/>
                    </w:rPr>
                    <w:t>%</w:t>
                  </w:r>
                </w:p>
              </w:tc>
              <w:tc>
                <w:tcPr>
                  <w:tcW w:w="666" w:type="dxa"/>
                  <w:noWrap w:val="0"/>
                  <w:vAlign w:val="center"/>
                </w:tcPr>
                <w:p w14:paraId="1F54E6E3">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DA001</w:t>
                  </w:r>
                </w:p>
              </w:tc>
              <w:tc>
                <w:tcPr>
                  <w:tcW w:w="714" w:type="dxa"/>
                  <w:noWrap w:val="0"/>
                  <w:vAlign w:val="center"/>
                </w:tcPr>
                <w:p w14:paraId="55D5E3B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0.116 </w:t>
                  </w:r>
                </w:p>
              </w:tc>
              <w:tc>
                <w:tcPr>
                  <w:tcW w:w="823" w:type="dxa"/>
                  <w:noWrap w:val="0"/>
                  <w:vAlign w:val="center"/>
                </w:tcPr>
                <w:p w14:paraId="1653D39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1.724 </w:t>
                  </w:r>
                </w:p>
              </w:tc>
              <w:tc>
                <w:tcPr>
                  <w:tcW w:w="767" w:type="dxa"/>
                  <w:noWrap w:val="0"/>
                  <w:vAlign w:val="center"/>
                </w:tcPr>
                <w:p w14:paraId="6FB16CC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0.048 </w:t>
                  </w:r>
                </w:p>
              </w:tc>
            </w:tr>
            <w:tr w14:paraId="05504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289" w:type="pct"/>
                  <w:vMerge w:val="continue"/>
                  <w:noWrap w:val="0"/>
                  <w:vAlign w:val="center"/>
                </w:tcPr>
                <w:p w14:paraId="4221321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1164ADE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1BEB4C9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4446465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0.116 </w:t>
                  </w:r>
                </w:p>
              </w:tc>
              <w:tc>
                <w:tcPr>
                  <w:tcW w:w="735" w:type="dxa"/>
                  <w:noWrap w:val="0"/>
                  <w:vAlign w:val="center"/>
                </w:tcPr>
                <w:p w14:paraId="727FA17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4.826 </w:t>
                  </w:r>
                </w:p>
              </w:tc>
              <w:tc>
                <w:tcPr>
                  <w:tcW w:w="727" w:type="dxa"/>
                  <w:noWrap w:val="0"/>
                  <w:vAlign w:val="center"/>
                </w:tcPr>
                <w:p w14:paraId="59C3078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0.048 </w:t>
                  </w:r>
                </w:p>
              </w:tc>
              <w:tc>
                <w:tcPr>
                  <w:tcW w:w="930" w:type="dxa"/>
                  <w:noWrap w:val="0"/>
                  <w:vAlign w:val="center"/>
                </w:tcPr>
                <w:p w14:paraId="48DF0092">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二级活性炭吸附</w:t>
                  </w:r>
                </w:p>
              </w:tc>
              <w:tc>
                <w:tcPr>
                  <w:tcW w:w="872" w:type="dxa"/>
                  <w:noWrap w:val="0"/>
                  <w:vAlign w:val="center"/>
                </w:tcPr>
                <w:p w14:paraId="023A5333">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r>
                    <w:rPr>
                      <w:rFonts w:hint="eastAsia" w:ascii="宋体" w:hAnsi="宋体" w:eastAsia="宋体" w:cs="宋体"/>
                      <w:i w:val="0"/>
                      <w:iCs w:val="0"/>
                      <w:color w:val="000000"/>
                      <w:kern w:val="0"/>
                      <w:sz w:val="21"/>
                      <w:szCs w:val="21"/>
                      <w:u w:val="none"/>
                      <w:lang w:val="en-US" w:eastAsia="zh-CN" w:bidi="ar"/>
                    </w:rPr>
                    <w:t>，处理效率</w:t>
                  </w:r>
                  <w:r>
                    <w:rPr>
                      <w:rFonts w:hint="default" w:ascii="Times New Roman" w:hAnsi="Times New Roman" w:eastAsia="宋体" w:cs="Times New Roman"/>
                      <w:i w:val="0"/>
                      <w:iCs w:val="0"/>
                      <w:color w:val="000000"/>
                      <w:kern w:val="0"/>
                      <w:sz w:val="21"/>
                      <w:szCs w:val="21"/>
                      <w:u w:val="none"/>
                      <w:lang w:val="en-US" w:eastAsia="zh-CN" w:bidi="ar"/>
                    </w:rPr>
                    <w:t>75%</w:t>
                  </w:r>
                </w:p>
              </w:tc>
              <w:tc>
                <w:tcPr>
                  <w:tcW w:w="666" w:type="dxa"/>
                  <w:noWrap w:val="0"/>
                  <w:vAlign w:val="center"/>
                </w:tcPr>
                <w:p w14:paraId="7017EF26">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DA002</w:t>
                  </w:r>
                </w:p>
              </w:tc>
              <w:tc>
                <w:tcPr>
                  <w:tcW w:w="714" w:type="dxa"/>
                  <w:noWrap w:val="0"/>
                  <w:vAlign w:val="center"/>
                </w:tcPr>
                <w:p w14:paraId="4D62CEB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0.029 </w:t>
                  </w:r>
                </w:p>
              </w:tc>
              <w:tc>
                <w:tcPr>
                  <w:tcW w:w="823" w:type="dxa"/>
                  <w:noWrap w:val="0"/>
                  <w:vAlign w:val="center"/>
                </w:tcPr>
                <w:p w14:paraId="4B3ACAE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1.207 </w:t>
                  </w:r>
                </w:p>
              </w:tc>
              <w:tc>
                <w:tcPr>
                  <w:tcW w:w="767" w:type="dxa"/>
                  <w:noWrap w:val="0"/>
                  <w:vAlign w:val="center"/>
                </w:tcPr>
                <w:p w14:paraId="6806A1C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0.012 </w:t>
                  </w:r>
                </w:p>
              </w:tc>
            </w:tr>
            <w:tr w14:paraId="0DDD4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289" w:type="pct"/>
                  <w:vMerge w:val="continue"/>
                  <w:noWrap w:val="0"/>
                  <w:vAlign w:val="center"/>
                </w:tcPr>
                <w:p w14:paraId="1ED51CB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02E3775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2431FDE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无组织</w:t>
                  </w:r>
                </w:p>
              </w:tc>
              <w:tc>
                <w:tcPr>
                  <w:tcW w:w="548" w:type="dxa"/>
                  <w:noWrap w:val="0"/>
                  <w:vAlign w:val="center"/>
                </w:tcPr>
                <w:p w14:paraId="3465CB1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0.013 </w:t>
                  </w:r>
                </w:p>
              </w:tc>
              <w:tc>
                <w:tcPr>
                  <w:tcW w:w="735" w:type="dxa"/>
                  <w:noWrap w:val="0"/>
                  <w:vAlign w:val="center"/>
                </w:tcPr>
                <w:p w14:paraId="7F1E97A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727" w:type="dxa"/>
                  <w:noWrap w:val="0"/>
                  <w:vAlign w:val="center"/>
                </w:tcPr>
                <w:p w14:paraId="3F273C7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0.005 </w:t>
                  </w:r>
                </w:p>
              </w:tc>
              <w:tc>
                <w:tcPr>
                  <w:tcW w:w="930" w:type="dxa"/>
                  <w:noWrap w:val="0"/>
                  <w:vAlign w:val="center"/>
                </w:tcPr>
                <w:p w14:paraId="4B99826D">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872" w:type="dxa"/>
                  <w:noWrap w:val="0"/>
                  <w:vAlign w:val="center"/>
                </w:tcPr>
                <w:p w14:paraId="01C395B4">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66" w:type="dxa"/>
                  <w:noWrap w:val="0"/>
                  <w:vAlign w:val="center"/>
                </w:tcPr>
                <w:p w14:paraId="3798BB24">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714" w:type="dxa"/>
                  <w:noWrap w:val="0"/>
                  <w:vAlign w:val="center"/>
                </w:tcPr>
                <w:p w14:paraId="5EF0B03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0.013 </w:t>
                  </w:r>
                </w:p>
              </w:tc>
              <w:tc>
                <w:tcPr>
                  <w:tcW w:w="823" w:type="dxa"/>
                  <w:noWrap w:val="0"/>
                  <w:vAlign w:val="center"/>
                </w:tcPr>
                <w:p w14:paraId="16DBD4D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767" w:type="dxa"/>
                  <w:noWrap w:val="0"/>
                  <w:vAlign w:val="center"/>
                </w:tcPr>
                <w:p w14:paraId="507F879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0.005 </w:t>
                  </w:r>
                </w:p>
              </w:tc>
            </w:tr>
            <w:tr w14:paraId="7D445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289" w:type="pct"/>
                  <w:vMerge w:val="continue"/>
                  <w:noWrap w:val="0"/>
                  <w:vAlign w:val="center"/>
                </w:tcPr>
                <w:p w14:paraId="65B4619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restart"/>
                  <w:noWrap w:val="0"/>
                  <w:vAlign w:val="center"/>
                </w:tcPr>
                <w:p w14:paraId="51268C8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甲苯</w:t>
                  </w:r>
                </w:p>
              </w:tc>
              <w:tc>
                <w:tcPr>
                  <w:tcW w:w="323" w:type="pct"/>
                  <w:noWrap w:val="0"/>
                  <w:vAlign w:val="center"/>
                </w:tcPr>
                <w:p w14:paraId="34B4A19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3D78575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0.227 </w:t>
                  </w:r>
                </w:p>
              </w:tc>
              <w:tc>
                <w:tcPr>
                  <w:tcW w:w="735" w:type="dxa"/>
                  <w:noWrap w:val="0"/>
                  <w:vAlign w:val="center"/>
                </w:tcPr>
                <w:p w14:paraId="6FF3C54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3.375 </w:t>
                  </w:r>
                </w:p>
              </w:tc>
              <w:tc>
                <w:tcPr>
                  <w:tcW w:w="727" w:type="dxa"/>
                  <w:noWrap w:val="0"/>
                  <w:vAlign w:val="center"/>
                </w:tcPr>
                <w:p w14:paraId="4E168DC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0.095 </w:t>
                  </w:r>
                </w:p>
              </w:tc>
              <w:tc>
                <w:tcPr>
                  <w:tcW w:w="930" w:type="dxa"/>
                  <w:noWrap w:val="0"/>
                  <w:vAlign w:val="center"/>
                </w:tcPr>
                <w:p w14:paraId="5E544362">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活性炭吸附</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催化燃烧</w:t>
                  </w:r>
                </w:p>
              </w:tc>
              <w:tc>
                <w:tcPr>
                  <w:tcW w:w="872" w:type="dxa"/>
                  <w:noWrap w:val="0"/>
                  <w:vAlign w:val="center"/>
                </w:tcPr>
                <w:p w14:paraId="33C25A22">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r>
                    <w:rPr>
                      <w:rFonts w:hint="eastAsia" w:ascii="宋体" w:hAnsi="宋体" w:eastAsia="宋体" w:cs="宋体"/>
                      <w:i w:val="0"/>
                      <w:iCs w:val="0"/>
                      <w:color w:val="000000"/>
                      <w:kern w:val="0"/>
                      <w:sz w:val="21"/>
                      <w:szCs w:val="21"/>
                      <w:u w:val="none"/>
                      <w:lang w:val="en-US" w:eastAsia="zh-CN" w:bidi="ar"/>
                    </w:rPr>
                    <w:t>，处理效率90</w:t>
                  </w:r>
                  <w:r>
                    <w:rPr>
                      <w:rFonts w:hint="default" w:ascii="Times New Roman" w:hAnsi="Times New Roman" w:eastAsia="宋体" w:cs="Times New Roman"/>
                      <w:i w:val="0"/>
                      <w:iCs w:val="0"/>
                      <w:color w:val="000000"/>
                      <w:kern w:val="0"/>
                      <w:sz w:val="21"/>
                      <w:szCs w:val="21"/>
                      <w:u w:val="none"/>
                      <w:lang w:val="en-US" w:eastAsia="zh-CN" w:bidi="ar"/>
                    </w:rPr>
                    <w:t>%</w:t>
                  </w:r>
                </w:p>
              </w:tc>
              <w:tc>
                <w:tcPr>
                  <w:tcW w:w="666" w:type="dxa"/>
                  <w:noWrap w:val="0"/>
                  <w:vAlign w:val="center"/>
                </w:tcPr>
                <w:p w14:paraId="289FD5BF">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DA001</w:t>
                  </w:r>
                </w:p>
              </w:tc>
              <w:tc>
                <w:tcPr>
                  <w:tcW w:w="714" w:type="dxa"/>
                  <w:noWrap w:val="0"/>
                  <w:vAlign w:val="center"/>
                </w:tcPr>
                <w:p w14:paraId="29CB8AF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0.023 </w:t>
                  </w:r>
                </w:p>
              </w:tc>
              <w:tc>
                <w:tcPr>
                  <w:tcW w:w="823" w:type="dxa"/>
                  <w:noWrap w:val="0"/>
                  <w:vAlign w:val="center"/>
                </w:tcPr>
                <w:p w14:paraId="0EEE981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0.338 </w:t>
                  </w:r>
                </w:p>
              </w:tc>
              <w:tc>
                <w:tcPr>
                  <w:tcW w:w="767" w:type="dxa"/>
                  <w:noWrap w:val="0"/>
                  <w:vAlign w:val="center"/>
                </w:tcPr>
                <w:p w14:paraId="3C1587E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0.009 </w:t>
                  </w:r>
                </w:p>
              </w:tc>
            </w:tr>
            <w:tr w14:paraId="1E3EB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289" w:type="pct"/>
                  <w:vMerge w:val="continue"/>
                  <w:noWrap w:val="0"/>
                  <w:vAlign w:val="center"/>
                </w:tcPr>
                <w:p w14:paraId="778A202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2D838CD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2D7E8A55">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1B9E4ED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0.023 </w:t>
                  </w:r>
                </w:p>
              </w:tc>
              <w:tc>
                <w:tcPr>
                  <w:tcW w:w="735" w:type="dxa"/>
                  <w:noWrap w:val="0"/>
                  <w:vAlign w:val="center"/>
                </w:tcPr>
                <w:p w14:paraId="31C07C6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0.945 </w:t>
                  </w:r>
                </w:p>
              </w:tc>
              <w:tc>
                <w:tcPr>
                  <w:tcW w:w="727" w:type="dxa"/>
                  <w:noWrap w:val="0"/>
                  <w:vAlign w:val="center"/>
                </w:tcPr>
                <w:p w14:paraId="40FCC0B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0.009 </w:t>
                  </w:r>
                </w:p>
              </w:tc>
              <w:tc>
                <w:tcPr>
                  <w:tcW w:w="930" w:type="dxa"/>
                  <w:noWrap w:val="0"/>
                  <w:vAlign w:val="center"/>
                </w:tcPr>
                <w:p w14:paraId="2AB277CB">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二级活性炭吸附</w:t>
                  </w:r>
                </w:p>
              </w:tc>
              <w:tc>
                <w:tcPr>
                  <w:tcW w:w="872" w:type="dxa"/>
                  <w:noWrap w:val="0"/>
                  <w:vAlign w:val="center"/>
                </w:tcPr>
                <w:p w14:paraId="6B6E673E">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r>
                    <w:rPr>
                      <w:rFonts w:hint="eastAsia" w:ascii="宋体" w:hAnsi="宋体" w:eastAsia="宋体" w:cs="宋体"/>
                      <w:i w:val="0"/>
                      <w:iCs w:val="0"/>
                      <w:color w:val="000000"/>
                      <w:kern w:val="0"/>
                      <w:sz w:val="21"/>
                      <w:szCs w:val="21"/>
                      <w:u w:val="none"/>
                      <w:lang w:val="en-US" w:eastAsia="zh-CN" w:bidi="ar"/>
                    </w:rPr>
                    <w:t>，处理效率</w:t>
                  </w:r>
                  <w:r>
                    <w:rPr>
                      <w:rFonts w:hint="default" w:ascii="Times New Roman" w:hAnsi="Times New Roman" w:eastAsia="宋体" w:cs="Times New Roman"/>
                      <w:i w:val="0"/>
                      <w:iCs w:val="0"/>
                      <w:color w:val="000000"/>
                      <w:kern w:val="0"/>
                      <w:sz w:val="21"/>
                      <w:szCs w:val="21"/>
                      <w:u w:val="none"/>
                      <w:lang w:val="en-US" w:eastAsia="zh-CN" w:bidi="ar"/>
                    </w:rPr>
                    <w:t>75%</w:t>
                  </w:r>
                </w:p>
              </w:tc>
              <w:tc>
                <w:tcPr>
                  <w:tcW w:w="666" w:type="dxa"/>
                  <w:noWrap w:val="0"/>
                  <w:vAlign w:val="center"/>
                </w:tcPr>
                <w:p w14:paraId="65736090">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DA002</w:t>
                  </w:r>
                </w:p>
              </w:tc>
              <w:tc>
                <w:tcPr>
                  <w:tcW w:w="714" w:type="dxa"/>
                  <w:noWrap w:val="0"/>
                  <w:vAlign w:val="center"/>
                </w:tcPr>
                <w:p w14:paraId="27FB6C1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0.006 </w:t>
                  </w:r>
                </w:p>
              </w:tc>
              <w:tc>
                <w:tcPr>
                  <w:tcW w:w="823" w:type="dxa"/>
                  <w:noWrap w:val="0"/>
                  <w:vAlign w:val="center"/>
                </w:tcPr>
                <w:p w14:paraId="7C398F9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0.236 </w:t>
                  </w:r>
                </w:p>
              </w:tc>
              <w:tc>
                <w:tcPr>
                  <w:tcW w:w="767" w:type="dxa"/>
                  <w:noWrap w:val="0"/>
                  <w:vAlign w:val="center"/>
                </w:tcPr>
                <w:p w14:paraId="1E40DD0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0.002 </w:t>
                  </w:r>
                </w:p>
              </w:tc>
            </w:tr>
            <w:tr w14:paraId="15983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289" w:type="pct"/>
                  <w:vMerge w:val="continue"/>
                  <w:noWrap w:val="0"/>
                  <w:vAlign w:val="center"/>
                </w:tcPr>
                <w:p w14:paraId="06D491E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2297ED1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39EB7FB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548" w:type="dxa"/>
                  <w:noWrap w:val="0"/>
                  <w:vAlign w:val="center"/>
                </w:tcPr>
                <w:p w14:paraId="64A1E1B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0.003 </w:t>
                  </w:r>
                </w:p>
              </w:tc>
              <w:tc>
                <w:tcPr>
                  <w:tcW w:w="735" w:type="dxa"/>
                  <w:noWrap w:val="0"/>
                  <w:vAlign w:val="center"/>
                </w:tcPr>
                <w:p w14:paraId="04DA64E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27" w:type="dxa"/>
                  <w:noWrap w:val="0"/>
                  <w:vAlign w:val="center"/>
                </w:tcPr>
                <w:p w14:paraId="44648BF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0.001 </w:t>
                  </w:r>
                </w:p>
              </w:tc>
              <w:tc>
                <w:tcPr>
                  <w:tcW w:w="930" w:type="dxa"/>
                  <w:noWrap w:val="0"/>
                  <w:vAlign w:val="center"/>
                </w:tcPr>
                <w:p w14:paraId="4064BD74">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872" w:type="dxa"/>
                  <w:noWrap w:val="0"/>
                  <w:vAlign w:val="center"/>
                </w:tcPr>
                <w:p w14:paraId="448D6E47">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666" w:type="dxa"/>
                  <w:noWrap w:val="0"/>
                  <w:vAlign w:val="center"/>
                </w:tcPr>
                <w:p w14:paraId="56FEB5C0">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14" w:type="dxa"/>
                  <w:noWrap w:val="0"/>
                  <w:vAlign w:val="center"/>
                </w:tcPr>
                <w:p w14:paraId="2C40D57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0.003 </w:t>
                  </w:r>
                </w:p>
              </w:tc>
              <w:tc>
                <w:tcPr>
                  <w:tcW w:w="823" w:type="dxa"/>
                  <w:noWrap w:val="0"/>
                  <w:vAlign w:val="center"/>
                </w:tcPr>
                <w:p w14:paraId="4211CAD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67" w:type="dxa"/>
                  <w:noWrap w:val="0"/>
                  <w:vAlign w:val="center"/>
                </w:tcPr>
                <w:p w14:paraId="3E96706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0.001 </w:t>
                  </w:r>
                </w:p>
              </w:tc>
            </w:tr>
            <w:tr w14:paraId="17F3A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289" w:type="pct"/>
                  <w:vMerge w:val="restart"/>
                  <w:noWrap w:val="0"/>
                  <w:vAlign w:val="center"/>
                </w:tcPr>
                <w:p w14:paraId="1B0C739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风扇、风罩喷漆、晾干</w:t>
                  </w:r>
                </w:p>
              </w:tc>
              <w:tc>
                <w:tcPr>
                  <w:tcW w:w="405" w:type="pct"/>
                  <w:vMerge w:val="restart"/>
                  <w:noWrap w:val="0"/>
                  <w:vAlign w:val="center"/>
                </w:tcPr>
                <w:p w14:paraId="580EB02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漆雾（颗粒物）</w:t>
                  </w:r>
                </w:p>
              </w:tc>
              <w:tc>
                <w:tcPr>
                  <w:tcW w:w="323" w:type="pct"/>
                  <w:noWrap w:val="0"/>
                  <w:vAlign w:val="center"/>
                </w:tcPr>
                <w:p w14:paraId="7AAACC8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7B57DDE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0.103 </w:t>
                  </w:r>
                </w:p>
              </w:tc>
              <w:tc>
                <w:tcPr>
                  <w:tcW w:w="735" w:type="dxa"/>
                  <w:noWrap w:val="0"/>
                  <w:vAlign w:val="center"/>
                </w:tcPr>
                <w:p w14:paraId="456BD49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1.527 </w:t>
                  </w:r>
                </w:p>
              </w:tc>
              <w:tc>
                <w:tcPr>
                  <w:tcW w:w="727" w:type="dxa"/>
                  <w:noWrap w:val="0"/>
                  <w:vAlign w:val="center"/>
                </w:tcPr>
                <w:p w14:paraId="788236E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0.043 </w:t>
                  </w:r>
                </w:p>
              </w:tc>
              <w:tc>
                <w:tcPr>
                  <w:tcW w:w="930" w:type="dxa"/>
                  <w:noWrap w:val="0"/>
                  <w:vAlign w:val="center"/>
                </w:tcPr>
                <w:p w14:paraId="08CFC4FC">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水帘除尘</w:t>
                  </w:r>
                </w:p>
              </w:tc>
              <w:tc>
                <w:tcPr>
                  <w:tcW w:w="872" w:type="dxa"/>
                  <w:noWrap w:val="0"/>
                  <w:vAlign w:val="center"/>
                </w:tcPr>
                <w:p w14:paraId="57B302DF">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r>
                    <w:rPr>
                      <w:rFonts w:hint="eastAsia" w:ascii="宋体" w:hAnsi="宋体" w:eastAsia="宋体" w:cs="宋体"/>
                      <w:i w:val="0"/>
                      <w:iCs w:val="0"/>
                      <w:color w:val="000000"/>
                      <w:kern w:val="0"/>
                      <w:sz w:val="21"/>
                      <w:szCs w:val="21"/>
                      <w:u w:val="none"/>
                      <w:lang w:val="en-US" w:eastAsia="zh-CN" w:bidi="ar"/>
                    </w:rPr>
                    <w:t>，处理效率</w:t>
                  </w:r>
                  <w:r>
                    <w:rPr>
                      <w:rFonts w:hint="default" w:ascii="Times New Roman" w:hAnsi="Times New Roman" w:eastAsia="宋体" w:cs="Times New Roman"/>
                      <w:i w:val="0"/>
                      <w:iCs w:val="0"/>
                      <w:color w:val="000000"/>
                      <w:kern w:val="0"/>
                      <w:sz w:val="21"/>
                      <w:szCs w:val="21"/>
                      <w:u w:val="none"/>
                      <w:lang w:val="en-US" w:eastAsia="zh-CN" w:bidi="ar"/>
                    </w:rPr>
                    <w:t>90%</w:t>
                  </w:r>
                </w:p>
              </w:tc>
              <w:tc>
                <w:tcPr>
                  <w:tcW w:w="666" w:type="dxa"/>
                  <w:noWrap w:val="0"/>
                  <w:vAlign w:val="center"/>
                </w:tcPr>
                <w:p w14:paraId="03320ECC">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DA001</w:t>
                  </w:r>
                </w:p>
              </w:tc>
              <w:tc>
                <w:tcPr>
                  <w:tcW w:w="714" w:type="dxa"/>
                  <w:noWrap w:val="0"/>
                  <w:vAlign w:val="center"/>
                </w:tcPr>
                <w:p w14:paraId="58D9917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0.010 </w:t>
                  </w:r>
                </w:p>
              </w:tc>
              <w:tc>
                <w:tcPr>
                  <w:tcW w:w="823" w:type="dxa"/>
                  <w:noWrap w:val="0"/>
                  <w:vAlign w:val="center"/>
                </w:tcPr>
                <w:p w14:paraId="5EA60C9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0.153 </w:t>
                  </w:r>
                </w:p>
              </w:tc>
              <w:tc>
                <w:tcPr>
                  <w:tcW w:w="767" w:type="dxa"/>
                  <w:noWrap w:val="0"/>
                  <w:vAlign w:val="center"/>
                </w:tcPr>
                <w:p w14:paraId="636EA12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0.004 </w:t>
                  </w:r>
                </w:p>
              </w:tc>
            </w:tr>
            <w:tr w14:paraId="169DA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289" w:type="pct"/>
                  <w:vMerge w:val="continue"/>
                  <w:noWrap w:val="0"/>
                  <w:vAlign w:val="center"/>
                </w:tcPr>
                <w:p w14:paraId="5238A3B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0B7B0AA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4223258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548" w:type="dxa"/>
                  <w:noWrap w:val="0"/>
                  <w:vAlign w:val="center"/>
                </w:tcPr>
                <w:p w14:paraId="3C2488A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0.011 </w:t>
                  </w:r>
                </w:p>
              </w:tc>
              <w:tc>
                <w:tcPr>
                  <w:tcW w:w="735" w:type="dxa"/>
                  <w:noWrap w:val="0"/>
                  <w:vAlign w:val="center"/>
                </w:tcPr>
                <w:p w14:paraId="77E1C6F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27" w:type="dxa"/>
                  <w:noWrap w:val="0"/>
                  <w:vAlign w:val="center"/>
                </w:tcPr>
                <w:p w14:paraId="34A0601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0.005 </w:t>
                  </w:r>
                </w:p>
              </w:tc>
              <w:tc>
                <w:tcPr>
                  <w:tcW w:w="930" w:type="dxa"/>
                  <w:noWrap w:val="0"/>
                  <w:vAlign w:val="center"/>
                </w:tcPr>
                <w:p w14:paraId="6A21E43A">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872" w:type="dxa"/>
                  <w:noWrap w:val="0"/>
                  <w:vAlign w:val="center"/>
                </w:tcPr>
                <w:p w14:paraId="31C4558B">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666" w:type="dxa"/>
                  <w:noWrap w:val="0"/>
                  <w:vAlign w:val="center"/>
                </w:tcPr>
                <w:p w14:paraId="2FAE2CD4">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14" w:type="dxa"/>
                  <w:noWrap w:val="0"/>
                  <w:vAlign w:val="center"/>
                </w:tcPr>
                <w:p w14:paraId="5D53330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0.011 </w:t>
                  </w:r>
                </w:p>
              </w:tc>
              <w:tc>
                <w:tcPr>
                  <w:tcW w:w="823" w:type="dxa"/>
                  <w:noWrap w:val="0"/>
                  <w:vAlign w:val="center"/>
                </w:tcPr>
                <w:p w14:paraId="142B96C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67" w:type="dxa"/>
                  <w:noWrap w:val="0"/>
                  <w:vAlign w:val="center"/>
                </w:tcPr>
                <w:p w14:paraId="66D2A10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0.005 </w:t>
                  </w:r>
                </w:p>
              </w:tc>
            </w:tr>
            <w:tr w14:paraId="64BA9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289" w:type="pct"/>
                  <w:vMerge w:val="continue"/>
                  <w:noWrap w:val="0"/>
                  <w:vAlign w:val="center"/>
                </w:tcPr>
                <w:p w14:paraId="14D050E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restart"/>
                  <w:noWrap w:val="0"/>
                  <w:vAlign w:val="center"/>
                </w:tcPr>
                <w:p w14:paraId="3FA19B9F">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VOCs</w:t>
                  </w:r>
                </w:p>
              </w:tc>
              <w:tc>
                <w:tcPr>
                  <w:tcW w:w="323" w:type="pct"/>
                  <w:noWrap w:val="0"/>
                  <w:vAlign w:val="center"/>
                </w:tcPr>
                <w:p w14:paraId="6B7338A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4E4E5D7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0.163 </w:t>
                  </w:r>
                </w:p>
              </w:tc>
              <w:tc>
                <w:tcPr>
                  <w:tcW w:w="735" w:type="dxa"/>
                  <w:noWrap w:val="0"/>
                  <w:vAlign w:val="center"/>
                </w:tcPr>
                <w:p w14:paraId="5624A07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2.423 </w:t>
                  </w:r>
                </w:p>
              </w:tc>
              <w:tc>
                <w:tcPr>
                  <w:tcW w:w="727" w:type="dxa"/>
                  <w:noWrap w:val="0"/>
                  <w:vAlign w:val="center"/>
                </w:tcPr>
                <w:p w14:paraId="1A07328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0.068 </w:t>
                  </w:r>
                </w:p>
              </w:tc>
              <w:tc>
                <w:tcPr>
                  <w:tcW w:w="930" w:type="dxa"/>
                  <w:noWrap w:val="0"/>
                  <w:vAlign w:val="center"/>
                </w:tcPr>
                <w:p w14:paraId="1429CE8E">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活性炭吸附</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催化燃烧</w:t>
                  </w:r>
                </w:p>
              </w:tc>
              <w:tc>
                <w:tcPr>
                  <w:tcW w:w="872" w:type="dxa"/>
                  <w:noWrap w:val="0"/>
                  <w:vAlign w:val="center"/>
                </w:tcPr>
                <w:p w14:paraId="327F1C96">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r>
                    <w:rPr>
                      <w:rFonts w:hint="eastAsia" w:ascii="宋体" w:hAnsi="宋体" w:eastAsia="宋体" w:cs="宋体"/>
                      <w:i w:val="0"/>
                      <w:iCs w:val="0"/>
                      <w:color w:val="000000"/>
                      <w:kern w:val="0"/>
                      <w:sz w:val="21"/>
                      <w:szCs w:val="21"/>
                      <w:u w:val="none"/>
                      <w:lang w:val="en-US" w:eastAsia="zh-CN" w:bidi="ar"/>
                    </w:rPr>
                    <w:t>，处理效率90</w:t>
                  </w:r>
                  <w:r>
                    <w:rPr>
                      <w:rFonts w:hint="default" w:ascii="Times New Roman" w:hAnsi="Times New Roman" w:eastAsia="宋体" w:cs="Times New Roman"/>
                      <w:i w:val="0"/>
                      <w:iCs w:val="0"/>
                      <w:color w:val="000000"/>
                      <w:kern w:val="0"/>
                      <w:sz w:val="21"/>
                      <w:szCs w:val="21"/>
                      <w:u w:val="none"/>
                      <w:lang w:val="en-US" w:eastAsia="zh-CN" w:bidi="ar"/>
                    </w:rPr>
                    <w:t>%</w:t>
                  </w:r>
                </w:p>
              </w:tc>
              <w:tc>
                <w:tcPr>
                  <w:tcW w:w="666" w:type="dxa"/>
                  <w:noWrap w:val="0"/>
                  <w:vAlign w:val="center"/>
                </w:tcPr>
                <w:p w14:paraId="277BBB99">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DA001</w:t>
                  </w:r>
                </w:p>
              </w:tc>
              <w:tc>
                <w:tcPr>
                  <w:tcW w:w="714" w:type="dxa"/>
                  <w:noWrap w:val="0"/>
                  <w:vAlign w:val="center"/>
                </w:tcPr>
                <w:p w14:paraId="261A2DD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0.016 </w:t>
                  </w:r>
                </w:p>
              </w:tc>
              <w:tc>
                <w:tcPr>
                  <w:tcW w:w="823" w:type="dxa"/>
                  <w:noWrap w:val="0"/>
                  <w:vAlign w:val="center"/>
                </w:tcPr>
                <w:p w14:paraId="5545544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0.242 </w:t>
                  </w:r>
                </w:p>
              </w:tc>
              <w:tc>
                <w:tcPr>
                  <w:tcW w:w="767" w:type="dxa"/>
                  <w:noWrap w:val="0"/>
                  <w:vAlign w:val="center"/>
                </w:tcPr>
                <w:p w14:paraId="791DA48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0.007 </w:t>
                  </w:r>
                </w:p>
              </w:tc>
            </w:tr>
            <w:tr w14:paraId="24BC5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289" w:type="pct"/>
                  <w:vMerge w:val="continue"/>
                  <w:noWrap w:val="0"/>
                  <w:vAlign w:val="center"/>
                </w:tcPr>
                <w:p w14:paraId="2F0AEE5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66A73E2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0358605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548" w:type="dxa"/>
                  <w:noWrap w:val="0"/>
                  <w:vAlign w:val="center"/>
                </w:tcPr>
                <w:p w14:paraId="0F623A8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0.018 </w:t>
                  </w:r>
                </w:p>
              </w:tc>
              <w:tc>
                <w:tcPr>
                  <w:tcW w:w="735" w:type="dxa"/>
                  <w:noWrap w:val="0"/>
                  <w:vAlign w:val="center"/>
                </w:tcPr>
                <w:p w14:paraId="3548D3E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27" w:type="dxa"/>
                  <w:noWrap w:val="0"/>
                  <w:vAlign w:val="center"/>
                </w:tcPr>
                <w:p w14:paraId="72F4E3D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0.008 </w:t>
                  </w:r>
                </w:p>
              </w:tc>
              <w:tc>
                <w:tcPr>
                  <w:tcW w:w="930" w:type="dxa"/>
                  <w:noWrap w:val="0"/>
                  <w:vAlign w:val="center"/>
                </w:tcPr>
                <w:p w14:paraId="0702ACA1">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872" w:type="dxa"/>
                  <w:noWrap w:val="0"/>
                  <w:vAlign w:val="center"/>
                </w:tcPr>
                <w:p w14:paraId="2979CF29">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666" w:type="dxa"/>
                  <w:noWrap w:val="0"/>
                  <w:vAlign w:val="center"/>
                </w:tcPr>
                <w:p w14:paraId="42A8ACEE">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14" w:type="dxa"/>
                  <w:noWrap w:val="0"/>
                  <w:vAlign w:val="center"/>
                </w:tcPr>
                <w:p w14:paraId="372E4F4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0.018 </w:t>
                  </w:r>
                </w:p>
              </w:tc>
              <w:tc>
                <w:tcPr>
                  <w:tcW w:w="823" w:type="dxa"/>
                  <w:noWrap w:val="0"/>
                  <w:vAlign w:val="center"/>
                </w:tcPr>
                <w:p w14:paraId="6403710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67" w:type="dxa"/>
                  <w:noWrap w:val="0"/>
                  <w:vAlign w:val="center"/>
                </w:tcPr>
                <w:p w14:paraId="129374B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0.008 </w:t>
                  </w:r>
                </w:p>
              </w:tc>
            </w:tr>
            <w:tr w14:paraId="0EB7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289" w:type="pct"/>
                  <w:vMerge w:val="continue"/>
                  <w:noWrap w:val="0"/>
                  <w:vAlign w:val="center"/>
                </w:tcPr>
                <w:p w14:paraId="25B57D7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restart"/>
                  <w:noWrap w:val="0"/>
                  <w:vAlign w:val="center"/>
                </w:tcPr>
                <w:p w14:paraId="2FB0AB7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二甲苯</w:t>
                  </w:r>
                </w:p>
              </w:tc>
              <w:tc>
                <w:tcPr>
                  <w:tcW w:w="323" w:type="pct"/>
                  <w:noWrap w:val="0"/>
                  <w:vAlign w:val="center"/>
                </w:tcPr>
                <w:p w14:paraId="5F6F4C5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23159A9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0.081 </w:t>
                  </w:r>
                </w:p>
              </w:tc>
              <w:tc>
                <w:tcPr>
                  <w:tcW w:w="735" w:type="dxa"/>
                  <w:noWrap w:val="0"/>
                  <w:vAlign w:val="center"/>
                </w:tcPr>
                <w:p w14:paraId="2AA1EBD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1.205 </w:t>
                  </w:r>
                </w:p>
              </w:tc>
              <w:tc>
                <w:tcPr>
                  <w:tcW w:w="727" w:type="dxa"/>
                  <w:noWrap w:val="0"/>
                  <w:vAlign w:val="center"/>
                </w:tcPr>
                <w:p w14:paraId="48D45DB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0.034 </w:t>
                  </w:r>
                </w:p>
              </w:tc>
              <w:tc>
                <w:tcPr>
                  <w:tcW w:w="930" w:type="dxa"/>
                  <w:noWrap w:val="0"/>
                  <w:vAlign w:val="center"/>
                </w:tcPr>
                <w:p w14:paraId="11561E95">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活性炭吸附</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催化燃烧</w:t>
                  </w:r>
                </w:p>
              </w:tc>
              <w:tc>
                <w:tcPr>
                  <w:tcW w:w="872" w:type="dxa"/>
                  <w:noWrap w:val="0"/>
                  <w:vAlign w:val="center"/>
                </w:tcPr>
                <w:p w14:paraId="6EC7BA72">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r>
                    <w:rPr>
                      <w:rFonts w:hint="eastAsia" w:ascii="宋体" w:hAnsi="宋体" w:eastAsia="宋体" w:cs="宋体"/>
                      <w:i w:val="0"/>
                      <w:iCs w:val="0"/>
                      <w:color w:val="000000"/>
                      <w:kern w:val="0"/>
                      <w:sz w:val="21"/>
                      <w:szCs w:val="21"/>
                      <w:u w:val="none"/>
                      <w:lang w:val="en-US" w:eastAsia="zh-CN" w:bidi="ar"/>
                    </w:rPr>
                    <w:t>，处理效率90</w:t>
                  </w:r>
                  <w:r>
                    <w:rPr>
                      <w:rFonts w:hint="default" w:ascii="Times New Roman" w:hAnsi="Times New Roman" w:eastAsia="宋体" w:cs="Times New Roman"/>
                      <w:i w:val="0"/>
                      <w:iCs w:val="0"/>
                      <w:color w:val="000000"/>
                      <w:kern w:val="0"/>
                      <w:sz w:val="21"/>
                      <w:szCs w:val="21"/>
                      <w:u w:val="none"/>
                      <w:lang w:val="en-US" w:eastAsia="zh-CN" w:bidi="ar"/>
                    </w:rPr>
                    <w:t>%</w:t>
                  </w:r>
                </w:p>
              </w:tc>
              <w:tc>
                <w:tcPr>
                  <w:tcW w:w="666" w:type="dxa"/>
                  <w:noWrap w:val="0"/>
                  <w:vAlign w:val="center"/>
                </w:tcPr>
                <w:p w14:paraId="6A36CCF4">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DA001</w:t>
                  </w:r>
                </w:p>
              </w:tc>
              <w:tc>
                <w:tcPr>
                  <w:tcW w:w="714" w:type="dxa"/>
                  <w:noWrap w:val="0"/>
                  <w:vAlign w:val="center"/>
                </w:tcPr>
                <w:p w14:paraId="3D6828B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0.008 </w:t>
                  </w:r>
                </w:p>
              </w:tc>
              <w:tc>
                <w:tcPr>
                  <w:tcW w:w="823" w:type="dxa"/>
                  <w:noWrap w:val="0"/>
                  <w:vAlign w:val="center"/>
                </w:tcPr>
                <w:p w14:paraId="552581C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0.121 </w:t>
                  </w:r>
                </w:p>
              </w:tc>
              <w:tc>
                <w:tcPr>
                  <w:tcW w:w="767" w:type="dxa"/>
                  <w:noWrap w:val="0"/>
                  <w:vAlign w:val="center"/>
                </w:tcPr>
                <w:p w14:paraId="144CC40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r>
            <w:tr w14:paraId="2F2C8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289" w:type="pct"/>
                  <w:vMerge w:val="continue"/>
                  <w:noWrap w:val="0"/>
                  <w:vAlign w:val="center"/>
                </w:tcPr>
                <w:p w14:paraId="5F1D0494">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29799F9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1366AA2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548" w:type="dxa"/>
                  <w:noWrap w:val="0"/>
                  <w:vAlign w:val="center"/>
                </w:tcPr>
                <w:p w14:paraId="4A41872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0.009 </w:t>
                  </w:r>
                </w:p>
              </w:tc>
              <w:tc>
                <w:tcPr>
                  <w:tcW w:w="735" w:type="dxa"/>
                  <w:noWrap w:val="0"/>
                  <w:vAlign w:val="center"/>
                </w:tcPr>
                <w:p w14:paraId="642C6CC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27" w:type="dxa"/>
                  <w:noWrap w:val="0"/>
                  <w:vAlign w:val="center"/>
                </w:tcPr>
                <w:p w14:paraId="2AFC243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0.004 </w:t>
                  </w:r>
                </w:p>
              </w:tc>
              <w:tc>
                <w:tcPr>
                  <w:tcW w:w="930" w:type="dxa"/>
                  <w:noWrap w:val="0"/>
                  <w:vAlign w:val="center"/>
                </w:tcPr>
                <w:p w14:paraId="1992FF8E">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872" w:type="dxa"/>
                  <w:noWrap w:val="0"/>
                  <w:vAlign w:val="center"/>
                </w:tcPr>
                <w:p w14:paraId="27453A8C">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666" w:type="dxa"/>
                  <w:noWrap w:val="0"/>
                  <w:vAlign w:val="center"/>
                </w:tcPr>
                <w:p w14:paraId="523E9E2A">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14" w:type="dxa"/>
                  <w:noWrap w:val="0"/>
                  <w:vAlign w:val="center"/>
                </w:tcPr>
                <w:p w14:paraId="69A90E8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0.009 </w:t>
                  </w:r>
                </w:p>
              </w:tc>
              <w:tc>
                <w:tcPr>
                  <w:tcW w:w="823" w:type="dxa"/>
                  <w:noWrap w:val="0"/>
                  <w:vAlign w:val="center"/>
                </w:tcPr>
                <w:p w14:paraId="04E941A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67" w:type="dxa"/>
                  <w:noWrap w:val="0"/>
                  <w:vAlign w:val="center"/>
                </w:tcPr>
                <w:p w14:paraId="2CD94E8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0.004 </w:t>
                  </w:r>
                </w:p>
              </w:tc>
            </w:tr>
            <w:tr w14:paraId="338BC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289" w:type="pct"/>
                  <w:vMerge w:val="continue"/>
                  <w:noWrap w:val="0"/>
                  <w:vAlign w:val="center"/>
                </w:tcPr>
                <w:p w14:paraId="5531E03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restart"/>
                  <w:noWrap w:val="0"/>
                  <w:vAlign w:val="center"/>
                </w:tcPr>
                <w:p w14:paraId="23F55EF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甲苯</w:t>
                  </w:r>
                </w:p>
              </w:tc>
              <w:tc>
                <w:tcPr>
                  <w:tcW w:w="323" w:type="pct"/>
                  <w:noWrap w:val="0"/>
                  <w:vAlign w:val="center"/>
                </w:tcPr>
                <w:p w14:paraId="130BC56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548" w:type="dxa"/>
                  <w:noWrap w:val="0"/>
                  <w:vAlign w:val="center"/>
                </w:tcPr>
                <w:p w14:paraId="6210452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0.028 </w:t>
                  </w:r>
                </w:p>
              </w:tc>
              <w:tc>
                <w:tcPr>
                  <w:tcW w:w="735" w:type="dxa"/>
                  <w:noWrap w:val="0"/>
                  <w:vAlign w:val="center"/>
                </w:tcPr>
                <w:p w14:paraId="23B3C9D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0.229 </w:t>
                  </w:r>
                </w:p>
              </w:tc>
              <w:tc>
                <w:tcPr>
                  <w:tcW w:w="727" w:type="dxa"/>
                  <w:noWrap w:val="0"/>
                  <w:vAlign w:val="center"/>
                </w:tcPr>
                <w:p w14:paraId="6E6E29F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0.006 </w:t>
                  </w:r>
                </w:p>
              </w:tc>
              <w:tc>
                <w:tcPr>
                  <w:tcW w:w="930" w:type="dxa"/>
                  <w:noWrap w:val="0"/>
                  <w:vAlign w:val="center"/>
                </w:tcPr>
                <w:p w14:paraId="6389D291">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负压收集</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活性炭吸附</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催化燃烧</w:t>
                  </w:r>
                </w:p>
              </w:tc>
              <w:tc>
                <w:tcPr>
                  <w:tcW w:w="872" w:type="dxa"/>
                  <w:noWrap w:val="0"/>
                  <w:vAlign w:val="center"/>
                </w:tcPr>
                <w:p w14:paraId="7C606F51">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收集效率</w:t>
                  </w:r>
                  <w:r>
                    <w:rPr>
                      <w:rFonts w:hint="default" w:ascii="Times New Roman" w:hAnsi="Times New Roman" w:eastAsia="宋体" w:cs="Times New Roman"/>
                      <w:i w:val="0"/>
                      <w:iCs w:val="0"/>
                      <w:color w:val="000000"/>
                      <w:kern w:val="0"/>
                      <w:sz w:val="21"/>
                      <w:szCs w:val="21"/>
                      <w:u w:val="none"/>
                      <w:lang w:val="en-US" w:eastAsia="zh-CN" w:bidi="ar"/>
                    </w:rPr>
                    <w:t>90%</w:t>
                  </w:r>
                  <w:r>
                    <w:rPr>
                      <w:rFonts w:hint="eastAsia" w:ascii="宋体" w:hAnsi="宋体" w:eastAsia="宋体" w:cs="宋体"/>
                      <w:i w:val="0"/>
                      <w:iCs w:val="0"/>
                      <w:color w:val="000000"/>
                      <w:kern w:val="0"/>
                      <w:sz w:val="21"/>
                      <w:szCs w:val="21"/>
                      <w:u w:val="none"/>
                      <w:lang w:val="en-US" w:eastAsia="zh-CN" w:bidi="ar"/>
                    </w:rPr>
                    <w:t>，处理效率90</w:t>
                  </w:r>
                  <w:r>
                    <w:rPr>
                      <w:rFonts w:hint="default" w:ascii="Times New Roman" w:hAnsi="Times New Roman" w:eastAsia="宋体" w:cs="Times New Roman"/>
                      <w:i w:val="0"/>
                      <w:iCs w:val="0"/>
                      <w:color w:val="000000"/>
                      <w:kern w:val="0"/>
                      <w:sz w:val="21"/>
                      <w:szCs w:val="21"/>
                      <w:u w:val="none"/>
                      <w:lang w:val="en-US" w:eastAsia="zh-CN" w:bidi="ar"/>
                    </w:rPr>
                    <w:t>%</w:t>
                  </w:r>
                </w:p>
              </w:tc>
              <w:tc>
                <w:tcPr>
                  <w:tcW w:w="666" w:type="dxa"/>
                  <w:noWrap w:val="0"/>
                  <w:vAlign w:val="center"/>
                </w:tcPr>
                <w:p w14:paraId="479B18EE">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DA001</w:t>
                  </w:r>
                </w:p>
              </w:tc>
              <w:tc>
                <w:tcPr>
                  <w:tcW w:w="714" w:type="dxa"/>
                  <w:noWrap w:val="0"/>
                  <w:vAlign w:val="center"/>
                </w:tcPr>
                <w:p w14:paraId="30441D3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0.003 </w:t>
                  </w:r>
                </w:p>
              </w:tc>
              <w:tc>
                <w:tcPr>
                  <w:tcW w:w="823" w:type="dxa"/>
                  <w:noWrap w:val="0"/>
                  <w:vAlign w:val="center"/>
                </w:tcPr>
                <w:p w14:paraId="5B2B6D9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0.041 </w:t>
                  </w:r>
                </w:p>
              </w:tc>
              <w:tc>
                <w:tcPr>
                  <w:tcW w:w="767" w:type="dxa"/>
                  <w:noWrap w:val="0"/>
                  <w:vAlign w:val="center"/>
                </w:tcPr>
                <w:p w14:paraId="1268ABE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r>
            <w:tr w14:paraId="0AEB1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289" w:type="pct"/>
                  <w:vMerge w:val="continue"/>
                  <w:noWrap w:val="0"/>
                  <w:vAlign w:val="center"/>
                </w:tcPr>
                <w:p w14:paraId="3302A432">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405" w:type="pct"/>
                  <w:vMerge w:val="continue"/>
                  <w:noWrap w:val="0"/>
                  <w:vAlign w:val="center"/>
                </w:tcPr>
                <w:p w14:paraId="2CA732C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23" w:type="pct"/>
                  <w:noWrap w:val="0"/>
                  <w:vAlign w:val="center"/>
                </w:tcPr>
                <w:p w14:paraId="6139684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548" w:type="dxa"/>
                  <w:noWrap w:val="0"/>
                  <w:vAlign w:val="center"/>
                </w:tcPr>
                <w:p w14:paraId="6E9F6BF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0.003 </w:t>
                  </w:r>
                </w:p>
              </w:tc>
              <w:tc>
                <w:tcPr>
                  <w:tcW w:w="735" w:type="dxa"/>
                  <w:noWrap w:val="0"/>
                  <w:vAlign w:val="center"/>
                </w:tcPr>
                <w:p w14:paraId="2785E60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27" w:type="dxa"/>
                  <w:noWrap w:val="0"/>
                  <w:vAlign w:val="center"/>
                </w:tcPr>
                <w:p w14:paraId="6300E5D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0.001 </w:t>
                  </w:r>
                </w:p>
              </w:tc>
              <w:tc>
                <w:tcPr>
                  <w:tcW w:w="930" w:type="dxa"/>
                  <w:noWrap w:val="0"/>
                  <w:vAlign w:val="center"/>
                </w:tcPr>
                <w:p w14:paraId="0B4D4C02">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872" w:type="dxa"/>
                  <w:noWrap w:val="0"/>
                  <w:vAlign w:val="center"/>
                </w:tcPr>
                <w:p w14:paraId="331BCB87">
                  <w:pPr>
                    <w:keepNext w:val="0"/>
                    <w:keepLines w:val="0"/>
                    <w:widowControl/>
                    <w:suppressLineNumbers w:val="0"/>
                    <w:jc w:val="center"/>
                    <w:textAlignment w:val="center"/>
                    <w:rPr>
                      <w:rFonts w:hint="default"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666" w:type="dxa"/>
                  <w:noWrap w:val="0"/>
                  <w:vAlign w:val="center"/>
                </w:tcPr>
                <w:p w14:paraId="0049F952">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14" w:type="dxa"/>
                  <w:noWrap w:val="0"/>
                  <w:vAlign w:val="center"/>
                </w:tcPr>
                <w:p w14:paraId="1560772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0.003 </w:t>
                  </w:r>
                </w:p>
              </w:tc>
              <w:tc>
                <w:tcPr>
                  <w:tcW w:w="823" w:type="dxa"/>
                  <w:noWrap w:val="0"/>
                  <w:vAlign w:val="center"/>
                </w:tcPr>
                <w:p w14:paraId="75C0395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767" w:type="dxa"/>
                  <w:noWrap w:val="0"/>
                  <w:vAlign w:val="center"/>
                </w:tcPr>
                <w:p w14:paraId="445ED96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0.001 </w:t>
                  </w:r>
                </w:p>
              </w:tc>
            </w:tr>
          </w:tbl>
          <w:p w14:paraId="4F458F6D">
            <w:pPr>
              <w:keepNext w:val="0"/>
              <w:keepLines w:val="0"/>
              <w:pageBreakBefore w:val="0"/>
              <w:widowControl w:val="0"/>
              <w:kinsoku/>
              <w:wordWrap/>
              <w:overflowPunct/>
              <w:topLinePunct w:val="0"/>
              <w:autoSpaceDE/>
              <w:autoSpaceDN/>
              <w:bidi w:val="0"/>
              <w:adjustRightInd/>
              <w:snapToGrid/>
              <w:spacing w:line="404" w:lineRule="exact"/>
              <w:ind w:firstLine="480" w:firstLineChars="200"/>
              <w:textAlignment w:val="auto"/>
              <w:rPr>
                <w:rFonts w:hint="default" w:ascii="Times New Roman" w:hAnsi="Times New Roman" w:eastAsia="宋体" w:cs="Times New Roman"/>
                <w:color w:val="auto"/>
                <w:sz w:val="24"/>
                <w:szCs w:val="24"/>
                <w:highlight w:val="none"/>
                <w:u w:val="none"/>
                <w:lang w:val="en-US" w:eastAsia="zh-CN"/>
              </w:rPr>
            </w:pPr>
            <w:r>
              <w:rPr>
                <w:rFonts w:hint="eastAsia" w:ascii="Times New Roman" w:hAnsi="Times New Roman" w:eastAsia="宋体" w:cs="Times New Roman"/>
                <w:color w:val="auto"/>
                <w:sz w:val="24"/>
                <w:szCs w:val="24"/>
                <w:highlight w:val="none"/>
                <w:u w:val="none"/>
                <w:lang w:val="en-US" w:eastAsia="zh-CN"/>
              </w:rPr>
              <w:t>（</w:t>
            </w:r>
            <w:r>
              <w:rPr>
                <w:rFonts w:hint="eastAsia" w:eastAsia="宋体" w:cs="Times New Roman"/>
                <w:color w:val="auto"/>
                <w:sz w:val="24"/>
                <w:szCs w:val="24"/>
                <w:highlight w:val="none"/>
                <w:u w:val="none"/>
                <w:lang w:val="en-US" w:eastAsia="zh-CN"/>
              </w:rPr>
              <w:t>7</w:t>
            </w:r>
            <w:r>
              <w:rPr>
                <w:rFonts w:hint="eastAsia" w:ascii="Times New Roman" w:hAnsi="Times New Roman" w:eastAsia="宋体" w:cs="Times New Roman"/>
                <w:color w:val="auto"/>
                <w:sz w:val="24"/>
                <w:szCs w:val="24"/>
                <w:highlight w:val="none"/>
                <w:u w:val="none"/>
                <w:lang w:val="en-US" w:eastAsia="zh-CN"/>
              </w:rPr>
              <w:t>）高铁连接板</w:t>
            </w:r>
            <w:r>
              <w:rPr>
                <w:rFonts w:hint="eastAsia" w:ascii="Times New Roman" w:hAnsi="Times New Roman" w:eastAsia="宋体" w:cs="Times New Roman"/>
                <w:b w:val="0"/>
                <w:bCs w:val="0"/>
                <w:snapToGrid/>
                <w:color w:val="auto"/>
                <w:kern w:val="2"/>
                <w:sz w:val="24"/>
                <w:szCs w:val="24"/>
                <w:lang w:val="en-US" w:eastAsia="zh-CN" w:bidi="ar-SA"/>
              </w:rPr>
              <w:t>火焰软化</w:t>
            </w:r>
            <w:r>
              <w:rPr>
                <w:rFonts w:hint="eastAsia" w:eastAsia="宋体" w:cs="Times New Roman"/>
                <w:b w:val="0"/>
                <w:bCs w:val="0"/>
                <w:snapToGrid/>
                <w:color w:val="auto"/>
                <w:kern w:val="2"/>
                <w:sz w:val="24"/>
                <w:szCs w:val="24"/>
                <w:lang w:val="en-US" w:eastAsia="zh-CN" w:bidi="ar-SA"/>
              </w:rPr>
              <w:t>、烤漆、催化燃烧</w:t>
            </w:r>
            <w:r>
              <w:rPr>
                <w:rFonts w:hint="eastAsia" w:cs="Times New Roman"/>
                <w:b w:val="0"/>
                <w:bCs w:val="0"/>
                <w:snapToGrid/>
                <w:color w:val="auto"/>
                <w:kern w:val="2"/>
                <w:sz w:val="24"/>
                <w:szCs w:val="24"/>
                <w:lang w:val="en-US" w:eastAsia="zh-CN" w:bidi="ar-SA"/>
              </w:rPr>
              <w:t>液化石油气</w:t>
            </w:r>
            <w:r>
              <w:rPr>
                <w:rFonts w:hint="eastAsia" w:eastAsia="宋体" w:cs="Times New Roman"/>
                <w:b w:val="0"/>
                <w:bCs w:val="0"/>
                <w:snapToGrid/>
                <w:color w:val="auto"/>
                <w:kern w:val="2"/>
                <w:sz w:val="24"/>
                <w:szCs w:val="24"/>
                <w:lang w:val="en-US" w:eastAsia="zh-CN" w:bidi="ar-SA"/>
              </w:rPr>
              <w:t>燃烧</w:t>
            </w:r>
            <w:r>
              <w:rPr>
                <w:rFonts w:hint="eastAsia" w:ascii="Times New Roman" w:hAnsi="Times New Roman" w:eastAsia="宋体" w:cs="Times New Roman"/>
                <w:b w:val="0"/>
                <w:bCs w:val="0"/>
                <w:snapToGrid/>
                <w:color w:val="auto"/>
                <w:kern w:val="2"/>
                <w:sz w:val="24"/>
                <w:szCs w:val="24"/>
                <w:lang w:val="en-US" w:eastAsia="zh-CN" w:bidi="ar-SA"/>
              </w:rPr>
              <w:t>废气</w:t>
            </w:r>
          </w:p>
          <w:p w14:paraId="11097165">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eastAsia" w:cs="Times New Roman"/>
                <w:b w:val="0"/>
                <w:bCs w:val="0"/>
                <w:snapToGrid/>
                <w:color w:val="auto"/>
                <w:kern w:val="2"/>
                <w:sz w:val="24"/>
                <w:szCs w:val="24"/>
                <w:lang w:val="en-US" w:eastAsia="zh-CN" w:bidi="ar-SA"/>
              </w:rPr>
            </w:pPr>
            <w:r>
              <w:rPr>
                <w:rFonts w:hint="eastAsia" w:eastAsia="宋体" w:cs="Times New Roman"/>
                <w:b w:val="0"/>
                <w:bCs w:val="0"/>
                <w:color w:val="auto"/>
                <w:sz w:val="24"/>
                <w:szCs w:val="24"/>
                <w:highlight w:val="none"/>
                <w:lang w:val="en-US" w:eastAsia="zh-CN"/>
              </w:rPr>
              <w:t>项目</w:t>
            </w:r>
            <w:r>
              <w:rPr>
                <w:rFonts w:hint="default" w:ascii="Times New Roman" w:hAnsi="Times New Roman" w:eastAsia="宋体" w:cs="Times New Roman"/>
                <w:b w:val="0"/>
                <w:bCs w:val="0"/>
                <w:color w:val="auto"/>
                <w:sz w:val="24"/>
                <w:szCs w:val="24"/>
                <w:highlight w:val="none"/>
                <w:lang w:val="en-US" w:eastAsia="zh-CN"/>
              </w:rPr>
              <w:t>高铁连接板火焰软化</w:t>
            </w:r>
            <w:r>
              <w:rPr>
                <w:rFonts w:hint="eastAsia" w:eastAsia="宋体" w:cs="Times New Roman"/>
                <w:b w:val="0"/>
                <w:bCs w:val="0"/>
                <w:color w:val="auto"/>
                <w:sz w:val="24"/>
                <w:szCs w:val="24"/>
                <w:highlight w:val="none"/>
                <w:lang w:val="en-US" w:eastAsia="zh-CN"/>
              </w:rPr>
              <w:t>定型</w:t>
            </w:r>
            <w:r>
              <w:rPr>
                <w:rFonts w:hint="default" w:ascii="Times New Roman" w:hAnsi="Times New Roman" w:eastAsia="宋体" w:cs="Times New Roman"/>
                <w:b w:val="0"/>
                <w:bCs w:val="0"/>
                <w:color w:val="auto"/>
                <w:sz w:val="24"/>
                <w:szCs w:val="24"/>
                <w:highlight w:val="none"/>
                <w:lang w:val="en-US" w:eastAsia="zh-CN"/>
              </w:rPr>
              <w:t>、烤漆、催化燃烧</w:t>
            </w:r>
            <w:r>
              <w:rPr>
                <w:rFonts w:hint="eastAsia" w:eastAsia="宋体" w:cs="Times New Roman"/>
                <w:b w:val="0"/>
                <w:bCs w:val="0"/>
                <w:color w:val="auto"/>
                <w:sz w:val="24"/>
                <w:szCs w:val="24"/>
                <w:highlight w:val="none"/>
                <w:lang w:val="en-US" w:eastAsia="zh-CN"/>
              </w:rPr>
              <w:t>设施需要使用</w:t>
            </w:r>
            <w:r>
              <w:rPr>
                <w:rFonts w:hint="eastAsia" w:cs="Times New Roman"/>
                <w:b w:val="0"/>
                <w:bCs w:val="0"/>
                <w:snapToGrid/>
                <w:color w:val="auto"/>
                <w:kern w:val="2"/>
                <w:sz w:val="24"/>
                <w:szCs w:val="24"/>
                <w:lang w:val="en-US" w:eastAsia="zh-CN" w:bidi="ar-SA"/>
              </w:rPr>
              <w:t>液化石油气</w:t>
            </w:r>
            <w:r>
              <w:rPr>
                <w:rFonts w:hint="eastAsia" w:eastAsia="宋体" w:cs="Times New Roman"/>
                <w:b w:val="0"/>
                <w:bCs w:val="0"/>
                <w:color w:val="auto"/>
                <w:sz w:val="24"/>
                <w:szCs w:val="24"/>
                <w:highlight w:val="none"/>
                <w:lang w:val="en-US" w:eastAsia="zh-CN"/>
              </w:rPr>
              <w:t>。项目拟设置一个</w:t>
            </w:r>
            <w:r>
              <w:rPr>
                <w:rFonts w:hint="eastAsia" w:cs="Times New Roman"/>
                <w:b w:val="0"/>
                <w:bCs w:val="0"/>
                <w:snapToGrid/>
                <w:color w:val="auto"/>
                <w:kern w:val="2"/>
                <w:sz w:val="24"/>
                <w:szCs w:val="24"/>
                <w:lang w:val="en-US" w:eastAsia="zh-CN" w:bidi="ar-SA"/>
              </w:rPr>
              <w:t>液化石油气</w:t>
            </w:r>
            <w:r>
              <w:rPr>
                <w:rFonts w:hint="eastAsia" w:eastAsia="宋体" w:cs="Times New Roman"/>
                <w:b w:val="0"/>
                <w:bCs w:val="0"/>
                <w:color w:val="auto"/>
                <w:sz w:val="24"/>
                <w:szCs w:val="24"/>
                <w:highlight w:val="none"/>
                <w:lang w:val="en-US" w:eastAsia="zh-CN"/>
              </w:rPr>
              <w:t>加气站，用于供气。项目</w:t>
            </w:r>
            <w:r>
              <w:rPr>
                <w:rFonts w:hint="default" w:ascii="Times New Roman" w:hAnsi="Times New Roman" w:eastAsia="宋体" w:cs="Times New Roman"/>
                <w:b w:val="0"/>
                <w:bCs w:val="0"/>
                <w:color w:val="auto"/>
                <w:sz w:val="24"/>
                <w:szCs w:val="24"/>
                <w:highlight w:val="none"/>
                <w:lang w:val="en-US" w:eastAsia="zh-CN"/>
              </w:rPr>
              <w:t>高铁连接板火焰软化</w:t>
            </w:r>
            <w:r>
              <w:rPr>
                <w:rFonts w:hint="eastAsia" w:eastAsia="宋体" w:cs="Times New Roman"/>
                <w:b w:val="0"/>
                <w:bCs w:val="0"/>
                <w:color w:val="auto"/>
                <w:sz w:val="24"/>
                <w:szCs w:val="24"/>
                <w:highlight w:val="none"/>
                <w:lang w:val="en-US" w:eastAsia="zh-CN"/>
              </w:rPr>
              <w:t>定型</w:t>
            </w:r>
            <w:r>
              <w:rPr>
                <w:rFonts w:hint="eastAsia" w:cs="Times New Roman"/>
                <w:b w:val="0"/>
                <w:bCs w:val="0"/>
                <w:color w:val="auto"/>
                <w:sz w:val="24"/>
                <w:szCs w:val="24"/>
                <w:highlight w:val="none"/>
                <w:lang w:val="en-US" w:eastAsia="zh-CN"/>
              </w:rPr>
              <w:t>液化石油气</w:t>
            </w:r>
            <w:r>
              <w:rPr>
                <w:rFonts w:hint="eastAsia" w:eastAsia="宋体" w:cs="Times New Roman"/>
                <w:b w:val="0"/>
                <w:bCs w:val="0"/>
                <w:color w:val="auto"/>
                <w:sz w:val="24"/>
                <w:szCs w:val="24"/>
                <w:highlight w:val="none"/>
                <w:lang w:val="en-US" w:eastAsia="zh-CN"/>
              </w:rPr>
              <w:t>燃烧废气在车间内无组织排放，每天工作时间为1h；</w:t>
            </w:r>
            <w:r>
              <w:rPr>
                <w:rFonts w:hint="default" w:ascii="Times New Roman" w:hAnsi="Times New Roman" w:eastAsia="宋体" w:cs="Times New Roman"/>
                <w:b w:val="0"/>
                <w:bCs w:val="0"/>
                <w:color w:val="auto"/>
                <w:sz w:val="24"/>
                <w:szCs w:val="24"/>
                <w:highlight w:val="none"/>
                <w:lang w:val="en-US" w:eastAsia="zh-CN"/>
              </w:rPr>
              <w:t>烤漆、催化燃烧</w:t>
            </w:r>
            <w:r>
              <w:rPr>
                <w:rFonts w:hint="eastAsia" w:cs="Times New Roman"/>
                <w:b w:val="0"/>
                <w:bCs w:val="0"/>
                <w:snapToGrid/>
                <w:color w:val="auto"/>
                <w:kern w:val="2"/>
                <w:sz w:val="24"/>
                <w:szCs w:val="24"/>
                <w:lang w:val="en-US" w:eastAsia="zh-CN" w:bidi="ar-SA"/>
              </w:rPr>
              <w:t>液化石油气燃烧废气经管道收集后经排气筒（DA001）排出，</w:t>
            </w:r>
            <w:r>
              <w:rPr>
                <w:rFonts w:hint="eastAsia" w:eastAsia="宋体" w:cs="Times New Roman"/>
                <w:b w:val="0"/>
                <w:bCs w:val="0"/>
                <w:color w:val="auto"/>
                <w:sz w:val="24"/>
                <w:szCs w:val="24"/>
                <w:highlight w:val="none"/>
                <w:lang w:val="en-US" w:eastAsia="zh-CN"/>
              </w:rPr>
              <w:t>每天工作时间为8h</w:t>
            </w:r>
            <w:r>
              <w:rPr>
                <w:rFonts w:hint="eastAsia" w:cs="Times New Roman"/>
                <w:b w:val="0"/>
                <w:bCs w:val="0"/>
                <w:snapToGrid/>
                <w:color w:val="auto"/>
                <w:kern w:val="2"/>
                <w:sz w:val="24"/>
                <w:szCs w:val="24"/>
                <w:lang w:val="en-US" w:eastAsia="zh-CN" w:bidi="ar-SA"/>
              </w:rPr>
              <w:t>。</w:t>
            </w:r>
            <w:r>
              <w:rPr>
                <w:rFonts w:hint="eastAsia" w:eastAsia="宋体" w:cs="Times New Roman"/>
                <w:b w:val="0"/>
                <w:bCs w:val="0"/>
                <w:color w:val="auto"/>
                <w:sz w:val="24"/>
                <w:szCs w:val="24"/>
                <w:highlight w:val="none"/>
                <w:lang w:val="en-US" w:eastAsia="zh-CN"/>
              </w:rPr>
              <w:t>根据《排放源统计调查产排污核算方法与系数手册》中机械行业系数手册(覆盖</w:t>
            </w:r>
            <w:r>
              <w:rPr>
                <w:rFonts w:hint="eastAsia" w:cs="Times New Roman"/>
                <w:b w:val="0"/>
                <w:bCs w:val="0"/>
                <w:color w:val="auto"/>
                <w:sz w:val="24"/>
                <w:szCs w:val="24"/>
                <w:highlight w:val="none"/>
                <w:lang w:val="en-US" w:eastAsia="zh-CN"/>
              </w:rPr>
              <w:t>行业</w:t>
            </w:r>
            <w:r>
              <w:rPr>
                <w:rFonts w:hint="eastAsia" w:eastAsia="宋体" w:cs="Times New Roman"/>
                <w:b w:val="0"/>
                <w:bCs w:val="0"/>
                <w:color w:val="auto"/>
                <w:sz w:val="24"/>
                <w:szCs w:val="24"/>
                <w:highlight w:val="none"/>
                <w:lang w:val="en-US" w:eastAsia="zh-CN"/>
              </w:rPr>
              <w:t>范围31-37、431-434)14涂装-液化石油气产排污系数</w:t>
            </w:r>
            <w:r>
              <w:rPr>
                <w:rFonts w:hint="eastAsia" w:cs="Times New Roman"/>
                <w:b w:val="0"/>
                <w:bCs w:val="0"/>
                <w:color w:val="auto"/>
                <w:sz w:val="24"/>
                <w:szCs w:val="24"/>
                <w:highlight w:val="none"/>
                <w:lang w:val="en-US" w:eastAsia="zh-CN"/>
              </w:rPr>
              <w:t>，项目</w:t>
            </w:r>
            <w:r>
              <w:rPr>
                <w:rFonts w:hint="eastAsia" w:cs="Times New Roman"/>
                <w:b w:val="0"/>
                <w:bCs w:val="0"/>
                <w:snapToGrid/>
                <w:color w:val="auto"/>
                <w:kern w:val="2"/>
                <w:sz w:val="24"/>
                <w:szCs w:val="24"/>
                <w:lang w:val="en-US" w:eastAsia="zh-CN" w:bidi="ar-SA"/>
              </w:rPr>
              <w:t>液化石油气</w:t>
            </w:r>
            <w:r>
              <w:rPr>
                <w:rFonts w:hint="eastAsia" w:eastAsia="宋体" w:cs="Times New Roman"/>
                <w:b w:val="0"/>
                <w:bCs w:val="0"/>
                <w:snapToGrid/>
                <w:color w:val="auto"/>
                <w:kern w:val="2"/>
                <w:sz w:val="24"/>
                <w:szCs w:val="24"/>
                <w:lang w:val="en-US" w:eastAsia="zh-CN" w:bidi="ar-SA"/>
              </w:rPr>
              <w:t>燃烧</w:t>
            </w:r>
            <w:r>
              <w:rPr>
                <w:rFonts w:hint="eastAsia" w:ascii="Times New Roman" w:hAnsi="Times New Roman" w:eastAsia="宋体" w:cs="Times New Roman"/>
                <w:b w:val="0"/>
                <w:bCs w:val="0"/>
                <w:snapToGrid/>
                <w:color w:val="auto"/>
                <w:kern w:val="2"/>
                <w:sz w:val="24"/>
                <w:szCs w:val="24"/>
                <w:lang w:val="en-US" w:eastAsia="zh-CN" w:bidi="ar-SA"/>
              </w:rPr>
              <w:t>废气</w:t>
            </w:r>
            <w:r>
              <w:rPr>
                <w:rFonts w:hint="eastAsia" w:cs="Times New Roman"/>
                <w:b w:val="0"/>
                <w:bCs w:val="0"/>
                <w:snapToGrid/>
                <w:color w:val="auto"/>
                <w:kern w:val="2"/>
                <w:sz w:val="24"/>
                <w:szCs w:val="24"/>
                <w:lang w:val="en-US" w:eastAsia="zh-CN" w:bidi="ar-SA"/>
              </w:rPr>
              <w:t>产排情况见下表。</w:t>
            </w:r>
          </w:p>
          <w:p w14:paraId="703BEA94">
            <w:pPr>
              <w:pStyle w:val="39"/>
              <w:jc w:val="center"/>
              <w:rPr>
                <w:rFonts w:hint="eastAsia" w:ascii="Times New Roman" w:hAnsi="宋体" w:eastAsia="宋体" w:cs="Times New Roman"/>
                <w:b/>
                <w:color w:val="auto"/>
                <w:kern w:val="2"/>
                <w:sz w:val="21"/>
                <w:szCs w:val="21"/>
                <w:highlight w:val="none"/>
                <w:u w:val="none" w:color="auto"/>
                <w:lang w:val="en-US" w:eastAsia="zh-CN" w:bidi="ar-SA"/>
              </w:rPr>
            </w:pPr>
          </w:p>
          <w:p w14:paraId="23F52B18">
            <w:pPr>
              <w:pStyle w:val="39"/>
              <w:jc w:val="center"/>
              <w:rPr>
                <w:rFonts w:hint="eastAsia" w:ascii="Times New Roman" w:hAnsi="宋体" w:eastAsia="宋体" w:cs="Times New Roman"/>
                <w:b/>
                <w:color w:val="auto"/>
                <w:kern w:val="2"/>
                <w:sz w:val="21"/>
                <w:szCs w:val="21"/>
                <w:highlight w:val="none"/>
                <w:u w:val="none" w:color="auto"/>
                <w:lang w:val="en-US" w:eastAsia="zh-CN" w:bidi="ar-SA"/>
              </w:rPr>
            </w:pPr>
          </w:p>
          <w:p w14:paraId="688A374E">
            <w:pPr>
              <w:pStyle w:val="39"/>
              <w:jc w:val="both"/>
              <w:rPr>
                <w:rFonts w:hint="eastAsia" w:ascii="Times New Roman" w:hAnsi="宋体" w:eastAsia="宋体" w:cs="Times New Roman"/>
                <w:b/>
                <w:color w:val="auto"/>
                <w:kern w:val="2"/>
                <w:sz w:val="21"/>
                <w:szCs w:val="21"/>
                <w:highlight w:val="none"/>
                <w:u w:val="none" w:color="auto"/>
                <w:lang w:val="en-US" w:eastAsia="zh-CN" w:bidi="ar-SA"/>
              </w:rPr>
            </w:pPr>
          </w:p>
          <w:p w14:paraId="7732895F">
            <w:pPr>
              <w:pStyle w:val="39"/>
              <w:jc w:val="center"/>
              <w:rPr>
                <w:rFonts w:hint="eastAsia" w:ascii="Times New Roman" w:hAnsi="宋体" w:eastAsia="宋体" w:cs="Times New Roman"/>
                <w:b/>
                <w:color w:val="auto"/>
                <w:kern w:val="2"/>
                <w:sz w:val="21"/>
                <w:szCs w:val="21"/>
                <w:highlight w:val="none"/>
                <w:u w:val="none" w:color="auto"/>
                <w:lang w:val="en-US" w:eastAsia="zh-CN" w:bidi="ar-SA"/>
              </w:rPr>
            </w:pPr>
            <w:r>
              <w:rPr>
                <w:rFonts w:hint="eastAsia" w:ascii="Times New Roman" w:hAnsi="宋体" w:eastAsia="宋体" w:cs="Times New Roman"/>
                <w:b/>
                <w:color w:val="auto"/>
                <w:kern w:val="2"/>
                <w:sz w:val="21"/>
                <w:szCs w:val="21"/>
                <w:highlight w:val="none"/>
                <w:u w:val="none" w:color="auto"/>
                <w:lang w:val="en-US" w:eastAsia="zh-CN" w:bidi="ar-SA"/>
              </w:rPr>
              <w:t>表</w:t>
            </w:r>
            <w:r>
              <w:rPr>
                <w:rFonts w:hint="eastAsia" w:ascii="Times New Roman" w:cs="Times New Roman"/>
                <w:b/>
                <w:color w:val="auto"/>
                <w:kern w:val="2"/>
                <w:sz w:val="21"/>
                <w:szCs w:val="21"/>
                <w:highlight w:val="none"/>
                <w:u w:val="none" w:color="auto"/>
                <w:lang w:val="en-US" w:eastAsia="zh-CN" w:bidi="ar-SA"/>
              </w:rPr>
              <w:t>4-2</w:t>
            </w:r>
            <w:r>
              <w:rPr>
                <w:rFonts w:hint="eastAsia" w:ascii="Times New Roman" w:hAnsi="宋体" w:eastAsia="宋体" w:cs="Times New Roman"/>
                <w:b/>
                <w:color w:val="auto"/>
                <w:kern w:val="2"/>
                <w:sz w:val="21"/>
                <w:szCs w:val="21"/>
                <w:highlight w:val="none"/>
                <w:u w:val="none" w:color="auto"/>
                <w:lang w:val="en-US" w:eastAsia="zh-CN" w:bidi="ar-SA"/>
              </w:rPr>
              <w:t xml:space="preserve">  高铁连接板火焰软化、烤漆、催化燃烧液化石油气燃烧废气污染物产生情况表</w:t>
            </w:r>
          </w:p>
          <w:tbl>
            <w:tblPr>
              <w:tblStyle w:val="31"/>
              <w:tblW w:w="8457" w:type="dxa"/>
              <w:tblInd w:w="-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1105"/>
              <w:gridCol w:w="1153"/>
              <w:gridCol w:w="1329"/>
              <w:gridCol w:w="1871"/>
              <w:gridCol w:w="1732"/>
            </w:tblGrid>
            <w:tr w14:paraId="57640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267" w:type="dxa"/>
                  <w:vAlign w:val="center"/>
                </w:tcPr>
                <w:p w14:paraId="10EC485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原料名称</w:t>
                  </w:r>
                </w:p>
              </w:tc>
              <w:tc>
                <w:tcPr>
                  <w:tcW w:w="1105" w:type="dxa"/>
                  <w:vAlign w:val="center"/>
                </w:tcPr>
                <w:p w14:paraId="47C0055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污染物指标</w:t>
                  </w:r>
                </w:p>
              </w:tc>
              <w:tc>
                <w:tcPr>
                  <w:tcW w:w="1153" w:type="dxa"/>
                  <w:vAlign w:val="center"/>
                </w:tcPr>
                <w:p w14:paraId="3DF711B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单位</w:t>
                  </w:r>
                </w:p>
              </w:tc>
              <w:tc>
                <w:tcPr>
                  <w:tcW w:w="1329" w:type="dxa"/>
                  <w:vAlign w:val="center"/>
                </w:tcPr>
                <w:p w14:paraId="24209FA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产污系数</w:t>
                  </w:r>
                </w:p>
              </w:tc>
              <w:tc>
                <w:tcPr>
                  <w:tcW w:w="1871" w:type="dxa"/>
                  <w:vAlign w:val="center"/>
                </w:tcPr>
                <w:p w14:paraId="7EE7BF1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高铁连接板火焰软化定型</w:t>
                  </w:r>
                </w:p>
              </w:tc>
              <w:tc>
                <w:tcPr>
                  <w:tcW w:w="1732" w:type="dxa"/>
                  <w:vAlign w:val="center"/>
                </w:tcPr>
                <w:p w14:paraId="6507839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烤漆、催化燃烧</w:t>
                  </w:r>
                </w:p>
              </w:tc>
            </w:tr>
            <w:tr w14:paraId="60A98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1267" w:type="dxa"/>
                  <w:vMerge w:val="restart"/>
                  <w:vAlign w:val="center"/>
                </w:tcPr>
                <w:p w14:paraId="3AFD36B5">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液化石油气</w:t>
                  </w:r>
                </w:p>
              </w:tc>
              <w:tc>
                <w:tcPr>
                  <w:tcW w:w="3587" w:type="dxa"/>
                  <w:gridSpan w:val="3"/>
                  <w:vMerge w:val="restart"/>
                  <w:vAlign w:val="center"/>
                </w:tcPr>
                <w:p w14:paraId="7A5AEE3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原料用量</w:t>
                  </w:r>
                </w:p>
              </w:tc>
              <w:tc>
                <w:tcPr>
                  <w:tcW w:w="1871" w:type="dxa"/>
                  <w:vAlign w:val="center"/>
                </w:tcPr>
                <w:p w14:paraId="2A10A14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0.3t/a</w:t>
                  </w:r>
                </w:p>
              </w:tc>
              <w:tc>
                <w:tcPr>
                  <w:tcW w:w="1732" w:type="dxa"/>
                  <w:vAlign w:val="center"/>
                </w:tcPr>
                <w:p w14:paraId="4D4A74D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0.95t/a</w:t>
                  </w:r>
                </w:p>
              </w:tc>
            </w:tr>
            <w:tr w14:paraId="24005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1267" w:type="dxa"/>
                  <w:vMerge w:val="continue"/>
                  <w:vAlign w:val="center"/>
                </w:tcPr>
                <w:p w14:paraId="49A8295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3587" w:type="dxa"/>
                  <w:gridSpan w:val="3"/>
                  <w:vMerge w:val="continue"/>
                  <w:vAlign w:val="center"/>
                </w:tcPr>
                <w:p w14:paraId="7384F52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1871" w:type="dxa"/>
                  <w:vAlign w:val="center"/>
                </w:tcPr>
                <w:p w14:paraId="0382D552">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127.66m</w:t>
                  </w:r>
                  <w:r>
                    <w:rPr>
                      <w:rFonts w:hint="eastAsia" w:eastAsia="宋体" w:cs="Times New Roman"/>
                      <w:b w:val="0"/>
                      <w:bCs/>
                      <w:snapToGrid w:val="0"/>
                      <w:color w:val="auto"/>
                      <w:spacing w:val="4"/>
                      <w:sz w:val="21"/>
                      <w:szCs w:val="21"/>
                      <w:u w:val="none" w:color="auto"/>
                      <w:vertAlign w:val="superscript"/>
                      <w:lang w:val="en-US" w:eastAsia="zh-CN"/>
                    </w:rPr>
                    <w:t>3</w:t>
                  </w:r>
                </w:p>
              </w:tc>
              <w:tc>
                <w:tcPr>
                  <w:tcW w:w="1732" w:type="dxa"/>
                  <w:vAlign w:val="center"/>
                </w:tcPr>
                <w:p w14:paraId="3810C7C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404.255 m</w:t>
                  </w:r>
                  <w:r>
                    <w:rPr>
                      <w:rFonts w:hint="eastAsia" w:eastAsia="宋体" w:cs="Times New Roman"/>
                      <w:b w:val="0"/>
                      <w:bCs/>
                      <w:snapToGrid w:val="0"/>
                      <w:color w:val="auto"/>
                      <w:spacing w:val="4"/>
                      <w:sz w:val="21"/>
                      <w:szCs w:val="21"/>
                      <w:u w:val="none" w:color="auto"/>
                      <w:vertAlign w:val="superscript"/>
                      <w:lang w:val="en-US" w:eastAsia="zh-CN"/>
                    </w:rPr>
                    <w:t>3</w:t>
                  </w:r>
                </w:p>
              </w:tc>
            </w:tr>
            <w:tr w14:paraId="165A0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267" w:type="dxa"/>
                  <w:vMerge w:val="continue"/>
                  <w:vAlign w:val="center"/>
                </w:tcPr>
                <w:p w14:paraId="4A9CE60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1105" w:type="dxa"/>
                  <w:vAlign w:val="center"/>
                </w:tcPr>
                <w:p w14:paraId="7F596702">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SO2</w:t>
                  </w:r>
                </w:p>
              </w:tc>
              <w:tc>
                <w:tcPr>
                  <w:tcW w:w="1153" w:type="dxa"/>
                  <w:vAlign w:val="center"/>
                </w:tcPr>
                <w:p w14:paraId="570FA30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千克/立方米-原料</w:t>
                  </w:r>
                </w:p>
              </w:tc>
              <w:tc>
                <w:tcPr>
                  <w:tcW w:w="1329" w:type="dxa"/>
                  <w:vAlign w:val="center"/>
                </w:tcPr>
                <w:p w14:paraId="1CF3CF0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0.000002S</w:t>
                  </w:r>
                </w:p>
              </w:tc>
              <w:tc>
                <w:tcPr>
                  <w:tcW w:w="1871" w:type="dxa"/>
                  <w:vAlign w:val="center"/>
                </w:tcPr>
                <w:p w14:paraId="6B9D071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0.0000037kg</w:t>
                  </w:r>
                </w:p>
              </w:tc>
              <w:tc>
                <w:tcPr>
                  <w:tcW w:w="1732" w:type="dxa"/>
                  <w:vAlign w:val="center"/>
                </w:tcPr>
                <w:p w14:paraId="1FC905A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0.000012kg </w:t>
                  </w:r>
                </w:p>
              </w:tc>
            </w:tr>
            <w:tr w14:paraId="06FB1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267" w:type="dxa"/>
                  <w:vMerge w:val="continue"/>
                  <w:vAlign w:val="center"/>
                </w:tcPr>
                <w:p w14:paraId="3396B13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1105" w:type="dxa"/>
                  <w:vAlign w:val="center"/>
                </w:tcPr>
                <w:p w14:paraId="60B37F4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颗粒物</w:t>
                  </w:r>
                </w:p>
              </w:tc>
              <w:tc>
                <w:tcPr>
                  <w:tcW w:w="1153" w:type="dxa"/>
                  <w:vAlign w:val="center"/>
                </w:tcPr>
                <w:p w14:paraId="4425E16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千克/立方米-原料</w:t>
                  </w:r>
                </w:p>
              </w:tc>
              <w:tc>
                <w:tcPr>
                  <w:tcW w:w="1329" w:type="dxa"/>
                  <w:vAlign w:val="center"/>
                </w:tcPr>
                <w:p w14:paraId="546DEDDF">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0.000220</w:t>
                  </w:r>
                </w:p>
              </w:tc>
              <w:tc>
                <w:tcPr>
                  <w:tcW w:w="1871" w:type="dxa"/>
                  <w:vAlign w:val="center"/>
                </w:tcPr>
                <w:p w14:paraId="2C14190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0.02809kg</w:t>
                  </w:r>
                </w:p>
              </w:tc>
              <w:tc>
                <w:tcPr>
                  <w:tcW w:w="1732" w:type="dxa"/>
                  <w:vAlign w:val="center"/>
                </w:tcPr>
                <w:p w14:paraId="7095927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0.088936kg</w:t>
                  </w:r>
                </w:p>
              </w:tc>
            </w:tr>
            <w:tr w14:paraId="267C6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267" w:type="dxa"/>
                  <w:vMerge w:val="continue"/>
                  <w:vAlign w:val="center"/>
                </w:tcPr>
                <w:p w14:paraId="01ECB60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1105" w:type="dxa"/>
                  <w:vAlign w:val="center"/>
                </w:tcPr>
                <w:p w14:paraId="65BDE3B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氮氧化物</w:t>
                  </w:r>
                </w:p>
              </w:tc>
              <w:tc>
                <w:tcPr>
                  <w:tcW w:w="1153" w:type="dxa"/>
                  <w:vAlign w:val="center"/>
                </w:tcPr>
                <w:p w14:paraId="00C83A7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千克/立方米-原料</w:t>
                  </w:r>
                </w:p>
              </w:tc>
              <w:tc>
                <w:tcPr>
                  <w:tcW w:w="1329" w:type="dxa"/>
                  <w:vAlign w:val="center"/>
                </w:tcPr>
                <w:p w14:paraId="17C8796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0.00596</w:t>
                  </w:r>
                </w:p>
              </w:tc>
              <w:tc>
                <w:tcPr>
                  <w:tcW w:w="1871" w:type="dxa"/>
                  <w:vAlign w:val="center"/>
                </w:tcPr>
                <w:p w14:paraId="441844F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0.76085kg</w:t>
                  </w:r>
                </w:p>
              </w:tc>
              <w:tc>
                <w:tcPr>
                  <w:tcW w:w="1732" w:type="dxa"/>
                  <w:vAlign w:val="center"/>
                </w:tcPr>
                <w:p w14:paraId="7583C74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2.409362kg </w:t>
                  </w:r>
                </w:p>
              </w:tc>
            </w:tr>
          </w:tbl>
          <w:p w14:paraId="1591147E">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default" w:cs="Times New Roman"/>
                <w:b w:val="0"/>
                <w:bCs w:val="0"/>
                <w:snapToGrid/>
                <w:color w:val="auto"/>
                <w:kern w:val="2"/>
                <w:sz w:val="24"/>
                <w:szCs w:val="24"/>
                <w:lang w:val="en-US" w:eastAsia="zh-CN" w:bidi="ar-SA"/>
              </w:rPr>
            </w:pPr>
          </w:p>
          <w:p w14:paraId="5A2BABB5">
            <w:pPr>
              <w:keepNext w:val="0"/>
              <w:keepLines w:val="0"/>
              <w:pageBreakBefore w:val="0"/>
              <w:widowControl w:val="0"/>
              <w:kinsoku/>
              <w:wordWrap/>
              <w:overflowPunct/>
              <w:topLinePunct w:val="0"/>
              <w:autoSpaceDE/>
              <w:autoSpaceDN/>
              <w:bidi w:val="0"/>
              <w:adjustRightInd/>
              <w:snapToGrid/>
              <w:spacing w:line="404" w:lineRule="exact"/>
              <w:ind w:firstLine="480"/>
              <w:textAlignment w:val="auto"/>
              <w:rPr>
                <w:rFonts w:hint="default" w:ascii="Times New Roman" w:hAnsi="Times New Roman" w:eastAsia="宋体" w:cs="Times New Roman"/>
                <w:b w:val="0"/>
                <w:bCs w:val="0"/>
                <w:color w:val="auto"/>
                <w:sz w:val="24"/>
                <w:szCs w:val="24"/>
                <w:highlight w:val="none"/>
                <w:lang w:val="en-US" w:eastAsia="zh-CN"/>
              </w:rPr>
            </w:pPr>
          </w:p>
          <w:p w14:paraId="1C01F83A">
            <w:pPr>
              <w:rPr>
                <w:rFonts w:hint="default"/>
                <w:color w:val="auto"/>
                <w:lang w:val="en-US" w:eastAsia="zh-CN"/>
              </w:rPr>
            </w:pPr>
          </w:p>
        </w:tc>
      </w:tr>
    </w:tbl>
    <w:p w14:paraId="7A73C412">
      <w:pPr>
        <w:rPr>
          <w:rFonts w:hint="default"/>
          <w:color w:val="auto"/>
          <w:lang w:val="en-US" w:eastAsia="zh-CN"/>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0A45BE93">
      <w:pPr>
        <w:rPr>
          <w:rFonts w:hint="default"/>
          <w:color w:val="auto"/>
          <w:lang w:val="en-US" w:eastAsia="zh-CN"/>
        </w:rPr>
      </w:pPr>
    </w:p>
    <w:p w14:paraId="71AB3DD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b/>
          <w:bCs/>
          <w:color w:val="auto"/>
          <w:sz w:val="21"/>
          <w:szCs w:val="21"/>
          <w:highlight w:val="none"/>
        </w:rPr>
      </w:pPr>
      <w:r>
        <w:rPr>
          <w:b/>
          <w:bCs/>
          <w:color w:val="auto"/>
          <w:sz w:val="21"/>
          <w:szCs w:val="21"/>
          <w:highlight w:val="none"/>
        </w:rPr>
        <w:t>表4-</w:t>
      </w:r>
      <w:r>
        <w:rPr>
          <w:rFonts w:hint="eastAsia"/>
          <w:b/>
          <w:bCs/>
          <w:color w:val="auto"/>
          <w:sz w:val="21"/>
          <w:szCs w:val="21"/>
          <w:highlight w:val="none"/>
          <w:lang w:val="en-US" w:eastAsia="zh-CN"/>
        </w:rPr>
        <w:t>3</w:t>
      </w:r>
      <w:r>
        <w:rPr>
          <w:b/>
          <w:bCs/>
          <w:color w:val="auto"/>
          <w:sz w:val="21"/>
          <w:szCs w:val="21"/>
          <w:highlight w:val="none"/>
        </w:rPr>
        <w:t xml:space="preserve">  本项目废气污染物产排情况一览表</w:t>
      </w:r>
    </w:p>
    <w:tbl>
      <w:tblPr>
        <w:tblStyle w:val="31"/>
        <w:tblW w:w="537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
        <w:gridCol w:w="973"/>
        <w:gridCol w:w="930"/>
        <w:gridCol w:w="862"/>
        <w:gridCol w:w="957"/>
        <w:gridCol w:w="961"/>
        <w:gridCol w:w="1314"/>
        <w:gridCol w:w="1532"/>
        <w:gridCol w:w="850"/>
        <w:gridCol w:w="1005"/>
        <w:gridCol w:w="1045"/>
        <w:gridCol w:w="1163"/>
        <w:gridCol w:w="919"/>
        <w:gridCol w:w="825"/>
        <w:gridCol w:w="1016"/>
      </w:tblGrid>
      <w:tr w14:paraId="02688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blHeader/>
        </w:trPr>
        <w:tc>
          <w:tcPr>
            <w:tcW w:w="308" w:type="pct"/>
            <w:vMerge w:val="restart"/>
            <w:noWrap w:val="0"/>
            <w:vAlign w:val="center"/>
          </w:tcPr>
          <w:p w14:paraId="1DB4E0E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产排</w:t>
            </w:r>
          </w:p>
          <w:p w14:paraId="1344390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污环节</w:t>
            </w:r>
          </w:p>
        </w:tc>
        <w:tc>
          <w:tcPr>
            <w:tcW w:w="318" w:type="pct"/>
            <w:vMerge w:val="restart"/>
            <w:noWrap w:val="0"/>
            <w:vAlign w:val="center"/>
          </w:tcPr>
          <w:p w14:paraId="1CF987B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污染物</w:t>
            </w:r>
          </w:p>
        </w:tc>
        <w:tc>
          <w:tcPr>
            <w:tcW w:w="304" w:type="pct"/>
            <w:vMerge w:val="restart"/>
            <w:noWrap w:val="0"/>
            <w:vAlign w:val="center"/>
          </w:tcPr>
          <w:p w14:paraId="493835B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排放</w:t>
            </w:r>
          </w:p>
          <w:p w14:paraId="50114A1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方式</w:t>
            </w:r>
          </w:p>
        </w:tc>
        <w:tc>
          <w:tcPr>
            <w:tcW w:w="908" w:type="pct"/>
            <w:gridSpan w:val="3"/>
            <w:noWrap w:val="0"/>
            <w:vAlign w:val="center"/>
          </w:tcPr>
          <w:p w14:paraId="606B0BF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污染物产生情况</w:t>
            </w:r>
          </w:p>
        </w:tc>
        <w:tc>
          <w:tcPr>
            <w:tcW w:w="930" w:type="pct"/>
            <w:gridSpan w:val="2"/>
            <w:noWrap w:val="0"/>
            <w:vAlign w:val="center"/>
          </w:tcPr>
          <w:p w14:paraId="4CD7D1B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治理设施</w:t>
            </w:r>
          </w:p>
        </w:tc>
        <w:tc>
          <w:tcPr>
            <w:tcW w:w="947" w:type="pct"/>
            <w:gridSpan w:val="3"/>
            <w:noWrap w:val="0"/>
            <w:vAlign w:val="center"/>
          </w:tcPr>
          <w:p w14:paraId="04543EB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污染物排放情况</w:t>
            </w:r>
          </w:p>
        </w:tc>
        <w:tc>
          <w:tcPr>
            <w:tcW w:w="380" w:type="pct"/>
            <w:vMerge w:val="restart"/>
            <w:noWrap w:val="0"/>
            <w:vAlign w:val="center"/>
          </w:tcPr>
          <w:p w14:paraId="6EF8FD5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排放口</w:t>
            </w:r>
          </w:p>
        </w:tc>
        <w:tc>
          <w:tcPr>
            <w:tcW w:w="902" w:type="pct"/>
            <w:gridSpan w:val="3"/>
            <w:noWrap w:val="0"/>
            <w:vAlign w:val="center"/>
          </w:tcPr>
          <w:p w14:paraId="7F8C6EE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排放标准</w:t>
            </w:r>
          </w:p>
        </w:tc>
      </w:tr>
      <w:tr w14:paraId="7279D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tblHeader/>
        </w:trPr>
        <w:tc>
          <w:tcPr>
            <w:tcW w:w="308" w:type="pct"/>
            <w:vMerge w:val="continue"/>
            <w:noWrap w:val="0"/>
            <w:vAlign w:val="center"/>
          </w:tcPr>
          <w:p w14:paraId="2E7D55E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p>
        </w:tc>
        <w:tc>
          <w:tcPr>
            <w:tcW w:w="318" w:type="pct"/>
            <w:vMerge w:val="continue"/>
            <w:noWrap w:val="0"/>
            <w:vAlign w:val="center"/>
          </w:tcPr>
          <w:p w14:paraId="187E06A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p>
        </w:tc>
        <w:tc>
          <w:tcPr>
            <w:tcW w:w="304" w:type="pct"/>
            <w:vMerge w:val="continue"/>
            <w:noWrap w:val="0"/>
            <w:vAlign w:val="center"/>
          </w:tcPr>
          <w:p w14:paraId="03F5093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p>
        </w:tc>
        <w:tc>
          <w:tcPr>
            <w:tcW w:w="281" w:type="pct"/>
            <w:noWrap w:val="0"/>
            <w:vAlign w:val="center"/>
          </w:tcPr>
          <w:p w14:paraId="0D57F7A2">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产生量t/a</w:t>
            </w:r>
          </w:p>
        </w:tc>
        <w:tc>
          <w:tcPr>
            <w:tcW w:w="312" w:type="pct"/>
            <w:noWrap w:val="0"/>
            <w:vAlign w:val="center"/>
          </w:tcPr>
          <w:p w14:paraId="5EF722D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浓度</w:t>
            </w:r>
          </w:p>
          <w:p w14:paraId="452DF68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mg/m3</w:t>
            </w:r>
          </w:p>
        </w:tc>
        <w:tc>
          <w:tcPr>
            <w:tcW w:w="314" w:type="pct"/>
            <w:noWrap w:val="0"/>
            <w:vAlign w:val="center"/>
          </w:tcPr>
          <w:p w14:paraId="35112F9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速率</w:t>
            </w:r>
          </w:p>
          <w:p w14:paraId="3C2A26C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kg/h</w:t>
            </w:r>
          </w:p>
        </w:tc>
        <w:tc>
          <w:tcPr>
            <w:tcW w:w="429" w:type="pct"/>
            <w:noWrap w:val="0"/>
            <w:vAlign w:val="center"/>
          </w:tcPr>
          <w:p w14:paraId="48B2F124">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工艺</w:t>
            </w:r>
          </w:p>
        </w:tc>
        <w:tc>
          <w:tcPr>
            <w:tcW w:w="500" w:type="pct"/>
            <w:noWrap w:val="0"/>
            <w:vAlign w:val="center"/>
          </w:tcPr>
          <w:p w14:paraId="006759F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效率</w:t>
            </w:r>
          </w:p>
          <w:p w14:paraId="57C97EB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w:t>
            </w:r>
          </w:p>
        </w:tc>
        <w:tc>
          <w:tcPr>
            <w:tcW w:w="277" w:type="pct"/>
            <w:noWrap w:val="0"/>
            <w:vAlign w:val="center"/>
          </w:tcPr>
          <w:p w14:paraId="23AFFC9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排放</w:t>
            </w:r>
          </w:p>
          <w:p w14:paraId="6AE7E9B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量t/a</w:t>
            </w:r>
          </w:p>
        </w:tc>
        <w:tc>
          <w:tcPr>
            <w:tcW w:w="328" w:type="pct"/>
            <w:noWrap w:val="0"/>
            <w:vAlign w:val="center"/>
          </w:tcPr>
          <w:p w14:paraId="7D31155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浓度</w:t>
            </w:r>
          </w:p>
          <w:p w14:paraId="1E84B315">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mg/m³</w:t>
            </w:r>
          </w:p>
        </w:tc>
        <w:tc>
          <w:tcPr>
            <w:tcW w:w="341" w:type="pct"/>
            <w:noWrap w:val="0"/>
            <w:vAlign w:val="center"/>
          </w:tcPr>
          <w:p w14:paraId="6EBC479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速率</w:t>
            </w:r>
          </w:p>
          <w:p w14:paraId="0C33604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kg/h</w:t>
            </w:r>
          </w:p>
        </w:tc>
        <w:tc>
          <w:tcPr>
            <w:tcW w:w="380" w:type="pct"/>
            <w:vMerge w:val="continue"/>
            <w:noWrap w:val="0"/>
            <w:vAlign w:val="center"/>
          </w:tcPr>
          <w:p w14:paraId="5CF0E82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p>
        </w:tc>
        <w:tc>
          <w:tcPr>
            <w:tcW w:w="300" w:type="pct"/>
            <w:noWrap w:val="0"/>
            <w:vAlign w:val="center"/>
          </w:tcPr>
          <w:p w14:paraId="5F7CCC0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排放速率（kg/h）</w:t>
            </w:r>
          </w:p>
        </w:tc>
        <w:tc>
          <w:tcPr>
            <w:tcW w:w="269" w:type="pct"/>
            <w:noWrap w:val="0"/>
            <w:vAlign w:val="center"/>
          </w:tcPr>
          <w:p w14:paraId="1C5DED1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排放浓度（mg/m3）</w:t>
            </w:r>
          </w:p>
        </w:tc>
        <w:tc>
          <w:tcPr>
            <w:tcW w:w="332" w:type="pct"/>
            <w:noWrap w:val="0"/>
            <w:vAlign w:val="center"/>
          </w:tcPr>
          <w:p w14:paraId="47E0592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无组织排放监控浓度限值（mg/m3）</w:t>
            </w:r>
          </w:p>
        </w:tc>
      </w:tr>
      <w:tr w14:paraId="3F72F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blHeader/>
        </w:trPr>
        <w:tc>
          <w:tcPr>
            <w:tcW w:w="308" w:type="pct"/>
            <w:noWrap w:val="0"/>
            <w:vAlign w:val="center"/>
          </w:tcPr>
          <w:p w14:paraId="64C9F8F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风扇风罩下料切割</w:t>
            </w:r>
          </w:p>
        </w:tc>
        <w:tc>
          <w:tcPr>
            <w:tcW w:w="318" w:type="pct"/>
            <w:noWrap w:val="0"/>
            <w:vAlign w:val="center"/>
          </w:tcPr>
          <w:p w14:paraId="6EF5880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颗粒物</w:t>
            </w:r>
          </w:p>
        </w:tc>
        <w:tc>
          <w:tcPr>
            <w:tcW w:w="304" w:type="pct"/>
            <w:noWrap w:val="0"/>
            <w:vAlign w:val="center"/>
          </w:tcPr>
          <w:p w14:paraId="6F2D70D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noWrap w:val="0"/>
            <w:vAlign w:val="center"/>
          </w:tcPr>
          <w:p w14:paraId="07E633F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0.075</w:t>
            </w:r>
          </w:p>
        </w:tc>
        <w:tc>
          <w:tcPr>
            <w:tcW w:w="312" w:type="pct"/>
            <w:shd w:val="clear" w:color="auto" w:fill="auto"/>
            <w:noWrap w:val="0"/>
            <w:vAlign w:val="center"/>
          </w:tcPr>
          <w:p w14:paraId="523E7E74">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14" w:type="pct"/>
            <w:noWrap w:val="0"/>
            <w:vAlign w:val="center"/>
          </w:tcPr>
          <w:p w14:paraId="441A332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0.03125</w:t>
            </w:r>
          </w:p>
        </w:tc>
        <w:tc>
          <w:tcPr>
            <w:tcW w:w="429" w:type="pct"/>
            <w:noWrap w:val="0"/>
            <w:vAlign w:val="center"/>
          </w:tcPr>
          <w:p w14:paraId="754AB68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移动式粉尘净化器、自然沉降</w:t>
            </w:r>
          </w:p>
        </w:tc>
        <w:tc>
          <w:tcPr>
            <w:tcW w:w="500" w:type="pct"/>
            <w:noWrap w:val="0"/>
            <w:vAlign w:val="center"/>
          </w:tcPr>
          <w:p w14:paraId="1182AFC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收集效率</w:t>
            </w:r>
          </w:p>
          <w:p w14:paraId="0037592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60%，处理效率90%、沉降效率90%</w:t>
            </w:r>
          </w:p>
        </w:tc>
        <w:tc>
          <w:tcPr>
            <w:tcW w:w="277" w:type="pct"/>
            <w:shd w:val="clear" w:color="auto" w:fill="auto"/>
            <w:noWrap w:val="0"/>
            <w:vAlign w:val="center"/>
          </w:tcPr>
          <w:p w14:paraId="324FC45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0.00345</w:t>
            </w:r>
          </w:p>
        </w:tc>
        <w:tc>
          <w:tcPr>
            <w:tcW w:w="328" w:type="pct"/>
            <w:noWrap w:val="0"/>
            <w:vAlign w:val="center"/>
          </w:tcPr>
          <w:p w14:paraId="3C61DEA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41" w:type="pct"/>
            <w:shd w:val="clear" w:color="auto" w:fill="auto"/>
            <w:noWrap w:val="0"/>
            <w:vAlign w:val="center"/>
          </w:tcPr>
          <w:p w14:paraId="368413F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0.00144</w:t>
            </w:r>
          </w:p>
        </w:tc>
        <w:tc>
          <w:tcPr>
            <w:tcW w:w="380" w:type="pct"/>
            <w:shd w:val="clear" w:color="auto" w:fill="auto"/>
            <w:noWrap w:val="0"/>
            <w:vAlign w:val="center"/>
          </w:tcPr>
          <w:p w14:paraId="0365F10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00" w:type="pct"/>
            <w:shd w:val="clear" w:color="auto" w:fill="auto"/>
            <w:noWrap w:val="0"/>
            <w:vAlign w:val="center"/>
          </w:tcPr>
          <w:p w14:paraId="03CBC21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shd w:val="clear" w:color="auto" w:fill="auto"/>
            <w:noWrap w:val="0"/>
            <w:vAlign w:val="center"/>
          </w:tcPr>
          <w:p w14:paraId="5DE38FF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shd w:val="clear" w:color="auto" w:fill="auto"/>
            <w:noWrap w:val="0"/>
            <w:vAlign w:val="center"/>
          </w:tcPr>
          <w:p w14:paraId="2250FC3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1.0</w:t>
            </w:r>
          </w:p>
        </w:tc>
      </w:tr>
      <w:tr w14:paraId="678EF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blHeader/>
        </w:trPr>
        <w:tc>
          <w:tcPr>
            <w:tcW w:w="308" w:type="pct"/>
            <w:noWrap w:val="0"/>
            <w:vAlign w:val="center"/>
          </w:tcPr>
          <w:p w14:paraId="14C4704F">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风扇风罩</w:t>
            </w:r>
            <w:r>
              <w:rPr>
                <w:rFonts w:hint="eastAsia" w:eastAsia="宋体" w:cs="Times New Roman"/>
                <w:b w:val="0"/>
                <w:bCs/>
                <w:snapToGrid w:val="0"/>
                <w:color w:val="auto"/>
                <w:spacing w:val="4"/>
                <w:sz w:val="21"/>
                <w:szCs w:val="21"/>
                <w:u w:val="none" w:color="auto"/>
                <w:lang w:val="en-US" w:eastAsia="zh-CN"/>
              </w:rPr>
              <w:t>焊接</w:t>
            </w:r>
          </w:p>
        </w:tc>
        <w:tc>
          <w:tcPr>
            <w:tcW w:w="318" w:type="pct"/>
            <w:noWrap w:val="0"/>
            <w:vAlign w:val="center"/>
          </w:tcPr>
          <w:p w14:paraId="7D71F4E4">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颗粒物</w:t>
            </w:r>
          </w:p>
        </w:tc>
        <w:tc>
          <w:tcPr>
            <w:tcW w:w="304" w:type="pct"/>
            <w:noWrap w:val="0"/>
            <w:vAlign w:val="center"/>
          </w:tcPr>
          <w:p w14:paraId="0C72E3E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noWrap w:val="0"/>
            <w:vAlign w:val="center"/>
          </w:tcPr>
          <w:p w14:paraId="4ED06DE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0.0138</w:t>
            </w:r>
          </w:p>
        </w:tc>
        <w:tc>
          <w:tcPr>
            <w:tcW w:w="312" w:type="pct"/>
            <w:shd w:val="clear" w:color="auto" w:fill="auto"/>
            <w:noWrap w:val="0"/>
            <w:vAlign w:val="center"/>
          </w:tcPr>
          <w:p w14:paraId="3214C192">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14" w:type="pct"/>
            <w:shd w:val="clear" w:color="auto" w:fill="auto"/>
            <w:noWrap w:val="0"/>
            <w:vAlign w:val="center"/>
          </w:tcPr>
          <w:p w14:paraId="2544483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0.00574</w:t>
            </w:r>
          </w:p>
        </w:tc>
        <w:tc>
          <w:tcPr>
            <w:tcW w:w="429" w:type="pct"/>
            <w:shd w:val="clear" w:color="auto" w:fill="auto"/>
            <w:noWrap w:val="0"/>
            <w:vAlign w:val="center"/>
          </w:tcPr>
          <w:p w14:paraId="0F6125C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移动式粉尘净化器</w:t>
            </w:r>
          </w:p>
        </w:tc>
        <w:tc>
          <w:tcPr>
            <w:tcW w:w="500" w:type="pct"/>
            <w:shd w:val="clear" w:color="auto" w:fill="auto"/>
            <w:noWrap w:val="0"/>
            <w:vAlign w:val="center"/>
          </w:tcPr>
          <w:p w14:paraId="06F8EB4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收集效率</w:t>
            </w:r>
          </w:p>
          <w:p w14:paraId="520D5B6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60%，处理效率90%</w:t>
            </w:r>
          </w:p>
        </w:tc>
        <w:tc>
          <w:tcPr>
            <w:tcW w:w="277" w:type="pct"/>
            <w:shd w:val="clear" w:color="auto" w:fill="auto"/>
            <w:noWrap w:val="0"/>
            <w:vAlign w:val="center"/>
          </w:tcPr>
          <w:p w14:paraId="38870AB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0.0063</w:t>
            </w:r>
          </w:p>
        </w:tc>
        <w:tc>
          <w:tcPr>
            <w:tcW w:w="328" w:type="pct"/>
            <w:noWrap w:val="0"/>
            <w:vAlign w:val="center"/>
          </w:tcPr>
          <w:p w14:paraId="6AEA195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41" w:type="pct"/>
            <w:shd w:val="clear" w:color="auto" w:fill="auto"/>
            <w:noWrap w:val="0"/>
            <w:vAlign w:val="center"/>
          </w:tcPr>
          <w:p w14:paraId="6355E96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0.00264</w:t>
            </w:r>
          </w:p>
        </w:tc>
        <w:tc>
          <w:tcPr>
            <w:tcW w:w="380" w:type="pct"/>
            <w:shd w:val="clear" w:color="auto" w:fill="auto"/>
            <w:noWrap w:val="0"/>
            <w:vAlign w:val="center"/>
          </w:tcPr>
          <w:p w14:paraId="1A2DFE24">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00" w:type="pct"/>
            <w:shd w:val="clear" w:color="auto" w:fill="auto"/>
            <w:noWrap w:val="0"/>
            <w:vAlign w:val="center"/>
          </w:tcPr>
          <w:p w14:paraId="2B1C1C9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shd w:val="clear" w:color="auto" w:fill="auto"/>
            <w:noWrap w:val="0"/>
            <w:vAlign w:val="center"/>
          </w:tcPr>
          <w:p w14:paraId="61D62F9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shd w:val="clear" w:color="auto" w:fill="auto"/>
            <w:noWrap w:val="0"/>
            <w:vAlign w:val="center"/>
          </w:tcPr>
          <w:p w14:paraId="4A8E8D8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1.0</w:t>
            </w:r>
          </w:p>
        </w:tc>
      </w:tr>
      <w:tr w14:paraId="14017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blHeader/>
        </w:trPr>
        <w:tc>
          <w:tcPr>
            <w:tcW w:w="308" w:type="pct"/>
            <w:noWrap w:val="0"/>
            <w:vAlign w:val="center"/>
          </w:tcPr>
          <w:p w14:paraId="75C0CA8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风扇风罩打磨</w:t>
            </w:r>
          </w:p>
        </w:tc>
        <w:tc>
          <w:tcPr>
            <w:tcW w:w="318" w:type="pct"/>
            <w:noWrap w:val="0"/>
            <w:vAlign w:val="center"/>
          </w:tcPr>
          <w:p w14:paraId="7A5028D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颗粒物</w:t>
            </w:r>
          </w:p>
        </w:tc>
        <w:tc>
          <w:tcPr>
            <w:tcW w:w="304" w:type="pct"/>
            <w:noWrap w:val="0"/>
            <w:vAlign w:val="center"/>
          </w:tcPr>
          <w:p w14:paraId="4A142AF2">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noWrap w:val="0"/>
            <w:vAlign w:val="center"/>
          </w:tcPr>
          <w:p w14:paraId="7029BF8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0.011</w:t>
            </w:r>
          </w:p>
        </w:tc>
        <w:tc>
          <w:tcPr>
            <w:tcW w:w="312" w:type="pct"/>
            <w:shd w:val="clear" w:color="auto" w:fill="auto"/>
            <w:noWrap w:val="0"/>
            <w:vAlign w:val="center"/>
          </w:tcPr>
          <w:p w14:paraId="1F1ABBCF">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14" w:type="pct"/>
            <w:shd w:val="clear" w:color="auto" w:fill="auto"/>
            <w:noWrap w:val="0"/>
            <w:vAlign w:val="center"/>
          </w:tcPr>
          <w:p w14:paraId="641FB572">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0.00456</w:t>
            </w:r>
          </w:p>
        </w:tc>
        <w:tc>
          <w:tcPr>
            <w:tcW w:w="429" w:type="pct"/>
            <w:shd w:val="clear" w:color="auto" w:fill="auto"/>
            <w:noWrap w:val="0"/>
            <w:vAlign w:val="center"/>
          </w:tcPr>
          <w:p w14:paraId="38E1AEB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移动式粉尘净化器、自然沉降</w:t>
            </w:r>
          </w:p>
        </w:tc>
        <w:tc>
          <w:tcPr>
            <w:tcW w:w="500" w:type="pct"/>
            <w:shd w:val="clear" w:color="auto" w:fill="auto"/>
            <w:noWrap w:val="0"/>
            <w:vAlign w:val="center"/>
          </w:tcPr>
          <w:p w14:paraId="50B2966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收集效率</w:t>
            </w:r>
          </w:p>
          <w:p w14:paraId="3414FCE2">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60%，处理效率90%、沉降效率90%</w:t>
            </w:r>
          </w:p>
        </w:tc>
        <w:tc>
          <w:tcPr>
            <w:tcW w:w="277" w:type="pct"/>
            <w:shd w:val="clear" w:color="auto" w:fill="auto"/>
            <w:noWrap w:val="0"/>
            <w:vAlign w:val="center"/>
          </w:tcPr>
          <w:p w14:paraId="3469CA1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0.0005</w:t>
            </w:r>
          </w:p>
        </w:tc>
        <w:tc>
          <w:tcPr>
            <w:tcW w:w="328" w:type="pct"/>
            <w:noWrap w:val="0"/>
            <w:vAlign w:val="center"/>
          </w:tcPr>
          <w:p w14:paraId="11DC6EA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41" w:type="pct"/>
            <w:shd w:val="clear" w:color="auto" w:fill="auto"/>
            <w:noWrap w:val="0"/>
            <w:vAlign w:val="center"/>
          </w:tcPr>
          <w:p w14:paraId="79C47D5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0.0021</w:t>
            </w:r>
          </w:p>
        </w:tc>
        <w:tc>
          <w:tcPr>
            <w:tcW w:w="380" w:type="pct"/>
            <w:shd w:val="clear" w:color="auto" w:fill="auto"/>
            <w:noWrap w:val="0"/>
            <w:vAlign w:val="center"/>
          </w:tcPr>
          <w:p w14:paraId="5914C77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00" w:type="pct"/>
            <w:shd w:val="clear" w:color="auto" w:fill="auto"/>
            <w:noWrap w:val="0"/>
            <w:vAlign w:val="center"/>
          </w:tcPr>
          <w:p w14:paraId="50207A6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shd w:val="clear" w:color="auto" w:fill="auto"/>
            <w:noWrap w:val="0"/>
            <w:vAlign w:val="center"/>
          </w:tcPr>
          <w:p w14:paraId="64623C6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shd w:val="clear" w:color="auto" w:fill="auto"/>
            <w:noWrap w:val="0"/>
            <w:vAlign w:val="center"/>
          </w:tcPr>
          <w:p w14:paraId="6CE608C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1.0</w:t>
            </w:r>
          </w:p>
        </w:tc>
      </w:tr>
      <w:tr w14:paraId="761E8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blHeader/>
        </w:trPr>
        <w:tc>
          <w:tcPr>
            <w:tcW w:w="308" w:type="pct"/>
            <w:noWrap w:val="0"/>
            <w:vAlign w:val="center"/>
          </w:tcPr>
          <w:p w14:paraId="6FC6873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高铁连接板</w:t>
            </w:r>
            <w:r>
              <w:rPr>
                <w:rFonts w:hint="default" w:eastAsia="宋体" w:cs="Times New Roman"/>
                <w:b w:val="0"/>
                <w:bCs/>
                <w:snapToGrid w:val="0"/>
                <w:color w:val="auto"/>
                <w:spacing w:val="4"/>
                <w:sz w:val="21"/>
                <w:szCs w:val="21"/>
                <w:u w:val="none" w:color="auto"/>
                <w:lang w:val="en-US" w:eastAsia="zh-CN"/>
              </w:rPr>
              <w:t>打磨粉尘</w:t>
            </w:r>
          </w:p>
        </w:tc>
        <w:tc>
          <w:tcPr>
            <w:tcW w:w="318" w:type="pct"/>
            <w:noWrap w:val="0"/>
            <w:vAlign w:val="center"/>
          </w:tcPr>
          <w:p w14:paraId="3A5987F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颗粒物</w:t>
            </w:r>
          </w:p>
        </w:tc>
        <w:tc>
          <w:tcPr>
            <w:tcW w:w="304" w:type="pct"/>
            <w:noWrap w:val="0"/>
            <w:vAlign w:val="center"/>
          </w:tcPr>
          <w:p w14:paraId="3FD6421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noWrap w:val="0"/>
            <w:vAlign w:val="center"/>
          </w:tcPr>
          <w:p w14:paraId="1845098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0.0263</w:t>
            </w:r>
          </w:p>
        </w:tc>
        <w:tc>
          <w:tcPr>
            <w:tcW w:w="312" w:type="pct"/>
            <w:shd w:val="clear" w:color="auto" w:fill="auto"/>
            <w:noWrap w:val="0"/>
            <w:vAlign w:val="center"/>
          </w:tcPr>
          <w:p w14:paraId="32E84D1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14" w:type="pct"/>
            <w:shd w:val="clear" w:color="auto" w:fill="auto"/>
            <w:noWrap w:val="0"/>
            <w:vAlign w:val="center"/>
          </w:tcPr>
          <w:p w14:paraId="305FAAE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0.01095</w:t>
            </w:r>
          </w:p>
        </w:tc>
        <w:tc>
          <w:tcPr>
            <w:tcW w:w="429" w:type="pct"/>
            <w:shd w:val="clear" w:color="auto" w:fill="auto"/>
            <w:noWrap w:val="0"/>
            <w:vAlign w:val="center"/>
          </w:tcPr>
          <w:p w14:paraId="7BA0A79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移动式粉尘净化器</w:t>
            </w:r>
          </w:p>
        </w:tc>
        <w:tc>
          <w:tcPr>
            <w:tcW w:w="500" w:type="pct"/>
            <w:shd w:val="clear" w:color="auto" w:fill="auto"/>
            <w:noWrap w:val="0"/>
            <w:vAlign w:val="center"/>
          </w:tcPr>
          <w:p w14:paraId="7142440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收集效率</w:t>
            </w:r>
          </w:p>
          <w:p w14:paraId="1B4AC69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60%，处理效率90%</w:t>
            </w:r>
          </w:p>
        </w:tc>
        <w:tc>
          <w:tcPr>
            <w:tcW w:w="277" w:type="pct"/>
            <w:shd w:val="clear" w:color="auto" w:fill="auto"/>
            <w:noWrap w:val="0"/>
            <w:vAlign w:val="center"/>
          </w:tcPr>
          <w:p w14:paraId="1BEE6F6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0.0121</w:t>
            </w:r>
          </w:p>
        </w:tc>
        <w:tc>
          <w:tcPr>
            <w:tcW w:w="328" w:type="pct"/>
            <w:noWrap w:val="0"/>
            <w:vAlign w:val="center"/>
          </w:tcPr>
          <w:p w14:paraId="06C606E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41" w:type="pct"/>
            <w:shd w:val="clear" w:color="auto" w:fill="auto"/>
            <w:noWrap w:val="0"/>
            <w:vAlign w:val="center"/>
          </w:tcPr>
          <w:p w14:paraId="4653136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0.005</w:t>
            </w:r>
          </w:p>
        </w:tc>
        <w:tc>
          <w:tcPr>
            <w:tcW w:w="380" w:type="pct"/>
            <w:shd w:val="clear" w:color="auto" w:fill="auto"/>
            <w:noWrap w:val="0"/>
            <w:vAlign w:val="center"/>
          </w:tcPr>
          <w:p w14:paraId="4E2B7E3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00" w:type="pct"/>
            <w:shd w:val="clear" w:color="auto" w:fill="auto"/>
            <w:noWrap w:val="0"/>
            <w:vAlign w:val="center"/>
          </w:tcPr>
          <w:p w14:paraId="7A4FEF9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shd w:val="clear" w:color="auto" w:fill="auto"/>
            <w:noWrap w:val="0"/>
            <w:vAlign w:val="center"/>
          </w:tcPr>
          <w:p w14:paraId="0C758DD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332" w:type="pct"/>
            <w:shd w:val="clear" w:color="auto" w:fill="auto"/>
            <w:noWrap w:val="0"/>
            <w:vAlign w:val="center"/>
          </w:tcPr>
          <w:p w14:paraId="29D35AD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1.0</w:t>
            </w:r>
          </w:p>
        </w:tc>
      </w:tr>
      <w:tr w14:paraId="7C7EB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blHeader/>
        </w:trPr>
        <w:tc>
          <w:tcPr>
            <w:tcW w:w="308" w:type="pct"/>
            <w:vMerge w:val="restart"/>
            <w:noWrap w:val="0"/>
            <w:vAlign w:val="center"/>
          </w:tcPr>
          <w:p w14:paraId="5BA407F2">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高铁连接板</w:t>
            </w:r>
            <w:r>
              <w:rPr>
                <w:rFonts w:hint="default" w:eastAsia="宋体" w:cs="Times New Roman"/>
                <w:b w:val="0"/>
                <w:bCs/>
                <w:snapToGrid w:val="0"/>
                <w:color w:val="auto"/>
                <w:spacing w:val="4"/>
                <w:sz w:val="21"/>
                <w:szCs w:val="21"/>
                <w:u w:val="none" w:color="auto"/>
                <w:lang w:val="en-US" w:eastAsia="zh-CN"/>
              </w:rPr>
              <w:t>清洗废气</w:t>
            </w:r>
          </w:p>
        </w:tc>
        <w:tc>
          <w:tcPr>
            <w:tcW w:w="318" w:type="pct"/>
            <w:vMerge w:val="restart"/>
            <w:noWrap w:val="0"/>
            <w:vAlign w:val="center"/>
          </w:tcPr>
          <w:p w14:paraId="2460378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VOCs</w:t>
            </w:r>
          </w:p>
        </w:tc>
        <w:tc>
          <w:tcPr>
            <w:tcW w:w="304" w:type="pct"/>
            <w:shd w:val="clear" w:color="auto" w:fill="auto"/>
            <w:noWrap w:val="0"/>
            <w:vAlign w:val="center"/>
          </w:tcPr>
          <w:p w14:paraId="78F408A9">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有组织</w:t>
            </w:r>
          </w:p>
        </w:tc>
        <w:tc>
          <w:tcPr>
            <w:tcW w:w="281" w:type="pct"/>
            <w:shd w:val="clear" w:color="auto" w:fill="auto"/>
            <w:noWrap w:val="0"/>
            <w:vAlign w:val="center"/>
          </w:tcPr>
          <w:p w14:paraId="0FCD6C8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0.450 </w:t>
            </w:r>
          </w:p>
        </w:tc>
        <w:tc>
          <w:tcPr>
            <w:tcW w:w="312" w:type="pct"/>
            <w:shd w:val="clear" w:color="auto" w:fill="auto"/>
            <w:noWrap w:val="0"/>
            <w:vAlign w:val="center"/>
          </w:tcPr>
          <w:p w14:paraId="0D91470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26.786 </w:t>
            </w:r>
          </w:p>
        </w:tc>
        <w:tc>
          <w:tcPr>
            <w:tcW w:w="314" w:type="pct"/>
            <w:shd w:val="clear" w:color="auto" w:fill="auto"/>
            <w:noWrap w:val="0"/>
            <w:vAlign w:val="center"/>
          </w:tcPr>
          <w:p w14:paraId="7EECD554">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0.750 </w:t>
            </w:r>
          </w:p>
        </w:tc>
        <w:tc>
          <w:tcPr>
            <w:tcW w:w="429" w:type="pct"/>
            <w:shd w:val="clear" w:color="auto" w:fill="auto"/>
            <w:noWrap w:val="0"/>
            <w:vAlign w:val="center"/>
          </w:tcPr>
          <w:p w14:paraId="6B15A62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w:t>
            </w:r>
            <w:r>
              <w:rPr>
                <w:rFonts w:hint="default" w:eastAsia="宋体" w:cs="Times New Roman"/>
                <w:b w:val="0"/>
                <w:bCs/>
                <w:snapToGrid w:val="0"/>
                <w:color w:val="auto"/>
                <w:spacing w:val="4"/>
                <w:sz w:val="21"/>
                <w:szCs w:val="21"/>
                <w:u w:val="none" w:color="auto"/>
                <w:lang w:val="en-US" w:eastAsia="zh-CN"/>
              </w:rPr>
              <w:t>+</w:t>
            </w:r>
            <w:r>
              <w:rPr>
                <w:rFonts w:hint="eastAsia" w:eastAsia="宋体" w:cs="Times New Roman"/>
                <w:b w:val="0"/>
                <w:bCs/>
                <w:snapToGrid w:val="0"/>
                <w:color w:val="auto"/>
                <w:spacing w:val="4"/>
                <w:sz w:val="21"/>
                <w:szCs w:val="21"/>
                <w:u w:val="none" w:color="auto"/>
                <w:lang w:val="en-US" w:eastAsia="zh-CN"/>
              </w:rPr>
              <w:t>活性炭吸附</w:t>
            </w:r>
            <w:r>
              <w:rPr>
                <w:rFonts w:hint="default" w:eastAsia="宋体" w:cs="Times New Roman"/>
                <w:b w:val="0"/>
                <w:bCs/>
                <w:snapToGrid w:val="0"/>
                <w:color w:val="auto"/>
                <w:spacing w:val="4"/>
                <w:sz w:val="21"/>
                <w:szCs w:val="21"/>
                <w:u w:val="none" w:color="auto"/>
                <w:lang w:val="en-US" w:eastAsia="zh-CN"/>
              </w:rPr>
              <w:t>+</w:t>
            </w:r>
            <w:r>
              <w:rPr>
                <w:rFonts w:hint="eastAsia" w:eastAsia="宋体" w:cs="Times New Roman"/>
                <w:b w:val="0"/>
                <w:bCs/>
                <w:snapToGrid w:val="0"/>
                <w:color w:val="auto"/>
                <w:spacing w:val="4"/>
                <w:sz w:val="21"/>
                <w:szCs w:val="21"/>
                <w:u w:val="none" w:color="auto"/>
                <w:lang w:val="en-US" w:eastAsia="zh-CN"/>
              </w:rPr>
              <w:t>催化燃烧</w:t>
            </w:r>
          </w:p>
        </w:tc>
        <w:tc>
          <w:tcPr>
            <w:tcW w:w="500" w:type="pct"/>
            <w:shd w:val="clear" w:color="auto" w:fill="auto"/>
            <w:noWrap w:val="0"/>
            <w:vAlign w:val="center"/>
          </w:tcPr>
          <w:p w14:paraId="7D712CC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收集效率</w:t>
            </w:r>
            <w:r>
              <w:rPr>
                <w:rFonts w:hint="default" w:eastAsia="宋体" w:cs="Times New Roman"/>
                <w:b w:val="0"/>
                <w:bCs/>
                <w:snapToGrid w:val="0"/>
                <w:color w:val="auto"/>
                <w:spacing w:val="4"/>
                <w:sz w:val="21"/>
                <w:szCs w:val="21"/>
                <w:u w:val="none" w:color="auto"/>
                <w:lang w:val="en-US" w:eastAsia="zh-CN"/>
              </w:rPr>
              <w:t>90%</w:t>
            </w:r>
            <w:r>
              <w:rPr>
                <w:rFonts w:hint="eastAsia" w:eastAsia="宋体" w:cs="Times New Roman"/>
                <w:b w:val="0"/>
                <w:bCs/>
                <w:snapToGrid w:val="0"/>
                <w:color w:val="auto"/>
                <w:spacing w:val="4"/>
                <w:sz w:val="21"/>
                <w:szCs w:val="21"/>
                <w:u w:val="none" w:color="auto"/>
                <w:lang w:val="en-US" w:eastAsia="zh-CN"/>
              </w:rPr>
              <w:t>，处理效率90</w:t>
            </w:r>
            <w:r>
              <w:rPr>
                <w:rFonts w:hint="default" w:eastAsia="宋体" w:cs="Times New Roman"/>
                <w:b w:val="0"/>
                <w:bCs/>
                <w:snapToGrid w:val="0"/>
                <w:color w:val="auto"/>
                <w:spacing w:val="4"/>
                <w:sz w:val="21"/>
                <w:szCs w:val="21"/>
                <w:u w:val="none" w:color="auto"/>
                <w:lang w:val="en-US" w:eastAsia="zh-CN"/>
              </w:rPr>
              <w:t>%</w:t>
            </w:r>
          </w:p>
        </w:tc>
        <w:tc>
          <w:tcPr>
            <w:tcW w:w="277" w:type="pct"/>
            <w:shd w:val="clear" w:color="auto" w:fill="auto"/>
            <w:noWrap w:val="0"/>
            <w:vAlign w:val="center"/>
          </w:tcPr>
          <w:p w14:paraId="497789A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0.045 </w:t>
            </w:r>
          </w:p>
        </w:tc>
        <w:tc>
          <w:tcPr>
            <w:tcW w:w="328" w:type="pct"/>
            <w:shd w:val="clear" w:color="auto" w:fill="auto"/>
            <w:noWrap w:val="0"/>
            <w:vAlign w:val="center"/>
          </w:tcPr>
          <w:p w14:paraId="3FA4879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2.679 </w:t>
            </w:r>
          </w:p>
        </w:tc>
        <w:tc>
          <w:tcPr>
            <w:tcW w:w="341" w:type="pct"/>
            <w:shd w:val="clear" w:color="auto" w:fill="auto"/>
            <w:noWrap w:val="0"/>
            <w:vAlign w:val="center"/>
          </w:tcPr>
          <w:p w14:paraId="2F8CEA6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0.075 </w:t>
            </w:r>
          </w:p>
        </w:tc>
        <w:tc>
          <w:tcPr>
            <w:tcW w:w="380" w:type="pct"/>
            <w:shd w:val="clear" w:color="auto" w:fill="auto"/>
            <w:noWrap w:val="0"/>
            <w:vAlign w:val="center"/>
          </w:tcPr>
          <w:p w14:paraId="4CAAE75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DA001</w:t>
            </w:r>
          </w:p>
        </w:tc>
        <w:tc>
          <w:tcPr>
            <w:tcW w:w="300" w:type="pct"/>
            <w:shd w:val="clear" w:color="auto" w:fill="auto"/>
            <w:noWrap w:val="0"/>
            <w:vAlign w:val="center"/>
          </w:tcPr>
          <w:p w14:paraId="1BCC43B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shd w:val="clear" w:color="auto" w:fill="auto"/>
            <w:noWrap w:val="0"/>
            <w:vAlign w:val="center"/>
          </w:tcPr>
          <w:p w14:paraId="31727CC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50</w:t>
            </w:r>
          </w:p>
        </w:tc>
        <w:tc>
          <w:tcPr>
            <w:tcW w:w="332" w:type="pct"/>
            <w:shd w:val="clear" w:color="auto" w:fill="auto"/>
            <w:noWrap w:val="0"/>
            <w:vAlign w:val="center"/>
          </w:tcPr>
          <w:p w14:paraId="0ACA107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r>
      <w:tr w14:paraId="56470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blHeader/>
        </w:trPr>
        <w:tc>
          <w:tcPr>
            <w:tcW w:w="308" w:type="pct"/>
            <w:vMerge w:val="continue"/>
            <w:noWrap w:val="0"/>
            <w:vAlign w:val="center"/>
          </w:tcPr>
          <w:p w14:paraId="3F4899B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noWrap w:val="0"/>
            <w:vAlign w:val="center"/>
          </w:tcPr>
          <w:p w14:paraId="36EC197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304" w:type="pct"/>
            <w:shd w:val="clear" w:color="auto" w:fill="auto"/>
            <w:noWrap w:val="0"/>
            <w:vAlign w:val="center"/>
          </w:tcPr>
          <w:p w14:paraId="0FF123BA">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有组织</w:t>
            </w:r>
          </w:p>
        </w:tc>
        <w:tc>
          <w:tcPr>
            <w:tcW w:w="281" w:type="pct"/>
            <w:shd w:val="clear" w:color="auto" w:fill="auto"/>
            <w:noWrap w:val="0"/>
            <w:vAlign w:val="center"/>
          </w:tcPr>
          <w:p w14:paraId="2CE0496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0.045 </w:t>
            </w:r>
          </w:p>
        </w:tc>
        <w:tc>
          <w:tcPr>
            <w:tcW w:w="312" w:type="pct"/>
            <w:shd w:val="clear" w:color="auto" w:fill="auto"/>
            <w:noWrap w:val="0"/>
            <w:vAlign w:val="center"/>
          </w:tcPr>
          <w:p w14:paraId="5AC1B7A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 xml:space="preserve">7.500 </w:t>
            </w:r>
          </w:p>
        </w:tc>
        <w:tc>
          <w:tcPr>
            <w:tcW w:w="314" w:type="pct"/>
            <w:shd w:val="clear" w:color="auto" w:fill="auto"/>
            <w:noWrap w:val="0"/>
            <w:vAlign w:val="center"/>
          </w:tcPr>
          <w:p w14:paraId="2AAE6F8F">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 xml:space="preserve">0.075 </w:t>
            </w:r>
          </w:p>
        </w:tc>
        <w:tc>
          <w:tcPr>
            <w:tcW w:w="429" w:type="pct"/>
            <w:shd w:val="clear" w:color="auto" w:fill="auto"/>
            <w:noWrap w:val="0"/>
            <w:vAlign w:val="center"/>
          </w:tcPr>
          <w:p w14:paraId="30E4B88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w:t>
            </w:r>
            <w:r>
              <w:rPr>
                <w:rFonts w:hint="default" w:eastAsia="宋体" w:cs="Times New Roman"/>
                <w:b w:val="0"/>
                <w:bCs/>
                <w:snapToGrid w:val="0"/>
                <w:color w:val="auto"/>
                <w:spacing w:val="4"/>
                <w:sz w:val="21"/>
                <w:szCs w:val="21"/>
                <w:u w:val="none" w:color="auto"/>
                <w:lang w:val="en-US" w:eastAsia="zh-CN"/>
              </w:rPr>
              <w:t>+</w:t>
            </w:r>
            <w:r>
              <w:rPr>
                <w:rFonts w:hint="eastAsia" w:eastAsia="宋体" w:cs="Times New Roman"/>
                <w:b w:val="0"/>
                <w:bCs/>
                <w:snapToGrid w:val="0"/>
                <w:color w:val="auto"/>
                <w:spacing w:val="4"/>
                <w:sz w:val="21"/>
                <w:szCs w:val="21"/>
                <w:u w:val="none" w:color="auto"/>
                <w:lang w:val="en-US" w:eastAsia="zh-CN"/>
              </w:rPr>
              <w:t>二级活性炭吸附</w:t>
            </w:r>
          </w:p>
        </w:tc>
        <w:tc>
          <w:tcPr>
            <w:tcW w:w="500" w:type="pct"/>
            <w:shd w:val="clear" w:color="auto" w:fill="auto"/>
            <w:noWrap w:val="0"/>
            <w:vAlign w:val="center"/>
          </w:tcPr>
          <w:p w14:paraId="77FDC63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收集效率90%</w:t>
            </w:r>
            <w:r>
              <w:rPr>
                <w:rFonts w:hint="eastAsia" w:eastAsia="宋体" w:cs="Times New Roman"/>
                <w:b w:val="0"/>
                <w:bCs/>
                <w:snapToGrid w:val="0"/>
                <w:color w:val="auto"/>
                <w:spacing w:val="4"/>
                <w:sz w:val="21"/>
                <w:szCs w:val="21"/>
                <w:u w:val="none" w:color="auto"/>
                <w:lang w:val="en-US" w:eastAsia="zh-CN"/>
              </w:rPr>
              <w:t>，处理效率</w:t>
            </w:r>
            <w:r>
              <w:rPr>
                <w:rFonts w:hint="default" w:eastAsia="宋体" w:cs="Times New Roman"/>
                <w:b w:val="0"/>
                <w:bCs/>
                <w:snapToGrid w:val="0"/>
                <w:color w:val="auto"/>
                <w:spacing w:val="4"/>
                <w:sz w:val="21"/>
                <w:szCs w:val="21"/>
                <w:u w:val="none" w:color="auto"/>
                <w:lang w:val="en-US" w:eastAsia="zh-CN"/>
              </w:rPr>
              <w:t>75%</w:t>
            </w:r>
          </w:p>
        </w:tc>
        <w:tc>
          <w:tcPr>
            <w:tcW w:w="277" w:type="pct"/>
            <w:shd w:val="clear" w:color="auto" w:fill="auto"/>
            <w:noWrap w:val="0"/>
            <w:vAlign w:val="center"/>
          </w:tcPr>
          <w:p w14:paraId="3E494A12">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0.011 </w:t>
            </w:r>
          </w:p>
        </w:tc>
        <w:tc>
          <w:tcPr>
            <w:tcW w:w="328" w:type="pct"/>
            <w:shd w:val="clear" w:color="auto" w:fill="auto"/>
            <w:noWrap w:val="0"/>
            <w:vAlign w:val="center"/>
          </w:tcPr>
          <w:p w14:paraId="4BAB5AF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 xml:space="preserve">1.875 </w:t>
            </w:r>
          </w:p>
        </w:tc>
        <w:tc>
          <w:tcPr>
            <w:tcW w:w="341" w:type="pct"/>
            <w:shd w:val="clear" w:color="auto" w:fill="auto"/>
            <w:noWrap w:val="0"/>
            <w:vAlign w:val="center"/>
          </w:tcPr>
          <w:p w14:paraId="17BFDFB2">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 xml:space="preserve">0.019 </w:t>
            </w:r>
          </w:p>
        </w:tc>
        <w:tc>
          <w:tcPr>
            <w:tcW w:w="380" w:type="pct"/>
            <w:shd w:val="clear" w:color="auto" w:fill="auto"/>
            <w:noWrap w:val="0"/>
            <w:vAlign w:val="center"/>
          </w:tcPr>
          <w:p w14:paraId="0D78506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DA002</w:t>
            </w:r>
          </w:p>
        </w:tc>
        <w:tc>
          <w:tcPr>
            <w:tcW w:w="300" w:type="pct"/>
            <w:shd w:val="clear" w:color="auto" w:fill="auto"/>
            <w:noWrap w:val="0"/>
            <w:vAlign w:val="center"/>
          </w:tcPr>
          <w:p w14:paraId="1B7CCD4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shd w:val="clear" w:color="auto" w:fill="auto"/>
            <w:noWrap w:val="0"/>
            <w:vAlign w:val="center"/>
          </w:tcPr>
          <w:p w14:paraId="0F103B9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50</w:t>
            </w:r>
          </w:p>
        </w:tc>
        <w:tc>
          <w:tcPr>
            <w:tcW w:w="332" w:type="pct"/>
            <w:shd w:val="clear" w:color="auto" w:fill="auto"/>
            <w:noWrap w:val="0"/>
            <w:vAlign w:val="center"/>
          </w:tcPr>
          <w:p w14:paraId="67D7C18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r>
      <w:tr w14:paraId="023CC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blHeader/>
        </w:trPr>
        <w:tc>
          <w:tcPr>
            <w:tcW w:w="308" w:type="pct"/>
            <w:vMerge w:val="continue"/>
            <w:noWrap w:val="0"/>
            <w:vAlign w:val="center"/>
          </w:tcPr>
          <w:p w14:paraId="79CE6D2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noWrap w:val="0"/>
            <w:vAlign w:val="center"/>
          </w:tcPr>
          <w:p w14:paraId="41AE6DF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304" w:type="pct"/>
            <w:shd w:val="clear" w:color="auto" w:fill="auto"/>
            <w:noWrap w:val="0"/>
            <w:vAlign w:val="center"/>
          </w:tcPr>
          <w:p w14:paraId="4870F6A9">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noWrap w:val="0"/>
            <w:vAlign w:val="center"/>
          </w:tcPr>
          <w:p w14:paraId="7376F0B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0.005 </w:t>
            </w:r>
          </w:p>
        </w:tc>
        <w:tc>
          <w:tcPr>
            <w:tcW w:w="312" w:type="pct"/>
            <w:shd w:val="clear" w:color="auto" w:fill="auto"/>
            <w:noWrap w:val="0"/>
            <w:vAlign w:val="center"/>
          </w:tcPr>
          <w:p w14:paraId="53E00BC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14" w:type="pct"/>
            <w:shd w:val="clear" w:color="auto" w:fill="auto"/>
            <w:noWrap w:val="0"/>
            <w:vAlign w:val="center"/>
          </w:tcPr>
          <w:p w14:paraId="10F945A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0.008 </w:t>
            </w:r>
          </w:p>
        </w:tc>
        <w:tc>
          <w:tcPr>
            <w:tcW w:w="429" w:type="pct"/>
            <w:shd w:val="clear" w:color="auto" w:fill="auto"/>
            <w:noWrap w:val="0"/>
            <w:vAlign w:val="center"/>
          </w:tcPr>
          <w:p w14:paraId="61D60BE2">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noWrap w:val="0"/>
            <w:vAlign w:val="center"/>
          </w:tcPr>
          <w:p w14:paraId="1A29703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shd w:val="clear" w:color="auto" w:fill="auto"/>
            <w:noWrap w:val="0"/>
            <w:vAlign w:val="center"/>
          </w:tcPr>
          <w:p w14:paraId="1208A0F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0.005 </w:t>
            </w:r>
          </w:p>
        </w:tc>
        <w:tc>
          <w:tcPr>
            <w:tcW w:w="328" w:type="pct"/>
            <w:shd w:val="clear" w:color="auto" w:fill="auto"/>
            <w:noWrap w:val="0"/>
            <w:vAlign w:val="center"/>
          </w:tcPr>
          <w:p w14:paraId="410E658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41" w:type="pct"/>
            <w:shd w:val="clear" w:color="auto" w:fill="auto"/>
            <w:noWrap w:val="0"/>
            <w:vAlign w:val="center"/>
          </w:tcPr>
          <w:p w14:paraId="0DE8E9F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0.008 </w:t>
            </w:r>
          </w:p>
        </w:tc>
        <w:tc>
          <w:tcPr>
            <w:tcW w:w="380" w:type="pct"/>
            <w:shd w:val="clear" w:color="auto" w:fill="auto"/>
            <w:noWrap w:val="0"/>
            <w:vAlign w:val="center"/>
          </w:tcPr>
          <w:p w14:paraId="09937E8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00" w:type="pct"/>
            <w:shd w:val="clear" w:color="auto" w:fill="auto"/>
            <w:noWrap w:val="0"/>
            <w:vAlign w:val="center"/>
          </w:tcPr>
          <w:p w14:paraId="772149F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shd w:val="clear" w:color="auto" w:fill="auto"/>
            <w:noWrap w:val="0"/>
            <w:vAlign w:val="center"/>
          </w:tcPr>
          <w:p w14:paraId="7E74BAA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shd w:val="clear" w:color="auto" w:fill="auto"/>
            <w:noWrap w:val="0"/>
            <w:vAlign w:val="center"/>
          </w:tcPr>
          <w:p w14:paraId="0092105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2.0</w:t>
            </w:r>
          </w:p>
        </w:tc>
      </w:tr>
      <w:tr w14:paraId="73EF2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blHeader/>
        </w:trPr>
        <w:tc>
          <w:tcPr>
            <w:tcW w:w="308" w:type="pct"/>
            <w:vMerge w:val="restart"/>
            <w:vAlign w:val="center"/>
          </w:tcPr>
          <w:p w14:paraId="1225318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调漆</w:t>
            </w:r>
          </w:p>
        </w:tc>
        <w:tc>
          <w:tcPr>
            <w:tcW w:w="318" w:type="pct"/>
            <w:vMerge w:val="restart"/>
            <w:vAlign w:val="center"/>
          </w:tcPr>
          <w:p w14:paraId="5B69A59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VOCs</w:t>
            </w:r>
          </w:p>
        </w:tc>
        <w:tc>
          <w:tcPr>
            <w:tcW w:w="304" w:type="pct"/>
            <w:shd w:val="clear" w:color="auto" w:fill="auto"/>
            <w:vAlign w:val="center"/>
          </w:tcPr>
          <w:p w14:paraId="038997D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67B44106">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0.254 </w:t>
            </w:r>
          </w:p>
        </w:tc>
        <w:tc>
          <w:tcPr>
            <w:tcW w:w="312" w:type="pct"/>
            <w:shd w:val="clear" w:color="auto" w:fill="auto"/>
            <w:vAlign w:val="center"/>
          </w:tcPr>
          <w:p w14:paraId="4A21C014">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10.583 </w:t>
            </w:r>
          </w:p>
        </w:tc>
        <w:tc>
          <w:tcPr>
            <w:tcW w:w="314" w:type="pct"/>
            <w:shd w:val="clear" w:color="auto" w:fill="auto"/>
            <w:vAlign w:val="center"/>
          </w:tcPr>
          <w:p w14:paraId="23D14C00">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0.106 </w:t>
            </w:r>
          </w:p>
        </w:tc>
        <w:tc>
          <w:tcPr>
            <w:tcW w:w="429" w:type="pct"/>
            <w:shd w:val="clear" w:color="auto" w:fill="auto"/>
            <w:vAlign w:val="center"/>
          </w:tcPr>
          <w:p w14:paraId="6EF8490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负压收集+二级活性炭吸附</w:t>
            </w:r>
          </w:p>
        </w:tc>
        <w:tc>
          <w:tcPr>
            <w:tcW w:w="500" w:type="pct"/>
            <w:shd w:val="clear" w:color="auto" w:fill="auto"/>
            <w:vAlign w:val="center"/>
          </w:tcPr>
          <w:p w14:paraId="6521E66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收集效率</w:t>
            </w:r>
            <w:r>
              <w:rPr>
                <w:rFonts w:hint="eastAsia" w:eastAsia="宋体" w:cs="Times New Roman"/>
                <w:b w:val="0"/>
                <w:bCs/>
                <w:snapToGrid w:val="0"/>
                <w:color w:val="auto"/>
                <w:spacing w:val="4"/>
                <w:sz w:val="21"/>
                <w:szCs w:val="21"/>
                <w:u w:val="none" w:color="auto"/>
                <w:lang w:val="en-US" w:eastAsia="zh-CN"/>
              </w:rPr>
              <w:t>90%，处理效率75%</w:t>
            </w:r>
          </w:p>
        </w:tc>
        <w:tc>
          <w:tcPr>
            <w:tcW w:w="277" w:type="pct"/>
            <w:shd w:val="clear" w:color="auto" w:fill="auto"/>
            <w:vAlign w:val="center"/>
          </w:tcPr>
          <w:p w14:paraId="6643CC4B">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0.063 </w:t>
            </w:r>
          </w:p>
        </w:tc>
        <w:tc>
          <w:tcPr>
            <w:tcW w:w="328" w:type="pct"/>
            <w:shd w:val="clear" w:color="auto" w:fill="auto"/>
            <w:vAlign w:val="center"/>
          </w:tcPr>
          <w:p w14:paraId="71FC3508">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2.646 </w:t>
            </w:r>
          </w:p>
        </w:tc>
        <w:tc>
          <w:tcPr>
            <w:tcW w:w="341" w:type="pct"/>
            <w:shd w:val="clear" w:color="auto" w:fill="auto"/>
            <w:vAlign w:val="center"/>
          </w:tcPr>
          <w:p w14:paraId="01D0D8A1">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0.026 </w:t>
            </w:r>
          </w:p>
        </w:tc>
        <w:tc>
          <w:tcPr>
            <w:tcW w:w="380" w:type="pct"/>
            <w:shd w:val="clear" w:color="auto" w:fill="auto"/>
            <w:vAlign w:val="center"/>
          </w:tcPr>
          <w:p w14:paraId="3592E764">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DA002</w:t>
            </w:r>
          </w:p>
        </w:tc>
        <w:tc>
          <w:tcPr>
            <w:tcW w:w="300" w:type="pct"/>
            <w:vAlign w:val="center"/>
          </w:tcPr>
          <w:p w14:paraId="6A25FBC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79A2B0C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50</w:t>
            </w:r>
          </w:p>
        </w:tc>
        <w:tc>
          <w:tcPr>
            <w:tcW w:w="332" w:type="pct"/>
            <w:vAlign w:val="center"/>
          </w:tcPr>
          <w:p w14:paraId="377FE4F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r>
      <w:tr w14:paraId="73458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blHeader/>
        </w:trPr>
        <w:tc>
          <w:tcPr>
            <w:tcW w:w="308" w:type="pct"/>
            <w:vMerge w:val="continue"/>
            <w:vAlign w:val="center"/>
          </w:tcPr>
          <w:p w14:paraId="4B5EFEE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2CC20CA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7527DC8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vAlign w:val="center"/>
          </w:tcPr>
          <w:p w14:paraId="5C11848C">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0.028 </w:t>
            </w:r>
          </w:p>
        </w:tc>
        <w:tc>
          <w:tcPr>
            <w:tcW w:w="312" w:type="pct"/>
            <w:shd w:val="clear" w:color="auto" w:fill="auto"/>
            <w:vAlign w:val="center"/>
          </w:tcPr>
          <w:p w14:paraId="5C5A4C2C">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14" w:type="pct"/>
            <w:shd w:val="clear" w:color="auto" w:fill="auto"/>
            <w:vAlign w:val="center"/>
          </w:tcPr>
          <w:p w14:paraId="2ED86075">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0.012 </w:t>
            </w:r>
          </w:p>
        </w:tc>
        <w:tc>
          <w:tcPr>
            <w:tcW w:w="429" w:type="pct"/>
            <w:shd w:val="clear" w:color="auto" w:fill="auto"/>
            <w:vAlign w:val="center"/>
          </w:tcPr>
          <w:p w14:paraId="2890A7F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206A03B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36F4C9FE">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0.028 </w:t>
            </w:r>
          </w:p>
        </w:tc>
        <w:tc>
          <w:tcPr>
            <w:tcW w:w="328" w:type="pct"/>
            <w:shd w:val="clear" w:color="auto" w:fill="auto"/>
            <w:vAlign w:val="center"/>
          </w:tcPr>
          <w:p w14:paraId="00689EBF">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41" w:type="pct"/>
            <w:shd w:val="clear" w:color="auto" w:fill="auto"/>
            <w:vAlign w:val="center"/>
          </w:tcPr>
          <w:p w14:paraId="0286BE53">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0.012 </w:t>
            </w:r>
          </w:p>
        </w:tc>
        <w:tc>
          <w:tcPr>
            <w:tcW w:w="380" w:type="pct"/>
            <w:shd w:val="clear" w:color="auto" w:fill="auto"/>
            <w:vAlign w:val="center"/>
          </w:tcPr>
          <w:p w14:paraId="04F350DF">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300" w:type="pct"/>
            <w:vAlign w:val="center"/>
          </w:tcPr>
          <w:p w14:paraId="6D5C509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5E864B02">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vAlign w:val="center"/>
          </w:tcPr>
          <w:p w14:paraId="500A1B2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2.0</w:t>
            </w:r>
          </w:p>
        </w:tc>
      </w:tr>
      <w:tr w14:paraId="599C7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blHeader/>
        </w:trPr>
        <w:tc>
          <w:tcPr>
            <w:tcW w:w="308" w:type="pct"/>
            <w:vMerge w:val="continue"/>
            <w:vAlign w:val="center"/>
          </w:tcPr>
          <w:p w14:paraId="7D64DF0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restart"/>
            <w:vAlign w:val="center"/>
          </w:tcPr>
          <w:p w14:paraId="780EBBE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二甲苯</w:t>
            </w:r>
          </w:p>
        </w:tc>
        <w:tc>
          <w:tcPr>
            <w:tcW w:w="304" w:type="pct"/>
            <w:shd w:val="clear" w:color="auto" w:fill="auto"/>
            <w:vAlign w:val="center"/>
          </w:tcPr>
          <w:p w14:paraId="4EC6CD4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45F8F310">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0.138 </w:t>
            </w:r>
          </w:p>
        </w:tc>
        <w:tc>
          <w:tcPr>
            <w:tcW w:w="312" w:type="pct"/>
            <w:shd w:val="clear" w:color="auto" w:fill="auto"/>
            <w:vAlign w:val="center"/>
          </w:tcPr>
          <w:p w14:paraId="38EA1919">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5.738 </w:t>
            </w:r>
          </w:p>
        </w:tc>
        <w:tc>
          <w:tcPr>
            <w:tcW w:w="314" w:type="pct"/>
            <w:shd w:val="clear" w:color="auto" w:fill="auto"/>
            <w:vAlign w:val="center"/>
          </w:tcPr>
          <w:p w14:paraId="4F3C579B">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0.057 </w:t>
            </w:r>
          </w:p>
        </w:tc>
        <w:tc>
          <w:tcPr>
            <w:tcW w:w="429" w:type="pct"/>
            <w:shd w:val="clear" w:color="auto" w:fill="auto"/>
            <w:vAlign w:val="center"/>
          </w:tcPr>
          <w:p w14:paraId="6044EB0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负压收集+二级活性炭吸附</w:t>
            </w:r>
          </w:p>
        </w:tc>
        <w:tc>
          <w:tcPr>
            <w:tcW w:w="500" w:type="pct"/>
            <w:shd w:val="clear" w:color="auto" w:fill="auto"/>
            <w:vAlign w:val="center"/>
          </w:tcPr>
          <w:p w14:paraId="1AD74EE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收集效率</w:t>
            </w:r>
            <w:r>
              <w:rPr>
                <w:rFonts w:hint="eastAsia" w:eastAsia="宋体" w:cs="Times New Roman"/>
                <w:b w:val="0"/>
                <w:bCs/>
                <w:snapToGrid w:val="0"/>
                <w:color w:val="auto"/>
                <w:spacing w:val="4"/>
                <w:sz w:val="21"/>
                <w:szCs w:val="21"/>
                <w:u w:val="none" w:color="auto"/>
                <w:lang w:val="en-US" w:eastAsia="zh-CN"/>
              </w:rPr>
              <w:t>90%，处理效率75%</w:t>
            </w:r>
          </w:p>
        </w:tc>
        <w:tc>
          <w:tcPr>
            <w:tcW w:w="277" w:type="pct"/>
            <w:shd w:val="clear" w:color="auto" w:fill="auto"/>
            <w:vAlign w:val="center"/>
          </w:tcPr>
          <w:p w14:paraId="0CF33CCD">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0.034 </w:t>
            </w:r>
          </w:p>
        </w:tc>
        <w:tc>
          <w:tcPr>
            <w:tcW w:w="328" w:type="pct"/>
            <w:shd w:val="clear" w:color="auto" w:fill="auto"/>
            <w:vAlign w:val="center"/>
          </w:tcPr>
          <w:p w14:paraId="7845B8F1">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1.434 </w:t>
            </w:r>
          </w:p>
        </w:tc>
        <w:tc>
          <w:tcPr>
            <w:tcW w:w="341" w:type="pct"/>
            <w:shd w:val="clear" w:color="auto" w:fill="auto"/>
            <w:vAlign w:val="center"/>
          </w:tcPr>
          <w:p w14:paraId="79BB8B28">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0.014 </w:t>
            </w:r>
          </w:p>
        </w:tc>
        <w:tc>
          <w:tcPr>
            <w:tcW w:w="380" w:type="pct"/>
            <w:shd w:val="clear" w:color="auto" w:fill="auto"/>
            <w:vAlign w:val="center"/>
          </w:tcPr>
          <w:p w14:paraId="7DD278E5">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DA002</w:t>
            </w:r>
          </w:p>
        </w:tc>
        <w:tc>
          <w:tcPr>
            <w:tcW w:w="300" w:type="pct"/>
            <w:vAlign w:val="center"/>
          </w:tcPr>
          <w:p w14:paraId="53E089D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5837561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17</w:t>
            </w:r>
          </w:p>
        </w:tc>
        <w:tc>
          <w:tcPr>
            <w:tcW w:w="332" w:type="pct"/>
            <w:vAlign w:val="center"/>
          </w:tcPr>
          <w:p w14:paraId="20ED1D6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r>
      <w:tr w14:paraId="1306B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blHeader/>
        </w:trPr>
        <w:tc>
          <w:tcPr>
            <w:tcW w:w="308" w:type="pct"/>
            <w:vMerge w:val="continue"/>
            <w:vAlign w:val="center"/>
          </w:tcPr>
          <w:p w14:paraId="54B252C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45DD8BE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5D03F7B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vAlign w:val="center"/>
          </w:tcPr>
          <w:p w14:paraId="0B1E7976">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0.015 </w:t>
            </w:r>
          </w:p>
        </w:tc>
        <w:tc>
          <w:tcPr>
            <w:tcW w:w="312" w:type="pct"/>
            <w:shd w:val="clear" w:color="auto" w:fill="auto"/>
            <w:vAlign w:val="center"/>
          </w:tcPr>
          <w:p w14:paraId="2507D561">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14" w:type="pct"/>
            <w:shd w:val="clear" w:color="auto" w:fill="auto"/>
            <w:vAlign w:val="center"/>
          </w:tcPr>
          <w:p w14:paraId="2C95C65B">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0.006 </w:t>
            </w:r>
          </w:p>
        </w:tc>
        <w:tc>
          <w:tcPr>
            <w:tcW w:w="429" w:type="pct"/>
            <w:shd w:val="clear" w:color="auto" w:fill="auto"/>
            <w:vAlign w:val="center"/>
          </w:tcPr>
          <w:p w14:paraId="6200292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37479D7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396AA8B7">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0.015 </w:t>
            </w:r>
          </w:p>
        </w:tc>
        <w:tc>
          <w:tcPr>
            <w:tcW w:w="328" w:type="pct"/>
            <w:shd w:val="clear" w:color="auto" w:fill="auto"/>
            <w:vAlign w:val="center"/>
          </w:tcPr>
          <w:p w14:paraId="734111D3">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41" w:type="pct"/>
            <w:shd w:val="clear" w:color="auto" w:fill="auto"/>
            <w:vAlign w:val="center"/>
          </w:tcPr>
          <w:p w14:paraId="34E2400F">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0.006 </w:t>
            </w:r>
          </w:p>
        </w:tc>
        <w:tc>
          <w:tcPr>
            <w:tcW w:w="380" w:type="pct"/>
            <w:shd w:val="clear" w:color="auto" w:fill="auto"/>
            <w:vAlign w:val="center"/>
          </w:tcPr>
          <w:p w14:paraId="5CEFBB2E">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300" w:type="pct"/>
            <w:vAlign w:val="center"/>
          </w:tcPr>
          <w:p w14:paraId="6546286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3718AE8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vAlign w:val="center"/>
          </w:tcPr>
          <w:p w14:paraId="7A566622">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color w:val="auto"/>
                <w:kern w:val="0"/>
                <w:sz w:val="21"/>
                <w:szCs w:val="21"/>
                <w:highlight w:val="none"/>
                <w:u w:val="single"/>
                <w:lang w:val="en-US" w:eastAsia="zh-CN" w:bidi="ar-SA"/>
              </w:rPr>
              <w:t>1.2</w:t>
            </w:r>
          </w:p>
        </w:tc>
      </w:tr>
      <w:tr w14:paraId="02462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blHeader/>
        </w:trPr>
        <w:tc>
          <w:tcPr>
            <w:tcW w:w="308" w:type="pct"/>
            <w:vMerge w:val="continue"/>
            <w:vAlign w:val="center"/>
          </w:tcPr>
          <w:p w14:paraId="72DD2565">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restart"/>
            <w:vAlign w:val="center"/>
          </w:tcPr>
          <w:p w14:paraId="45DDAC34">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甲苯</w:t>
            </w:r>
          </w:p>
        </w:tc>
        <w:tc>
          <w:tcPr>
            <w:tcW w:w="304" w:type="pct"/>
            <w:shd w:val="clear" w:color="auto" w:fill="auto"/>
            <w:vAlign w:val="center"/>
          </w:tcPr>
          <w:p w14:paraId="0FAA993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1698A7CD">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0.028 </w:t>
            </w:r>
          </w:p>
        </w:tc>
        <w:tc>
          <w:tcPr>
            <w:tcW w:w="312" w:type="pct"/>
            <w:shd w:val="clear" w:color="auto" w:fill="auto"/>
            <w:vAlign w:val="center"/>
          </w:tcPr>
          <w:p w14:paraId="1F654DA9">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1.178 </w:t>
            </w:r>
          </w:p>
        </w:tc>
        <w:tc>
          <w:tcPr>
            <w:tcW w:w="314" w:type="pct"/>
            <w:shd w:val="clear" w:color="auto" w:fill="auto"/>
            <w:vAlign w:val="center"/>
          </w:tcPr>
          <w:p w14:paraId="10A4D18D">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0.012 </w:t>
            </w:r>
          </w:p>
        </w:tc>
        <w:tc>
          <w:tcPr>
            <w:tcW w:w="429" w:type="pct"/>
            <w:shd w:val="clear" w:color="auto" w:fill="auto"/>
            <w:vAlign w:val="center"/>
          </w:tcPr>
          <w:p w14:paraId="736BE53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负压收集+二级活性炭吸附</w:t>
            </w:r>
          </w:p>
        </w:tc>
        <w:tc>
          <w:tcPr>
            <w:tcW w:w="500" w:type="pct"/>
            <w:shd w:val="clear" w:color="auto" w:fill="auto"/>
            <w:vAlign w:val="center"/>
          </w:tcPr>
          <w:p w14:paraId="73EE34F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收集效率</w:t>
            </w:r>
            <w:r>
              <w:rPr>
                <w:rFonts w:hint="eastAsia" w:eastAsia="宋体" w:cs="Times New Roman"/>
                <w:b w:val="0"/>
                <w:bCs/>
                <w:snapToGrid w:val="0"/>
                <w:color w:val="auto"/>
                <w:spacing w:val="4"/>
                <w:sz w:val="21"/>
                <w:szCs w:val="21"/>
                <w:u w:val="none" w:color="auto"/>
                <w:lang w:val="en-US" w:eastAsia="zh-CN"/>
              </w:rPr>
              <w:t>90%，处理效率75%</w:t>
            </w:r>
          </w:p>
        </w:tc>
        <w:tc>
          <w:tcPr>
            <w:tcW w:w="277" w:type="pct"/>
            <w:shd w:val="clear" w:color="auto" w:fill="auto"/>
            <w:vAlign w:val="center"/>
          </w:tcPr>
          <w:p w14:paraId="45F40DB5">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0.007 </w:t>
            </w:r>
          </w:p>
        </w:tc>
        <w:tc>
          <w:tcPr>
            <w:tcW w:w="328" w:type="pct"/>
            <w:shd w:val="clear" w:color="auto" w:fill="auto"/>
            <w:vAlign w:val="center"/>
          </w:tcPr>
          <w:p w14:paraId="788E80A3">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0.294 </w:t>
            </w:r>
          </w:p>
        </w:tc>
        <w:tc>
          <w:tcPr>
            <w:tcW w:w="341" w:type="pct"/>
            <w:shd w:val="clear" w:color="auto" w:fill="auto"/>
            <w:vAlign w:val="center"/>
          </w:tcPr>
          <w:p w14:paraId="521E24A7">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c>
          <w:tcPr>
            <w:tcW w:w="380" w:type="pct"/>
            <w:shd w:val="clear" w:color="auto" w:fill="auto"/>
            <w:vAlign w:val="center"/>
          </w:tcPr>
          <w:p w14:paraId="1348468D">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DA002</w:t>
            </w:r>
          </w:p>
        </w:tc>
        <w:tc>
          <w:tcPr>
            <w:tcW w:w="300" w:type="pct"/>
            <w:vAlign w:val="center"/>
          </w:tcPr>
          <w:p w14:paraId="391690A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68E223E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3</w:t>
            </w:r>
          </w:p>
        </w:tc>
        <w:tc>
          <w:tcPr>
            <w:tcW w:w="332" w:type="pct"/>
            <w:vAlign w:val="center"/>
          </w:tcPr>
          <w:p w14:paraId="7235272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r>
      <w:tr w14:paraId="58133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blHeader/>
        </w:trPr>
        <w:tc>
          <w:tcPr>
            <w:tcW w:w="308" w:type="pct"/>
            <w:vMerge w:val="continue"/>
            <w:vAlign w:val="center"/>
          </w:tcPr>
          <w:p w14:paraId="545E140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33FD0A1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7BD7969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vAlign w:val="center"/>
          </w:tcPr>
          <w:p w14:paraId="396B55B5">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0.003 </w:t>
            </w:r>
          </w:p>
        </w:tc>
        <w:tc>
          <w:tcPr>
            <w:tcW w:w="312" w:type="pct"/>
            <w:shd w:val="clear" w:color="auto" w:fill="auto"/>
            <w:vAlign w:val="center"/>
          </w:tcPr>
          <w:p w14:paraId="76E9F151">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14" w:type="pct"/>
            <w:shd w:val="clear" w:color="auto" w:fill="auto"/>
            <w:vAlign w:val="center"/>
          </w:tcPr>
          <w:p w14:paraId="13C4FFA2">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0.001 </w:t>
            </w:r>
          </w:p>
        </w:tc>
        <w:tc>
          <w:tcPr>
            <w:tcW w:w="429" w:type="pct"/>
            <w:shd w:val="clear" w:color="auto" w:fill="auto"/>
            <w:vAlign w:val="center"/>
          </w:tcPr>
          <w:p w14:paraId="4D40711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1E51653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32ED9BA3">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0.003 </w:t>
            </w:r>
          </w:p>
        </w:tc>
        <w:tc>
          <w:tcPr>
            <w:tcW w:w="328" w:type="pct"/>
            <w:shd w:val="clear" w:color="auto" w:fill="auto"/>
            <w:vAlign w:val="center"/>
          </w:tcPr>
          <w:p w14:paraId="65877E42">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41" w:type="pct"/>
            <w:shd w:val="clear" w:color="auto" w:fill="auto"/>
            <w:vAlign w:val="center"/>
          </w:tcPr>
          <w:p w14:paraId="0F428754">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0.001 </w:t>
            </w:r>
          </w:p>
        </w:tc>
        <w:tc>
          <w:tcPr>
            <w:tcW w:w="380" w:type="pct"/>
            <w:shd w:val="clear" w:color="auto" w:fill="auto"/>
            <w:vAlign w:val="center"/>
          </w:tcPr>
          <w:p w14:paraId="4B6C4982">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300" w:type="pct"/>
            <w:vAlign w:val="center"/>
          </w:tcPr>
          <w:p w14:paraId="63BFB56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2AAF0D7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vAlign w:val="center"/>
          </w:tcPr>
          <w:p w14:paraId="0FFD6ED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2.4</w:t>
            </w:r>
          </w:p>
        </w:tc>
      </w:tr>
      <w:tr w14:paraId="6DA67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blHeader/>
        </w:trPr>
        <w:tc>
          <w:tcPr>
            <w:tcW w:w="308" w:type="pct"/>
            <w:vMerge w:val="restart"/>
            <w:vAlign w:val="center"/>
          </w:tcPr>
          <w:p w14:paraId="30CAF1D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高铁连接板</w:t>
            </w:r>
            <w:r>
              <w:rPr>
                <w:rFonts w:hint="eastAsia" w:eastAsia="宋体" w:cs="Times New Roman"/>
                <w:b w:val="0"/>
                <w:bCs/>
                <w:snapToGrid w:val="0"/>
                <w:color w:val="auto"/>
                <w:spacing w:val="4"/>
                <w:sz w:val="21"/>
                <w:szCs w:val="21"/>
                <w:u w:val="none" w:color="auto"/>
                <w:lang w:val="en-US" w:eastAsia="zh-CN"/>
              </w:rPr>
              <w:t>喷漆、烤漆</w:t>
            </w:r>
          </w:p>
        </w:tc>
        <w:tc>
          <w:tcPr>
            <w:tcW w:w="318" w:type="pct"/>
            <w:vMerge w:val="restart"/>
            <w:vAlign w:val="center"/>
          </w:tcPr>
          <w:p w14:paraId="27C5C60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漆雾（颗粒物）</w:t>
            </w:r>
          </w:p>
        </w:tc>
        <w:tc>
          <w:tcPr>
            <w:tcW w:w="304" w:type="pct"/>
            <w:shd w:val="clear" w:color="auto" w:fill="auto"/>
            <w:vAlign w:val="center"/>
          </w:tcPr>
          <w:p w14:paraId="692B90D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4F727267">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0.636 </w:t>
            </w:r>
          </w:p>
        </w:tc>
        <w:tc>
          <w:tcPr>
            <w:tcW w:w="312" w:type="pct"/>
            <w:shd w:val="clear" w:color="auto" w:fill="auto"/>
            <w:vAlign w:val="center"/>
          </w:tcPr>
          <w:p w14:paraId="48EE954F">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9.469 </w:t>
            </w:r>
          </w:p>
        </w:tc>
        <w:tc>
          <w:tcPr>
            <w:tcW w:w="314" w:type="pct"/>
            <w:shd w:val="clear" w:color="auto" w:fill="auto"/>
            <w:vAlign w:val="center"/>
          </w:tcPr>
          <w:p w14:paraId="14E71C6B">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0.265 </w:t>
            </w:r>
          </w:p>
        </w:tc>
        <w:tc>
          <w:tcPr>
            <w:tcW w:w="429" w:type="pct"/>
            <w:shd w:val="clear" w:color="auto" w:fill="auto"/>
            <w:vAlign w:val="center"/>
          </w:tcPr>
          <w:p w14:paraId="37576D3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负压收集+水帘除尘</w:t>
            </w:r>
            <w:r>
              <w:rPr>
                <w:rFonts w:hint="eastAsia" w:cs="Times New Roman"/>
                <w:b w:val="0"/>
                <w:bCs/>
                <w:snapToGrid w:val="0"/>
                <w:color w:val="auto"/>
                <w:spacing w:val="4"/>
                <w:sz w:val="21"/>
                <w:szCs w:val="21"/>
                <w:u w:val="none" w:color="auto"/>
                <w:lang w:val="en-US" w:eastAsia="zh-CN"/>
              </w:rPr>
              <w:t>+干式过滤</w:t>
            </w:r>
          </w:p>
        </w:tc>
        <w:tc>
          <w:tcPr>
            <w:tcW w:w="500" w:type="pct"/>
            <w:shd w:val="clear" w:color="auto" w:fill="auto"/>
            <w:vAlign w:val="center"/>
          </w:tcPr>
          <w:p w14:paraId="53563FB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收集效率</w:t>
            </w:r>
            <w:r>
              <w:rPr>
                <w:rFonts w:hint="eastAsia" w:eastAsia="宋体" w:cs="Times New Roman"/>
                <w:b w:val="0"/>
                <w:bCs/>
                <w:snapToGrid w:val="0"/>
                <w:color w:val="auto"/>
                <w:spacing w:val="4"/>
                <w:sz w:val="21"/>
                <w:szCs w:val="21"/>
                <w:u w:val="none" w:color="auto"/>
                <w:lang w:val="en-US" w:eastAsia="zh-CN"/>
              </w:rPr>
              <w:t>90%，处理效率90%</w:t>
            </w:r>
          </w:p>
        </w:tc>
        <w:tc>
          <w:tcPr>
            <w:tcW w:w="277" w:type="pct"/>
            <w:shd w:val="clear" w:color="auto" w:fill="auto"/>
            <w:vAlign w:val="center"/>
          </w:tcPr>
          <w:p w14:paraId="3821D44E">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0.064 </w:t>
            </w:r>
          </w:p>
        </w:tc>
        <w:tc>
          <w:tcPr>
            <w:tcW w:w="328" w:type="pct"/>
            <w:shd w:val="clear" w:color="auto" w:fill="auto"/>
            <w:vAlign w:val="center"/>
          </w:tcPr>
          <w:p w14:paraId="547DA55E">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0.947 </w:t>
            </w:r>
          </w:p>
        </w:tc>
        <w:tc>
          <w:tcPr>
            <w:tcW w:w="341" w:type="pct"/>
            <w:shd w:val="clear" w:color="auto" w:fill="auto"/>
            <w:vAlign w:val="center"/>
          </w:tcPr>
          <w:p w14:paraId="147645EC">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0.027 </w:t>
            </w:r>
          </w:p>
        </w:tc>
        <w:tc>
          <w:tcPr>
            <w:tcW w:w="380" w:type="pct"/>
            <w:shd w:val="clear" w:color="auto" w:fill="auto"/>
            <w:vAlign w:val="center"/>
          </w:tcPr>
          <w:p w14:paraId="017B20BC">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DA001</w:t>
            </w:r>
          </w:p>
        </w:tc>
        <w:tc>
          <w:tcPr>
            <w:tcW w:w="300" w:type="pct"/>
            <w:vAlign w:val="center"/>
          </w:tcPr>
          <w:p w14:paraId="23A75F3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w:t>
            </w:r>
          </w:p>
        </w:tc>
        <w:tc>
          <w:tcPr>
            <w:tcW w:w="269" w:type="pct"/>
            <w:vAlign w:val="center"/>
          </w:tcPr>
          <w:p w14:paraId="7E5B1A3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30</w:t>
            </w:r>
          </w:p>
        </w:tc>
        <w:tc>
          <w:tcPr>
            <w:tcW w:w="332" w:type="pct"/>
            <w:vAlign w:val="center"/>
          </w:tcPr>
          <w:p w14:paraId="3B2C985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w:t>
            </w:r>
          </w:p>
        </w:tc>
      </w:tr>
      <w:tr w14:paraId="1D1FA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blHeader/>
        </w:trPr>
        <w:tc>
          <w:tcPr>
            <w:tcW w:w="308" w:type="pct"/>
            <w:vMerge w:val="continue"/>
            <w:vAlign w:val="center"/>
          </w:tcPr>
          <w:p w14:paraId="6379B90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443C595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654ACC2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77160185">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0.064 </w:t>
            </w:r>
          </w:p>
        </w:tc>
        <w:tc>
          <w:tcPr>
            <w:tcW w:w="312" w:type="pct"/>
            <w:shd w:val="clear" w:color="auto" w:fill="auto"/>
            <w:vAlign w:val="center"/>
          </w:tcPr>
          <w:p w14:paraId="30014E45">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2.651 </w:t>
            </w:r>
          </w:p>
        </w:tc>
        <w:tc>
          <w:tcPr>
            <w:tcW w:w="314" w:type="pct"/>
            <w:shd w:val="clear" w:color="auto" w:fill="auto"/>
            <w:vAlign w:val="center"/>
          </w:tcPr>
          <w:p w14:paraId="6A261F22">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0.027 </w:t>
            </w:r>
          </w:p>
        </w:tc>
        <w:tc>
          <w:tcPr>
            <w:tcW w:w="429" w:type="pct"/>
            <w:shd w:val="clear" w:color="auto" w:fill="auto"/>
            <w:vAlign w:val="center"/>
          </w:tcPr>
          <w:p w14:paraId="028F69B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w:t>
            </w:r>
          </w:p>
        </w:tc>
        <w:tc>
          <w:tcPr>
            <w:tcW w:w="500" w:type="pct"/>
            <w:shd w:val="clear" w:color="auto" w:fill="auto"/>
            <w:vAlign w:val="center"/>
          </w:tcPr>
          <w:p w14:paraId="2371D7C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收集效率90%</w:t>
            </w:r>
          </w:p>
        </w:tc>
        <w:tc>
          <w:tcPr>
            <w:tcW w:w="277" w:type="pct"/>
            <w:shd w:val="clear" w:color="auto" w:fill="auto"/>
            <w:vAlign w:val="center"/>
          </w:tcPr>
          <w:p w14:paraId="65FC1C6C">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0.064 </w:t>
            </w:r>
          </w:p>
        </w:tc>
        <w:tc>
          <w:tcPr>
            <w:tcW w:w="328" w:type="pct"/>
            <w:shd w:val="clear" w:color="auto" w:fill="auto"/>
            <w:vAlign w:val="center"/>
          </w:tcPr>
          <w:p w14:paraId="7BBCD761">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2.651 </w:t>
            </w:r>
          </w:p>
        </w:tc>
        <w:tc>
          <w:tcPr>
            <w:tcW w:w="341" w:type="pct"/>
            <w:shd w:val="clear" w:color="auto" w:fill="auto"/>
            <w:vAlign w:val="center"/>
          </w:tcPr>
          <w:p w14:paraId="305A76EA">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0.027 </w:t>
            </w:r>
          </w:p>
        </w:tc>
        <w:tc>
          <w:tcPr>
            <w:tcW w:w="380" w:type="pct"/>
            <w:shd w:val="clear" w:color="auto" w:fill="auto"/>
            <w:vAlign w:val="center"/>
          </w:tcPr>
          <w:p w14:paraId="28967781">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DA002</w:t>
            </w:r>
          </w:p>
        </w:tc>
        <w:tc>
          <w:tcPr>
            <w:tcW w:w="300" w:type="pct"/>
            <w:shd w:val="clear" w:color="auto" w:fill="auto"/>
            <w:vAlign w:val="center"/>
          </w:tcPr>
          <w:p w14:paraId="06340278">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cs="Times New Roman"/>
                <w:b w:val="0"/>
                <w:bCs/>
                <w:snapToGrid w:val="0"/>
                <w:color w:val="auto"/>
                <w:spacing w:val="4"/>
                <w:sz w:val="21"/>
                <w:szCs w:val="21"/>
                <w:u w:val="none" w:color="auto"/>
                <w:lang w:val="en-US" w:eastAsia="zh-CN"/>
              </w:rPr>
              <w:t>3.5</w:t>
            </w:r>
          </w:p>
        </w:tc>
        <w:tc>
          <w:tcPr>
            <w:tcW w:w="269" w:type="pct"/>
            <w:shd w:val="clear" w:color="auto" w:fill="auto"/>
            <w:vAlign w:val="center"/>
          </w:tcPr>
          <w:p w14:paraId="7B370703">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cs="Times New Roman"/>
                <w:b w:val="0"/>
                <w:bCs/>
                <w:snapToGrid w:val="0"/>
                <w:color w:val="auto"/>
                <w:spacing w:val="4"/>
                <w:sz w:val="21"/>
                <w:szCs w:val="21"/>
                <w:u w:val="none" w:color="auto"/>
                <w:lang w:val="en-US" w:eastAsia="zh-CN"/>
              </w:rPr>
              <w:t>120</w:t>
            </w:r>
          </w:p>
        </w:tc>
        <w:tc>
          <w:tcPr>
            <w:tcW w:w="332" w:type="pct"/>
            <w:shd w:val="clear" w:color="auto" w:fill="auto"/>
            <w:vAlign w:val="center"/>
          </w:tcPr>
          <w:p w14:paraId="1FBBA57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cs="Times New Roman"/>
                <w:b w:val="0"/>
                <w:bCs/>
                <w:snapToGrid w:val="0"/>
                <w:color w:val="auto"/>
                <w:spacing w:val="4"/>
                <w:sz w:val="21"/>
                <w:szCs w:val="21"/>
                <w:u w:val="none" w:color="auto"/>
                <w:lang w:val="en-US" w:eastAsia="zh-CN"/>
              </w:rPr>
              <w:t>/</w:t>
            </w:r>
          </w:p>
        </w:tc>
      </w:tr>
      <w:tr w14:paraId="68999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blHeader/>
        </w:trPr>
        <w:tc>
          <w:tcPr>
            <w:tcW w:w="308" w:type="pct"/>
            <w:vMerge w:val="continue"/>
            <w:vAlign w:val="center"/>
          </w:tcPr>
          <w:p w14:paraId="2D81AB4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13E6034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5D1A80C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无组织</w:t>
            </w:r>
          </w:p>
        </w:tc>
        <w:tc>
          <w:tcPr>
            <w:tcW w:w="281" w:type="pct"/>
            <w:shd w:val="clear" w:color="auto" w:fill="auto"/>
            <w:vAlign w:val="center"/>
          </w:tcPr>
          <w:p w14:paraId="4C89D7CC">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0.007 </w:t>
            </w:r>
          </w:p>
        </w:tc>
        <w:tc>
          <w:tcPr>
            <w:tcW w:w="312" w:type="pct"/>
            <w:shd w:val="clear" w:color="auto" w:fill="auto"/>
            <w:vAlign w:val="center"/>
          </w:tcPr>
          <w:p w14:paraId="547D3AD5">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w:t>
            </w:r>
          </w:p>
        </w:tc>
        <w:tc>
          <w:tcPr>
            <w:tcW w:w="314" w:type="pct"/>
            <w:shd w:val="clear" w:color="auto" w:fill="auto"/>
            <w:vAlign w:val="center"/>
          </w:tcPr>
          <w:p w14:paraId="2153DBF3">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c>
          <w:tcPr>
            <w:tcW w:w="429" w:type="pct"/>
            <w:shd w:val="clear" w:color="auto" w:fill="auto"/>
            <w:vAlign w:val="center"/>
          </w:tcPr>
          <w:p w14:paraId="7EA6EDF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7671D6E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662DF038">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0.007 </w:t>
            </w:r>
          </w:p>
        </w:tc>
        <w:tc>
          <w:tcPr>
            <w:tcW w:w="328" w:type="pct"/>
            <w:shd w:val="clear" w:color="auto" w:fill="auto"/>
            <w:vAlign w:val="center"/>
          </w:tcPr>
          <w:p w14:paraId="340C6745">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w:t>
            </w:r>
          </w:p>
        </w:tc>
        <w:tc>
          <w:tcPr>
            <w:tcW w:w="341" w:type="pct"/>
            <w:shd w:val="clear" w:color="auto" w:fill="auto"/>
            <w:vAlign w:val="center"/>
          </w:tcPr>
          <w:p w14:paraId="0547E313">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c>
          <w:tcPr>
            <w:tcW w:w="380" w:type="pct"/>
            <w:shd w:val="clear" w:color="auto" w:fill="auto"/>
            <w:vAlign w:val="center"/>
          </w:tcPr>
          <w:p w14:paraId="2E4ACF04">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w:t>
            </w:r>
          </w:p>
        </w:tc>
        <w:tc>
          <w:tcPr>
            <w:tcW w:w="300" w:type="pct"/>
            <w:vAlign w:val="center"/>
          </w:tcPr>
          <w:p w14:paraId="306141A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w:t>
            </w:r>
          </w:p>
        </w:tc>
        <w:tc>
          <w:tcPr>
            <w:tcW w:w="269" w:type="pct"/>
            <w:vAlign w:val="center"/>
          </w:tcPr>
          <w:p w14:paraId="0D94787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1</w:t>
            </w:r>
          </w:p>
        </w:tc>
        <w:tc>
          <w:tcPr>
            <w:tcW w:w="332" w:type="pct"/>
            <w:vAlign w:val="center"/>
          </w:tcPr>
          <w:p w14:paraId="5A10C1D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w:t>
            </w:r>
          </w:p>
        </w:tc>
      </w:tr>
      <w:tr w14:paraId="1FD06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blHeader/>
        </w:trPr>
        <w:tc>
          <w:tcPr>
            <w:tcW w:w="308" w:type="pct"/>
            <w:vMerge w:val="continue"/>
            <w:vAlign w:val="center"/>
          </w:tcPr>
          <w:p w14:paraId="6F2A260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restart"/>
            <w:vAlign w:val="center"/>
          </w:tcPr>
          <w:p w14:paraId="6048199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VOCs</w:t>
            </w:r>
          </w:p>
        </w:tc>
        <w:tc>
          <w:tcPr>
            <w:tcW w:w="304" w:type="pct"/>
            <w:shd w:val="clear" w:color="auto" w:fill="auto"/>
            <w:vAlign w:val="center"/>
          </w:tcPr>
          <w:p w14:paraId="246EB54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6AE6187B">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2.123 </w:t>
            </w:r>
          </w:p>
        </w:tc>
        <w:tc>
          <w:tcPr>
            <w:tcW w:w="312" w:type="pct"/>
            <w:shd w:val="clear" w:color="auto" w:fill="auto"/>
            <w:vAlign w:val="center"/>
          </w:tcPr>
          <w:p w14:paraId="685BC3E5">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31.592 </w:t>
            </w:r>
          </w:p>
        </w:tc>
        <w:tc>
          <w:tcPr>
            <w:tcW w:w="314" w:type="pct"/>
            <w:shd w:val="clear" w:color="auto" w:fill="auto"/>
            <w:vAlign w:val="center"/>
          </w:tcPr>
          <w:p w14:paraId="392C8BED">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0.885 </w:t>
            </w:r>
          </w:p>
        </w:tc>
        <w:tc>
          <w:tcPr>
            <w:tcW w:w="429" w:type="pct"/>
            <w:shd w:val="clear" w:color="auto" w:fill="auto"/>
            <w:vAlign w:val="center"/>
          </w:tcPr>
          <w:p w14:paraId="21CC7E9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负压收集+活性炭吸附+催化燃烧</w:t>
            </w:r>
          </w:p>
        </w:tc>
        <w:tc>
          <w:tcPr>
            <w:tcW w:w="500" w:type="pct"/>
            <w:shd w:val="clear" w:color="auto" w:fill="auto"/>
            <w:vAlign w:val="center"/>
          </w:tcPr>
          <w:p w14:paraId="5E5B682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收集效率90%，处理效率90%</w:t>
            </w:r>
          </w:p>
        </w:tc>
        <w:tc>
          <w:tcPr>
            <w:tcW w:w="277" w:type="pct"/>
            <w:shd w:val="clear" w:color="auto" w:fill="auto"/>
            <w:vAlign w:val="center"/>
          </w:tcPr>
          <w:p w14:paraId="2B0AEBE3">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0.212 </w:t>
            </w:r>
          </w:p>
        </w:tc>
        <w:tc>
          <w:tcPr>
            <w:tcW w:w="328" w:type="pct"/>
            <w:shd w:val="clear" w:color="auto" w:fill="auto"/>
            <w:vAlign w:val="center"/>
          </w:tcPr>
          <w:p w14:paraId="229550E9">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3.159 </w:t>
            </w:r>
          </w:p>
        </w:tc>
        <w:tc>
          <w:tcPr>
            <w:tcW w:w="341" w:type="pct"/>
            <w:shd w:val="clear" w:color="auto" w:fill="auto"/>
            <w:vAlign w:val="center"/>
          </w:tcPr>
          <w:p w14:paraId="5DD1221F">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0.088 </w:t>
            </w:r>
          </w:p>
        </w:tc>
        <w:tc>
          <w:tcPr>
            <w:tcW w:w="380" w:type="pct"/>
            <w:shd w:val="clear" w:color="auto" w:fill="auto"/>
            <w:vAlign w:val="center"/>
          </w:tcPr>
          <w:p w14:paraId="36A0B72C">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DA001</w:t>
            </w:r>
          </w:p>
        </w:tc>
        <w:tc>
          <w:tcPr>
            <w:tcW w:w="300" w:type="pct"/>
            <w:shd w:val="clear" w:color="auto" w:fill="auto"/>
            <w:vAlign w:val="center"/>
          </w:tcPr>
          <w:p w14:paraId="425EFCF3">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269" w:type="pct"/>
            <w:shd w:val="clear" w:color="auto" w:fill="auto"/>
            <w:vAlign w:val="center"/>
          </w:tcPr>
          <w:p w14:paraId="5AC746B4">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50</w:t>
            </w:r>
          </w:p>
        </w:tc>
        <w:tc>
          <w:tcPr>
            <w:tcW w:w="332" w:type="pct"/>
            <w:shd w:val="clear" w:color="auto" w:fill="auto"/>
            <w:vAlign w:val="center"/>
          </w:tcPr>
          <w:p w14:paraId="27F26950">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r>
      <w:tr w14:paraId="61BA8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blHeader/>
        </w:trPr>
        <w:tc>
          <w:tcPr>
            <w:tcW w:w="308" w:type="pct"/>
            <w:vMerge w:val="continue"/>
            <w:vAlign w:val="center"/>
          </w:tcPr>
          <w:p w14:paraId="6F02284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6E2A41E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69E2315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79BC3DE0">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0.212 </w:t>
            </w:r>
          </w:p>
        </w:tc>
        <w:tc>
          <w:tcPr>
            <w:tcW w:w="312" w:type="pct"/>
            <w:shd w:val="clear" w:color="auto" w:fill="auto"/>
            <w:vAlign w:val="center"/>
          </w:tcPr>
          <w:p w14:paraId="20E3F2B1">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8.846 </w:t>
            </w:r>
          </w:p>
        </w:tc>
        <w:tc>
          <w:tcPr>
            <w:tcW w:w="314" w:type="pct"/>
            <w:shd w:val="clear" w:color="auto" w:fill="auto"/>
            <w:vAlign w:val="center"/>
          </w:tcPr>
          <w:p w14:paraId="3EC205E0">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0.088 </w:t>
            </w:r>
          </w:p>
        </w:tc>
        <w:tc>
          <w:tcPr>
            <w:tcW w:w="429" w:type="pct"/>
            <w:shd w:val="clear" w:color="auto" w:fill="auto"/>
            <w:vAlign w:val="center"/>
          </w:tcPr>
          <w:p w14:paraId="7FB38DA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负压收集+二级活性炭吸附</w:t>
            </w:r>
          </w:p>
        </w:tc>
        <w:tc>
          <w:tcPr>
            <w:tcW w:w="500" w:type="pct"/>
            <w:shd w:val="clear" w:color="auto" w:fill="auto"/>
            <w:vAlign w:val="center"/>
          </w:tcPr>
          <w:p w14:paraId="6AAF84A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收集效率</w:t>
            </w:r>
            <w:r>
              <w:rPr>
                <w:rFonts w:hint="eastAsia" w:eastAsia="宋体" w:cs="Times New Roman"/>
                <w:b w:val="0"/>
                <w:bCs/>
                <w:snapToGrid w:val="0"/>
                <w:color w:val="auto"/>
                <w:spacing w:val="4"/>
                <w:sz w:val="21"/>
                <w:szCs w:val="21"/>
                <w:u w:val="none" w:color="auto"/>
                <w:lang w:val="en-US" w:eastAsia="zh-CN"/>
              </w:rPr>
              <w:t>90%，处理效率75%</w:t>
            </w:r>
          </w:p>
        </w:tc>
        <w:tc>
          <w:tcPr>
            <w:tcW w:w="277" w:type="pct"/>
            <w:shd w:val="clear" w:color="auto" w:fill="auto"/>
            <w:vAlign w:val="center"/>
          </w:tcPr>
          <w:p w14:paraId="6A6C4CA8">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0.053 </w:t>
            </w:r>
          </w:p>
        </w:tc>
        <w:tc>
          <w:tcPr>
            <w:tcW w:w="328" w:type="pct"/>
            <w:shd w:val="clear" w:color="auto" w:fill="auto"/>
            <w:vAlign w:val="center"/>
          </w:tcPr>
          <w:p w14:paraId="5F9CB392">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2.211 </w:t>
            </w:r>
          </w:p>
        </w:tc>
        <w:tc>
          <w:tcPr>
            <w:tcW w:w="341" w:type="pct"/>
            <w:shd w:val="clear" w:color="auto" w:fill="auto"/>
            <w:vAlign w:val="center"/>
          </w:tcPr>
          <w:p w14:paraId="429FF860">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0.022 </w:t>
            </w:r>
          </w:p>
        </w:tc>
        <w:tc>
          <w:tcPr>
            <w:tcW w:w="380" w:type="pct"/>
            <w:shd w:val="clear" w:color="auto" w:fill="auto"/>
            <w:vAlign w:val="center"/>
          </w:tcPr>
          <w:p w14:paraId="16100187">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DA002</w:t>
            </w:r>
          </w:p>
        </w:tc>
        <w:tc>
          <w:tcPr>
            <w:tcW w:w="300" w:type="pct"/>
            <w:vAlign w:val="center"/>
          </w:tcPr>
          <w:p w14:paraId="55AF99C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13F7610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50</w:t>
            </w:r>
          </w:p>
        </w:tc>
        <w:tc>
          <w:tcPr>
            <w:tcW w:w="332" w:type="pct"/>
            <w:vAlign w:val="center"/>
          </w:tcPr>
          <w:p w14:paraId="5980AA9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r>
      <w:tr w14:paraId="56A5F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blHeader/>
        </w:trPr>
        <w:tc>
          <w:tcPr>
            <w:tcW w:w="308" w:type="pct"/>
            <w:vMerge w:val="continue"/>
            <w:vAlign w:val="center"/>
          </w:tcPr>
          <w:p w14:paraId="5AE7ECB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5C7B3FA2">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680EED0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vAlign w:val="center"/>
          </w:tcPr>
          <w:p w14:paraId="4EFF2EFC">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0.024 </w:t>
            </w:r>
          </w:p>
        </w:tc>
        <w:tc>
          <w:tcPr>
            <w:tcW w:w="312" w:type="pct"/>
            <w:shd w:val="clear" w:color="auto" w:fill="auto"/>
            <w:vAlign w:val="center"/>
          </w:tcPr>
          <w:p w14:paraId="5CF20BEF">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14" w:type="pct"/>
            <w:shd w:val="clear" w:color="auto" w:fill="auto"/>
            <w:vAlign w:val="center"/>
          </w:tcPr>
          <w:p w14:paraId="7DE8887B">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0.010 </w:t>
            </w:r>
          </w:p>
        </w:tc>
        <w:tc>
          <w:tcPr>
            <w:tcW w:w="429" w:type="pct"/>
            <w:shd w:val="clear" w:color="auto" w:fill="auto"/>
            <w:vAlign w:val="center"/>
          </w:tcPr>
          <w:p w14:paraId="3E8F37F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562E822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3FA1F65A">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0.024 </w:t>
            </w:r>
          </w:p>
        </w:tc>
        <w:tc>
          <w:tcPr>
            <w:tcW w:w="328" w:type="pct"/>
            <w:shd w:val="clear" w:color="auto" w:fill="auto"/>
            <w:vAlign w:val="center"/>
          </w:tcPr>
          <w:p w14:paraId="049ED137">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41" w:type="pct"/>
            <w:shd w:val="clear" w:color="auto" w:fill="auto"/>
            <w:vAlign w:val="center"/>
          </w:tcPr>
          <w:p w14:paraId="01062133">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0.010 </w:t>
            </w:r>
          </w:p>
        </w:tc>
        <w:tc>
          <w:tcPr>
            <w:tcW w:w="380" w:type="pct"/>
            <w:shd w:val="clear" w:color="auto" w:fill="auto"/>
            <w:vAlign w:val="center"/>
          </w:tcPr>
          <w:p w14:paraId="5FA56AED">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300" w:type="pct"/>
            <w:vAlign w:val="center"/>
          </w:tcPr>
          <w:p w14:paraId="6CF50FC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78200FB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vAlign w:val="center"/>
          </w:tcPr>
          <w:p w14:paraId="782D501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2.0</w:t>
            </w:r>
          </w:p>
        </w:tc>
      </w:tr>
      <w:tr w14:paraId="330E6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blHeader/>
        </w:trPr>
        <w:tc>
          <w:tcPr>
            <w:tcW w:w="308" w:type="pct"/>
            <w:vMerge w:val="continue"/>
            <w:vAlign w:val="center"/>
          </w:tcPr>
          <w:p w14:paraId="5069C66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restart"/>
            <w:vAlign w:val="center"/>
          </w:tcPr>
          <w:p w14:paraId="235AA0F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二甲苯</w:t>
            </w:r>
          </w:p>
        </w:tc>
        <w:tc>
          <w:tcPr>
            <w:tcW w:w="304" w:type="pct"/>
            <w:shd w:val="clear" w:color="auto" w:fill="auto"/>
            <w:vAlign w:val="center"/>
          </w:tcPr>
          <w:p w14:paraId="1866E0D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173389C2">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1.158 </w:t>
            </w:r>
          </w:p>
        </w:tc>
        <w:tc>
          <w:tcPr>
            <w:tcW w:w="312" w:type="pct"/>
            <w:shd w:val="clear" w:color="auto" w:fill="auto"/>
            <w:vAlign w:val="center"/>
          </w:tcPr>
          <w:p w14:paraId="76D5B0D5">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17.237 </w:t>
            </w:r>
          </w:p>
        </w:tc>
        <w:tc>
          <w:tcPr>
            <w:tcW w:w="314" w:type="pct"/>
            <w:shd w:val="clear" w:color="auto" w:fill="auto"/>
            <w:vAlign w:val="center"/>
          </w:tcPr>
          <w:p w14:paraId="6701908D">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0.483 </w:t>
            </w:r>
          </w:p>
        </w:tc>
        <w:tc>
          <w:tcPr>
            <w:tcW w:w="429" w:type="pct"/>
            <w:shd w:val="clear" w:color="auto" w:fill="auto"/>
            <w:vAlign w:val="center"/>
          </w:tcPr>
          <w:p w14:paraId="7A92C75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负压收集+活性炭吸附+催化燃烧</w:t>
            </w:r>
          </w:p>
        </w:tc>
        <w:tc>
          <w:tcPr>
            <w:tcW w:w="500" w:type="pct"/>
            <w:shd w:val="clear" w:color="auto" w:fill="auto"/>
            <w:vAlign w:val="center"/>
          </w:tcPr>
          <w:p w14:paraId="432DF91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收集效率</w:t>
            </w:r>
            <w:r>
              <w:rPr>
                <w:rFonts w:hint="eastAsia" w:eastAsia="宋体" w:cs="Times New Roman"/>
                <w:b w:val="0"/>
                <w:bCs/>
                <w:snapToGrid w:val="0"/>
                <w:color w:val="auto"/>
                <w:spacing w:val="4"/>
                <w:sz w:val="21"/>
                <w:szCs w:val="21"/>
                <w:u w:val="none" w:color="auto"/>
                <w:lang w:val="en-US" w:eastAsia="zh-CN"/>
              </w:rPr>
              <w:t>90%，处理效率90%</w:t>
            </w:r>
          </w:p>
        </w:tc>
        <w:tc>
          <w:tcPr>
            <w:tcW w:w="277" w:type="pct"/>
            <w:shd w:val="clear" w:color="auto" w:fill="auto"/>
            <w:vAlign w:val="center"/>
          </w:tcPr>
          <w:p w14:paraId="3EF11165">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0.116 </w:t>
            </w:r>
          </w:p>
        </w:tc>
        <w:tc>
          <w:tcPr>
            <w:tcW w:w="328" w:type="pct"/>
            <w:shd w:val="clear" w:color="auto" w:fill="auto"/>
            <w:vAlign w:val="center"/>
          </w:tcPr>
          <w:p w14:paraId="7CA5BA1C">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1.724 </w:t>
            </w:r>
          </w:p>
        </w:tc>
        <w:tc>
          <w:tcPr>
            <w:tcW w:w="341" w:type="pct"/>
            <w:shd w:val="clear" w:color="auto" w:fill="auto"/>
            <w:vAlign w:val="center"/>
          </w:tcPr>
          <w:p w14:paraId="38975258">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0.048 </w:t>
            </w:r>
          </w:p>
        </w:tc>
        <w:tc>
          <w:tcPr>
            <w:tcW w:w="380" w:type="pct"/>
            <w:shd w:val="clear" w:color="auto" w:fill="auto"/>
            <w:vAlign w:val="center"/>
          </w:tcPr>
          <w:p w14:paraId="70661C2A">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DA001</w:t>
            </w:r>
          </w:p>
        </w:tc>
        <w:tc>
          <w:tcPr>
            <w:tcW w:w="300" w:type="pct"/>
            <w:shd w:val="clear" w:color="auto" w:fill="auto"/>
            <w:vAlign w:val="center"/>
          </w:tcPr>
          <w:p w14:paraId="421608B6">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269" w:type="pct"/>
            <w:shd w:val="clear" w:color="auto" w:fill="auto"/>
            <w:vAlign w:val="center"/>
          </w:tcPr>
          <w:p w14:paraId="4E016F2F">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17</w:t>
            </w:r>
          </w:p>
        </w:tc>
        <w:tc>
          <w:tcPr>
            <w:tcW w:w="332" w:type="pct"/>
            <w:shd w:val="clear" w:color="auto" w:fill="auto"/>
            <w:vAlign w:val="center"/>
          </w:tcPr>
          <w:p w14:paraId="7FB5C134">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r>
      <w:tr w14:paraId="10093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blHeader/>
        </w:trPr>
        <w:tc>
          <w:tcPr>
            <w:tcW w:w="308" w:type="pct"/>
            <w:vMerge w:val="continue"/>
            <w:vAlign w:val="center"/>
          </w:tcPr>
          <w:p w14:paraId="252C418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75AA1E3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744D0F3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0A4D5496">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0.116 </w:t>
            </w:r>
          </w:p>
        </w:tc>
        <w:tc>
          <w:tcPr>
            <w:tcW w:w="312" w:type="pct"/>
            <w:shd w:val="clear" w:color="auto" w:fill="auto"/>
            <w:vAlign w:val="center"/>
          </w:tcPr>
          <w:p w14:paraId="1C6C2E77">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4.826 </w:t>
            </w:r>
          </w:p>
        </w:tc>
        <w:tc>
          <w:tcPr>
            <w:tcW w:w="314" w:type="pct"/>
            <w:shd w:val="clear" w:color="auto" w:fill="auto"/>
            <w:vAlign w:val="center"/>
          </w:tcPr>
          <w:p w14:paraId="6190C23A">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0.048 </w:t>
            </w:r>
          </w:p>
        </w:tc>
        <w:tc>
          <w:tcPr>
            <w:tcW w:w="429" w:type="pct"/>
            <w:shd w:val="clear" w:color="auto" w:fill="auto"/>
            <w:vAlign w:val="center"/>
          </w:tcPr>
          <w:p w14:paraId="0DAC3D4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负压收集+二级活性炭吸附</w:t>
            </w:r>
          </w:p>
        </w:tc>
        <w:tc>
          <w:tcPr>
            <w:tcW w:w="500" w:type="pct"/>
            <w:shd w:val="clear" w:color="auto" w:fill="auto"/>
            <w:vAlign w:val="center"/>
          </w:tcPr>
          <w:p w14:paraId="68F3764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收集效率90%，处理效率75%</w:t>
            </w:r>
          </w:p>
        </w:tc>
        <w:tc>
          <w:tcPr>
            <w:tcW w:w="277" w:type="pct"/>
            <w:shd w:val="clear" w:color="auto" w:fill="auto"/>
            <w:vAlign w:val="center"/>
          </w:tcPr>
          <w:p w14:paraId="25EE228E">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0.029 </w:t>
            </w:r>
          </w:p>
        </w:tc>
        <w:tc>
          <w:tcPr>
            <w:tcW w:w="328" w:type="pct"/>
            <w:shd w:val="clear" w:color="auto" w:fill="auto"/>
            <w:vAlign w:val="center"/>
          </w:tcPr>
          <w:p w14:paraId="2E6512B2">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1.207 </w:t>
            </w:r>
          </w:p>
        </w:tc>
        <w:tc>
          <w:tcPr>
            <w:tcW w:w="341" w:type="pct"/>
            <w:shd w:val="clear" w:color="auto" w:fill="auto"/>
            <w:vAlign w:val="center"/>
          </w:tcPr>
          <w:p w14:paraId="7C3DEBCD">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0.012 </w:t>
            </w:r>
          </w:p>
        </w:tc>
        <w:tc>
          <w:tcPr>
            <w:tcW w:w="380" w:type="pct"/>
            <w:shd w:val="clear" w:color="auto" w:fill="auto"/>
            <w:vAlign w:val="center"/>
          </w:tcPr>
          <w:p w14:paraId="05A41BA3">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DA002</w:t>
            </w:r>
          </w:p>
        </w:tc>
        <w:tc>
          <w:tcPr>
            <w:tcW w:w="300" w:type="pct"/>
            <w:vAlign w:val="center"/>
          </w:tcPr>
          <w:p w14:paraId="3D47A6D2">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3274AD0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17</w:t>
            </w:r>
          </w:p>
        </w:tc>
        <w:tc>
          <w:tcPr>
            <w:tcW w:w="332" w:type="pct"/>
            <w:vAlign w:val="center"/>
          </w:tcPr>
          <w:p w14:paraId="4210869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r>
      <w:tr w14:paraId="240CE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blHeader/>
        </w:trPr>
        <w:tc>
          <w:tcPr>
            <w:tcW w:w="308" w:type="pct"/>
            <w:vMerge w:val="continue"/>
            <w:vAlign w:val="center"/>
          </w:tcPr>
          <w:p w14:paraId="34E59B5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5F42159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3C29A02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无组织</w:t>
            </w:r>
          </w:p>
        </w:tc>
        <w:tc>
          <w:tcPr>
            <w:tcW w:w="281" w:type="pct"/>
            <w:shd w:val="clear" w:color="auto" w:fill="auto"/>
            <w:vAlign w:val="center"/>
          </w:tcPr>
          <w:p w14:paraId="65361032">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0.013 </w:t>
            </w:r>
          </w:p>
        </w:tc>
        <w:tc>
          <w:tcPr>
            <w:tcW w:w="312" w:type="pct"/>
            <w:shd w:val="clear" w:color="auto" w:fill="auto"/>
            <w:vAlign w:val="center"/>
          </w:tcPr>
          <w:p w14:paraId="60BD250B">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w:t>
            </w:r>
          </w:p>
        </w:tc>
        <w:tc>
          <w:tcPr>
            <w:tcW w:w="314" w:type="pct"/>
            <w:shd w:val="clear" w:color="auto" w:fill="auto"/>
            <w:vAlign w:val="center"/>
          </w:tcPr>
          <w:p w14:paraId="40ACCCBB">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0.005 </w:t>
            </w:r>
          </w:p>
        </w:tc>
        <w:tc>
          <w:tcPr>
            <w:tcW w:w="429" w:type="pct"/>
            <w:shd w:val="clear" w:color="auto" w:fill="auto"/>
            <w:vAlign w:val="center"/>
          </w:tcPr>
          <w:p w14:paraId="51FAF28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6B8E50B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0D6E2CFD">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0.013 </w:t>
            </w:r>
          </w:p>
        </w:tc>
        <w:tc>
          <w:tcPr>
            <w:tcW w:w="328" w:type="pct"/>
            <w:shd w:val="clear" w:color="auto" w:fill="auto"/>
            <w:vAlign w:val="center"/>
          </w:tcPr>
          <w:p w14:paraId="4C0E4FD8">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w:t>
            </w:r>
          </w:p>
        </w:tc>
        <w:tc>
          <w:tcPr>
            <w:tcW w:w="341" w:type="pct"/>
            <w:shd w:val="clear" w:color="auto" w:fill="auto"/>
            <w:vAlign w:val="center"/>
          </w:tcPr>
          <w:p w14:paraId="3F10727F">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0.005 </w:t>
            </w:r>
          </w:p>
        </w:tc>
        <w:tc>
          <w:tcPr>
            <w:tcW w:w="380" w:type="pct"/>
            <w:shd w:val="clear" w:color="auto" w:fill="auto"/>
            <w:vAlign w:val="center"/>
          </w:tcPr>
          <w:p w14:paraId="2D09C5DF">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w:t>
            </w:r>
          </w:p>
        </w:tc>
        <w:tc>
          <w:tcPr>
            <w:tcW w:w="300" w:type="pct"/>
            <w:vAlign w:val="center"/>
          </w:tcPr>
          <w:p w14:paraId="59C5BBD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29E14A8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vAlign w:val="center"/>
          </w:tcPr>
          <w:p w14:paraId="512BE17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color w:val="auto"/>
                <w:kern w:val="0"/>
                <w:sz w:val="21"/>
                <w:szCs w:val="21"/>
                <w:highlight w:val="none"/>
                <w:u w:val="single"/>
                <w:lang w:val="en-US" w:eastAsia="zh-CN" w:bidi="ar-SA"/>
              </w:rPr>
              <w:t>1.2</w:t>
            </w:r>
          </w:p>
        </w:tc>
      </w:tr>
      <w:tr w14:paraId="7111B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blHeader/>
        </w:trPr>
        <w:tc>
          <w:tcPr>
            <w:tcW w:w="308" w:type="pct"/>
            <w:vMerge w:val="continue"/>
            <w:vAlign w:val="center"/>
          </w:tcPr>
          <w:p w14:paraId="5ACC0B4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restart"/>
            <w:vAlign w:val="center"/>
          </w:tcPr>
          <w:p w14:paraId="234A24D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甲苯</w:t>
            </w:r>
          </w:p>
        </w:tc>
        <w:tc>
          <w:tcPr>
            <w:tcW w:w="304" w:type="pct"/>
            <w:shd w:val="clear" w:color="auto" w:fill="auto"/>
            <w:vAlign w:val="center"/>
          </w:tcPr>
          <w:p w14:paraId="7712A44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32642005">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0.227 </w:t>
            </w:r>
          </w:p>
        </w:tc>
        <w:tc>
          <w:tcPr>
            <w:tcW w:w="312" w:type="pct"/>
            <w:shd w:val="clear" w:color="auto" w:fill="auto"/>
            <w:vAlign w:val="center"/>
          </w:tcPr>
          <w:p w14:paraId="6B86BC9C">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3.375 </w:t>
            </w:r>
          </w:p>
        </w:tc>
        <w:tc>
          <w:tcPr>
            <w:tcW w:w="314" w:type="pct"/>
            <w:shd w:val="clear" w:color="auto" w:fill="auto"/>
            <w:vAlign w:val="center"/>
          </w:tcPr>
          <w:p w14:paraId="37288958">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0.095 </w:t>
            </w:r>
          </w:p>
        </w:tc>
        <w:tc>
          <w:tcPr>
            <w:tcW w:w="429" w:type="pct"/>
            <w:shd w:val="clear" w:color="auto" w:fill="auto"/>
            <w:vAlign w:val="center"/>
          </w:tcPr>
          <w:p w14:paraId="0F6CA0A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负压收集+活性炭吸附+催化燃烧</w:t>
            </w:r>
          </w:p>
        </w:tc>
        <w:tc>
          <w:tcPr>
            <w:tcW w:w="500" w:type="pct"/>
            <w:shd w:val="clear" w:color="auto" w:fill="auto"/>
            <w:vAlign w:val="center"/>
          </w:tcPr>
          <w:p w14:paraId="2999F39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收集效率90%，处理效率90%</w:t>
            </w:r>
          </w:p>
        </w:tc>
        <w:tc>
          <w:tcPr>
            <w:tcW w:w="277" w:type="pct"/>
            <w:shd w:val="clear" w:color="auto" w:fill="auto"/>
            <w:vAlign w:val="center"/>
          </w:tcPr>
          <w:p w14:paraId="5209FC87">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0.023 </w:t>
            </w:r>
          </w:p>
        </w:tc>
        <w:tc>
          <w:tcPr>
            <w:tcW w:w="328" w:type="pct"/>
            <w:shd w:val="clear" w:color="auto" w:fill="auto"/>
            <w:vAlign w:val="center"/>
          </w:tcPr>
          <w:p w14:paraId="5A532378">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0.338 </w:t>
            </w:r>
          </w:p>
        </w:tc>
        <w:tc>
          <w:tcPr>
            <w:tcW w:w="341" w:type="pct"/>
            <w:shd w:val="clear" w:color="auto" w:fill="auto"/>
            <w:vAlign w:val="center"/>
          </w:tcPr>
          <w:p w14:paraId="533E1DD4">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0.009 </w:t>
            </w:r>
          </w:p>
        </w:tc>
        <w:tc>
          <w:tcPr>
            <w:tcW w:w="380" w:type="pct"/>
            <w:shd w:val="clear" w:color="auto" w:fill="auto"/>
            <w:vAlign w:val="center"/>
          </w:tcPr>
          <w:p w14:paraId="3DD9D117">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DA001</w:t>
            </w:r>
          </w:p>
        </w:tc>
        <w:tc>
          <w:tcPr>
            <w:tcW w:w="300" w:type="pct"/>
            <w:shd w:val="clear" w:color="auto" w:fill="auto"/>
            <w:vAlign w:val="center"/>
          </w:tcPr>
          <w:p w14:paraId="3688FB48">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269" w:type="pct"/>
            <w:shd w:val="clear" w:color="auto" w:fill="auto"/>
            <w:vAlign w:val="center"/>
          </w:tcPr>
          <w:p w14:paraId="357BE43A">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3</w:t>
            </w:r>
          </w:p>
        </w:tc>
        <w:tc>
          <w:tcPr>
            <w:tcW w:w="332" w:type="pct"/>
            <w:shd w:val="clear" w:color="auto" w:fill="auto"/>
            <w:vAlign w:val="center"/>
          </w:tcPr>
          <w:p w14:paraId="49DF16F3">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r>
      <w:tr w14:paraId="499B2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blHeader/>
        </w:trPr>
        <w:tc>
          <w:tcPr>
            <w:tcW w:w="308" w:type="pct"/>
            <w:vMerge w:val="continue"/>
            <w:vAlign w:val="center"/>
          </w:tcPr>
          <w:p w14:paraId="0EFC155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741D9BF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680C994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341E0049">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0.023 </w:t>
            </w:r>
          </w:p>
        </w:tc>
        <w:tc>
          <w:tcPr>
            <w:tcW w:w="312" w:type="pct"/>
            <w:shd w:val="clear" w:color="auto" w:fill="auto"/>
            <w:vAlign w:val="center"/>
          </w:tcPr>
          <w:p w14:paraId="7472EA51">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0.945 </w:t>
            </w:r>
          </w:p>
        </w:tc>
        <w:tc>
          <w:tcPr>
            <w:tcW w:w="314" w:type="pct"/>
            <w:shd w:val="clear" w:color="auto" w:fill="auto"/>
            <w:vAlign w:val="center"/>
          </w:tcPr>
          <w:p w14:paraId="6EBCCCB9">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0.009 </w:t>
            </w:r>
          </w:p>
        </w:tc>
        <w:tc>
          <w:tcPr>
            <w:tcW w:w="429" w:type="pct"/>
            <w:shd w:val="clear" w:color="auto" w:fill="auto"/>
            <w:vAlign w:val="center"/>
          </w:tcPr>
          <w:p w14:paraId="2E53B38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负压收集+二级活性炭吸附</w:t>
            </w:r>
          </w:p>
        </w:tc>
        <w:tc>
          <w:tcPr>
            <w:tcW w:w="500" w:type="pct"/>
            <w:shd w:val="clear" w:color="auto" w:fill="auto"/>
            <w:vAlign w:val="center"/>
          </w:tcPr>
          <w:p w14:paraId="600B5BF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收集效率</w:t>
            </w:r>
            <w:r>
              <w:rPr>
                <w:rFonts w:hint="eastAsia" w:eastAsia="宋体" w:cs="Times New Roman"/>
                <w:b w:val="0"/>
                <w:bCs/>
                <w:snapToGrid w:val="0"/>
                <w:color w:val="auto"/>
                <w:spacing w:val="4"/>
                <w:sz w:val="21"/>
                <w:szCs w:val="21"/>
                <w:u w:val="none" w:color="auto"/>
                <w:lang w:val="en-US" w:eastAsia="zh-CN"/>
              </w:rPr>
              <w:t>90%，处理效率75%</w:t>
            </w:r>
          </w:p>
        </w:tc>
        <w:tc>
          <w:tcPr>
            <w:tcW w:w="277" w:type="pct"/>
            <w:shd w:val="clear" w:color="auto" w:fill="auto"/>
            <w:vAlign w:val="center"/>
          </w:tcPr>
          <w:p w14:paraId="69B8D89B">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0.006 </w:t>
            </w:r>
          </w:p>
        </w:tc>
        <w:tc>
          <w:tcPr>
            <w:tcW w:w="328" w:type="pct"/>
            <w:shd w:val="clear" w:color="auto" w:fill="auto"/>
            <w:vAlign w:val="center"/>
          </w:tcPr>
          <w:p w14:paraId="3CE3A7E9">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0.236 </w:t>
            </w:r>
          </w:p>
        </w:tc>
        <w:tc>
          <w:tcPr>
            <w:tcW w:w="341" w:type="pct"/>
            <w:shd w:val="clear" w:color="auto" w:fill="auto"/>
            <w:vAlign w:val="center"/>
          </w:tcPr>
          <w:p w14:paraId="5232E437">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0.002 </w:t>
            </w:r>
          </w:p>
        </w:tc>
        <w:tc>
          <w:tcPr>
            <w:tcW w:w="380" w:type="pct"/>
            <w:shd w:val="clear" w:color="auto" w:fill="auto"/>
            <w:vAlign w:val="center"/>
          </w:tcPr>
          <w:p w14:paraId="16E8C093">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DA002</w:t>
            </w:r>
          </w:p>
        </w:tc>
        <w:tc>
          <w:tcPr>
            <w:tcW w:w="300" w:type="pct"/>
            <w:vAlign w:val="center"/>
          </w:tcPr>
          <w:p w14:paraId="34F5FB9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060AC43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3</w:t>
            </w:r>
          </w:p>
        </w:tc>
        <w:tc>
          <w:tcPr>
            <w:tcW w:w="332" w:type="pct"/>
            <w:vAlign w:val="center"/>
          </w:tcPr>
          <w:p w14:paraId="505A978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r>
      <w:tr w14:paraId="63E24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blHeader/>
        </w:trPr>
        <w:tc>
          <w:tcPr>
            <w:tcW w:w="308" w:type="pct"/>
            <w:vMerge w:val="continue"/>
            <w:vAlign w:val="center"/>
          </w:tcPr>
          <w:p w14:paraId="3643CB4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4B99027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784CB74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vAlign w:val="center"/>
          </w:tcPr>
          <w:p w14:paraId="3853C6BC">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0.003 </w:t>
            </w:r>
          </w:p>
        </w:tc>
        <w:tc>
          <w:tcPr>
            <w:tcW w:w="312" w:type="pct"/>
            <w:shd w:val="clear" w:color="auto" w:fill="auto"/>
            <w:vAlign w:val="center"/>
          </w:tcPr>
          <w:p w14:paraId="4E77ACD2">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14" w:type="pct"/>
            <w:shd w:val="clear" w:color="auto" w:fill="auto"/>
            <w:vAlign w:val="center"/>
          </w:tcPr>
          <w:p w14:paraId="5FC0AC07">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0.001 </w:t>
            </w:r>
          </w:p>
        </w:tc>
        <w:tc>
          <w:tcPr>
            <w:tcW w:w="429" w:type="pct"/>
            <w:shd w:val="clear" w:color="auto" w:fill="auto"/>
            <w:vAlign w:val="center"/>
          </w:tcPr>
          <w:p w14:paraId="1EB3960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6FDD29C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56BAD2A2">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0.003 </w:t>
            </w:r>
          </w:p>
        </w:tc>
        <w:tc>
          <w:tcPr>
            <w:tcW w:w="328" w:type="pct"/>
            <w:shd w:val="clear" w:color="auto" w:fill="auto"/>
            <w:vAlign w:val="center"/>
          </w:tcPr>
          <w:p w14:paraId="03F90B09">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41" w:type="pct"/>
            <w:shd w:val="clear" w:color="auto" w:fill="auto"/>
            <w:vAlign w:val="center"/>
          </w:tcPr>
          <w:p w14:paraId="3A239669">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0.001 </w:t>
            </w:r>
          </w:p>
        </w:tc>
        <w:tc>
          <w:tcPr>
            <w:tcW w:w="380" w:type="pct"/>
            <w:shd w:val="clear" w:color="auto" w:fill="auto"/>
            <w:vAlign w:val="center"/>
          </w:tcPr>
          <w:p w14:paraId="43B5F020">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300" w:type="pct"/>
            <w:vAlign w:val="center"/>
          </w:tcPr>
          <w:p w14:paraId="2AF89072">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61D31D0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vAlign w:val="center"/>
          </w:tcPr>
          <w:p w14:paraId="3D74B01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2.4</w:t>
            </w:r>
          </w:p>
        </w:tc>
      </w:tr>
      <w:tr w14:paraId="27BB6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blHeader/>
        </w:trPr>
        <w:tc>
          <w:tcPr>
            <w:tcW w:w="308" w:type="pct"/>
            <w:vMerge w:val="restart"/>
            <w:vAlign w:val="center"/>
          </w:tcPr>
          <w:p w14:paraId="7D80B76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风扇、风罩喷漆、晾干</w:t>
            </w:r>
          </w:p>
        </w:tc>
        <w:tc>
          <w:tcPr>
            <w:tcW w:w="318" w:type="pct"/>
            <w:vMerge w:val="restart"/>
            <w:vAlign w:val="center"/>
          </w:tcPr>
          <w:p w14:paraId="25C94E4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漆雾（颗粒物）</w:t>
            </w:r>
          </w:p>
        </w:tc>
        <w:tc>
          <w:tcPr>
            <w:tcW w:w="304" w:type="pct"/>
            <w:shd w:val="clear" w:color="auto" w:fill="auto"/>
            <w:vAlign w:val="center"/>
          </w:tcPr>
          <w:p w14:paraId="034E11B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6A40240C">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 xml:space="preserve">0.103 </w:t>
            </w:r>
          </w:p>
        </w:tc>
        <w:tc>
          <w:tcPr>
            <w:tcW w:w="312" w:type="pct"/>
            <w:shd w:val="clear" w:color="auto" w:fill="auto"/>
            <w:vAlign w:val="center"/>
          </w:tcPr>
          <w:p w14:paraId="7E028081">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1.527 </w:t>
            </w:r>
          </w:p>
        </w:tc>
        <w:tc>
          <w:tcPr>
            <w:tcW w:w="314" w:type="pct"/>
            <w:shd w:val="clear" w:color="auto" w:fill="auto"/>
            <w:vAlign w:val="center"/>
          </w:tcPr>
          <w:p w14:paraId="7101EE97">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0.043 </w:t>
            </w:r>
          </w:p>
        </w:tc>
        <w:tc>
          <w:tcPr>
            <w:tcW w:w="429" w:type="pct"/>
            <w:shd w:val="clear" w:color="auto" w:fill="auto"/>
            <w:vAlign w:val="center"/>
          </w:tcPr>
          <w:p w14:paraId="2B76CC32">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负压收集+水帘除尘</w:t>
            </w:r>
            <w:r>
              <w:rPr>
                <w:rFonts w:hint="eastAsia" w:cs="Times New Roman"/>
                <w:b w:val="0"/>
                <w:bCs/>
                <w:snapToGrid w:val="0"/>
                <w:color w:val="auto"/>
                <w:spacing w:val="4"/>
                <w:sz w:val="21"/>
                <w:szCs w:val="21"/>
                <w:u w:val="none" w:color="auto"/>
                <w:lang w:val="en-US" w:eastAsia="zh-CN"/>
              </w:rPr>
              <w:t>+干式过滤</w:t>
            </w:r>
          </w:p>
        </w:tc>
        <w:tc>
          <w:tcPr>
            <w:tcW w:w="500" w:type="pct"/>
            <w:shd w:val="clear" w:color="auto" w:fill="auto"/>
            <w:vAlign w:val="center"/>
          </w:tcPr>
          <w:p w14:paraId="4701E55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收集效率</w:t>
            </w:r>
            <w:r>
              <w:rPr>
                <w:rFonts w:hint="eastAsia" w:eastAsia="宋体" w:cs="Times New Roman"/>
                <w:b w:val="0"/>
                <w:bCs/>
                <w:snapToGrid w:val="0"/>
                <w:color w:val="auto"/>
                <w:spacing w:val="4"/>
                <w:sz w:val="21"/>
                <w:szCs w:val="21"/>
                <w:u w:val="none" w:color="auto"/>
                <w:lang w:val="en-US" w:eastAsia="zh-CN"/>
              </w:rPr>
              <w:t>90%，处理效率90%</w:t>
            </w:r>
          </w:p>
        </w:tc>
        <w:tc>
          <w:tcPr>
            <w:tcW w:w="277" w:type="pct"/>
            <w:shd w:val="clear" w:color="auto" w:fill="auto"/>
            <w:vAlign w:val="center"/>
          </w:tcPr>
          <w:p w14:paraId="08BD3F13">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宋体" w:hAnsi="宋体" w:eastAsia="宋体" w:cs="宋体"/>
                <w:i w:val="0"/>
                <w:iCs w:val="0"/>
                <w:color w:val="000000"/>
                <w:kern w:val="0"/>
                <w:sz w:val="21"/>
                <w:szCs w:val="21"/>
                <w:u w:val="none"/>
                <w:lang w:val="en-US" w:eastAsia="zh-CN" w:bidi="ar"/>
              </w:rPr>
              <w:t xml:space="preserve">0.010 </w:t>
            </w:r>
          </w:p>
        </w:tc>
        <w:tc>
          <w:tcPr>
            <w:tcW w:w="328" w:type="pct"/>
            <w:shd w:val="clear" w:color="auto" w:fill="auto"/>
            <w:vAlign w:val="center"/>
          </w:tcPr>
          <w:p w14:paraId="53673ED6">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0.153 </w:t>
            </w:r>
          </w:p>
        </w:tc>
        <w:tc>
          <w:tcPr>
            <w:tcW w:w="341" w:type="pct"/>
            <w:shd w:val="clear" w:color="auto" w:fill="auto"/>
            <w:vAlign w:val="center"/>
          </w:tcPr>
          <w:p w14:paraId="0E129373">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0.004 </w:t>
            </w:r>
          </w:p>
        </w:tc>
        <w:tc>
          <w:tcPr>
            <w:tcW w:w="380" w:type="pct"/>
            <w:shd w:val="clear" w:color="auto" w:fill="auto"/>
            <w:vAlign w:val="center"/>
          </w:tcPr>
          <w:p w14:paraId="04FC79C5">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DA001</w:t>
            </w:r>
          </w:p>
        </w:tc>
        <w:tc>
          <w:tcPr>
            <w:tcW w:w="300" w:type="pct"/>
            <w:vAlign w:val="center"/>
          </w:tcPr>
          <w:p w14:paraId="0C6011C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w:t>
            </w:r>
          </w:p>
        </w:tc>
        <w:tc>
          <w:tcPr>
            <w:tcW w:w="269" w:type="pct"/>
            <w:vAlign w:val="center"/>
          </w:tcPr>
          <w:p w14:paraId="7765352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30</w:t>
            </w:r>
          </w:p>
        </w:tc>
        <w:tc>
          <w:tcPr>
            <w:tcW w:w="332" w:type="pct"/>
            <w:vAlign w:val="center"/>
          </w:tcPr>
          <w:p w14:paraId="68D121F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w:t>
            </w:r>
          </w:p>
        </w:tc>
      </w:tr>
      <w:tr w14:paraId="57FAF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blHeader/>
        </w:trPr>
        <w:tc>
          <w:tcPr>
            <w:tcW w:w="308" w:type="pct"/>
            <w:vMerge w:val="continue"/>
            <w:vAlign w:val="center"/>
          </w:tcPr>
          <w:p w14:paraId="2E3C672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4E5B7EF2">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0E6F29C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vAlign w:val="center"/>
          </w:tcPr>
          <w:p w14:paraId="0D96B07B">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 xml:space="preserve">0.011 </w:t>
            </w:r>
          </w:p>
        </w:tc>
        <w:tc>
          <w:tcPr>
            <w:tcW w:w="312" w:type="pct"/>
            <w:shd w:val="clear" w:color="auto" w:fill="auto"/>
            <w:vAlign w:val="center"/>
          </w:tcPr>
          <w:p w14:paraId="1969EB7A">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314" w:type="pct"/>
            <w:shd w:val="clear" w:color="auto" w:fill="auto"/>
            <w:vAlign w:val="center"/>
          </w:tcPr>
          <w:p w14:paraId="576C836F">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宋体" w:hAnsi="宋体" w:eastAsia="宋体" w:cs="宋体"/>
                <w:i w:val="0"/>
                <w:iCs w:val="0"/>
                <w:color w:val="000000"/>
                <w:kern w:val="0"/>
                <w:sz w:val="21"/>
                <w:szCs w:val="21"/>
                <w:u w:val="none"/>
                <w:lang w:val="en-US" w:eastAsia="zh-CN" w:bidi="ar"/>
              </w:rPr>
              <w:t xml:space="preserve">0.005 </w:t>
            </w:r>
          </w:p>
        </w:tc>
        <w:tc>
          <w:tcPr>
            <w:tcW w:w="429" w:type="pct"/>
            <w:shd w:val="clear" w:color="auto" w:fill="auto"/>
            <w:vAlign w:val="center"/>
          </w:tcPr>
          <w:p w14:paraId="6E8CA68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5C40520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282B077D">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宋体" w:hAnsi="宋体" w:eastAsia="宋体" w:cs="宋体"/>
                <w:i w:val="0"/>
                <w:iCs w:val="0"/>
                <w:color w:val="000000"/>
                <w:kern w:val="0"/>
                <w:sz w:val="21"/>
                <w:szCs w:val="21"/>
                <w:u w:val="none"/>
                <w:lang w:val="en-US" w:eastAsia="zh-CN" w:bidi="ar"/>
              </w:rPr>
              <w:t xml:space="preserve">0.011 </w:t>
            </w:r>
          </w:p>
        </w:tc>
        <w:tc>
          <w:tcPr>
            <w:tcW w:w="328" w:type="pct"/>
            <w:shd w:val="clear" w:color="auto" w:fill="auto"/>
            <w:vAlign w:val="center"/>
          </w:tcPr>
          <w:p w14:paraId="4C6A239C">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宋体" w:hAnsi="宋体" w:eastAsia="宋体" w:cs="宋体"/>
                <w:i w:val="0"/>
                <w:iCs w:val="0"/>
                <w:color w:val="000000"/>
                <w:kern w:val="0"/>
                <w:sz w:val="21"/>
                <w:szCs w:val="21"/>
                <w:u w:val="none"/>
                <w:lang w:val="en-US" w:eastAsia="zh-CN" w:bidi="ar"/>
              </w:rPr>
              <w:t>/</w:t>
            </w:r>
          </w:p>
        </w:tc>
        <w:tc>
          <w:tcPr>
            <w:tcW w:w="341" w:type="pct"/>
            <w:shd w:val="clear" w:color="auto" w:fill="auto"/>
            <w:vAlign w:val="center"/>
          </w:tcPr>
          <w:p w14:paraId="298917D6">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宋体" w:hAnsi="宋体" w:eastAsia="宋体" w:cs="宋体"/>
                <w:i w:val="0"/>
                <w:iCs w:val="0"/>
                <w:color w:val="000000"/>
                <w:kern w:val="0"/>
                <w:sz w:val="21"/>
                <w:szCs w:val="21"/>
                <w:u w:val="none"/>
                <w:lang w:val="en-US" w:eastAsia="zh-CN" w:bidi="ar"/>
              </w:rPr>
              <w:t xml:space="preserve">0.005 </w:t>
            </w:r>
          </w:p>
        </w:tc>
        <w:tc>
          <w:tcPr>
            <w:tcW w:w="380" w:type="pct"/>
            <w:shd w:val="clear" w:color="auto" w:fill="auto"/>
            <w:vAlign w:val="center"/>
          </w:tcPr>
          <w:p w14:paraId="22239DF2">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300" w:type="pct"/>
            <w:vAlign w:val="center"/>
          </w:tcPr>
          <w:p w14:paraId="64A9D44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w:t>
            </w:r>
          </w:p>
        </w:tc>
        <w:tc>
          <w:tcPr>
            <w:tcW w:w="269" w:type="pct"/>
            <w:vAlign w:val="center"/>
          </w:tcPr>
          <w:p w14:paraId="510E087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1</w:t>
            </w:r>
          </w:p>
        </w:tc>
        <w:tc>
          <w:tcPr>
            <w:tcW w:w="332" w:type="pct"/>
            <w:vAlign w:val="center"/>
          </w:tcPr>
          <w:p w14:paraId="50CF7E9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w:t>
            </w:r>
          </w:p>
        </w:tc>
      </w:tr>
      <w:tr w14:paraId="7466B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blHeader/>
        </w:trPr>
        <w:tc>
          <w:tcPr>
            <w:tcW w:w="308" w:type="pct"/>
            <w:vMerge w:val="continue"/>
            <w:vAlign w:val="center"/>
          </w:tcPr>
          <w:p w14:paraId="6579813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restart"/>
            <w:vAlign w:val="center"/>
          </w:tcPr>
          <w:p w14:paraId="66CDDDC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VOCs</w:t>
            </w:r>
          </w:p>
        </w:tc>
        <w:tc>
          <w:tcPr>
            <w:tcW w:w="304" w:type="pct"/>
            <w:shd w:val="clear" w:color="auto" w:fill="auto"/>
            <w:vAlign w:val="center"/>
          </w:tcPr>
          <w:p w14:paraId="0BD0FF0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34D25EB1">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0.163 </w:t>
            </w:r>
          </w:p>
        </w:tc>
        <w:tc>
          <w:tcPr>
            <w:tcW w:w="312" w:type="pct"/>
            <w:shd w:val="clear" w:color="auto" w:fill="auto"/>
            <w:vAlign w:val="center"/>
          </w:tcPr>
          <w:p w14:paraId="30EA09C4">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2.423 </w:t>
            </w:r>
          </w:p>
        </w:tc>
        <w:tc>
          <w:tcPr>
            <w:tcW w:w="314" w:type="pct"/>
            <w:shd w:val="clear" w:color="auto" w:fill="auto"/>
            <w:vAlign w:val="center"/>
          </w:tcPr>
          <w:p w14:paraId="37427159">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0.068 </w:t>
            </w:r>
          </w:p>
        </w:tc>
        <w:tc>
          <w:tcPr>
            <w:tcW w:w="429" w:type="pct"/>
            <w:shd w:val="clear" w:color="auto" w:fill="auto"/>
            <w:vAlign w:val="center"/>
          </w:tcPr>
          <w:p w14:paraId="27B7A61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负压收集+活性炭吸附+催化燃烧</w:t>
            </w:r>
          </w:p>
        </w:tc>
        <w:tc>
          <w:tcPr>
            <w:tcW w:w="500" w:type="pct"/>
            <w:shd w:val="clear" w:color="auto" w:fill="auto"/>
            <w:vAlign w:val="center"/>
          </w:tcPr>
          <w:p w14:paraId="33EB45E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收集效率</w:t>
            </w:r>
            <w:r>
              <w:rPr>
                <w:rFonts w:hint="eastAsia" w:eastAsia="宋体" w:cs="Times New Roman"/>
                <w:b w:val="0"/>
                <w:bCs/>
                <w:snapToGrid w:val="0"/>
                <w:color w:val="auto"/>
                <w:spacing w:val="4"/>
                <w:sz w:val="21"/>
                <w:szCs w:val="21"/>
                <w:u w:val="none" w:color="auto"/>
                <w:lang w:val="en-US" w:eastAsia="zh-CN"/>
              </w:rPr>
              <w:t>90%，处理效率90%</w:t>
            </w:r>
          </w:p>
        </w:tc>
        <w:tc>
          <w:tcPr>
            <w:tcW w:w="277" w:type="pct"/>
            <w:shd w:val="clear" w:color="auto" w:fill="auto"/>
            <w:vAlign w:val="center"/>
          </w:tcPr>
          <w:p w14:paraId="2DACF350">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0.016 </w:t>
            </w:r>
          </w:p>
        </w:tc>
        <w:tc>
          <w:tcPr>
            <w:tcW w:w="328" w:type="pct"/>
            <w:shd w:val="clear" w:color="auto" w:fill="auto"/>
            <w:vAlign w:val="center"/>
          </w:tcPr>
          <w:p w14:paraId="660FAEAB">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0.242 </w:t>
            </w:r>
          </w:p>
        </w:tc>
        <w:tc>
          <w:tcPr>
            <w:tcW w:w="341" w:type="pct"/>
            <w:shd w:val="clear" w:color="auto" w:fill="auto"/>
            <w:vAlign w:val="center"/>
          </w:tcPr>
          <w:p w14:paraId="693BF836">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0.007 </w:t>
            </w:r>
          </w:p>
        </w:tc>
        <w:tc>
          <w:tcPr>
            <w:tcW w:w="380" w:type="pct"/>
            <w:shd w:val="clear" w:color="auto" w:fill="auto"/>
            <w:vAlign w:val="center"/>
          </w:tcPr>
          <w:p w14:paraId="47791343">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DA001</w:t>
            </w:r>
          </w:p>
        </w:tc>
        <w:tc>
          <w:tcPr>
            <w:tcW w:w="300" w:type="pct"/>
            <w:vAlign w:val="center"/>
          </w:tcPr>
          <w:p w14:paraId="4C20B0D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2340FD7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50</w:t>
            </w:r>
          </w:p>
        </w:tc>
        <w:tc>
          <w:tcPr>
            <w:tcW w:w="332" w:type="pct"/>
            <w:vAlign w:val="center"/>
          </w:tcPr>
          <w:p w14:paraId="276FCBC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r>
      <w:tr w14:paraId="6565F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blHeader/>
        </w:trPr>
        <w:tc>
          <w:tcPr>
            <w:tcW w:w="308" w:type="pct"/>
            <w:vMerge w:val="continue"/>
            <w:vAlign w:val="center"/>
          </w:tcPr>
          <w:p w14:paraId="55BB952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0CBDD5D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2891ECD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vAlign w:val="center"/>
          </w:tcPr>
          <w:p w14:paraId="77ABD65F">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0.018 </w:t>
            </w:r>
          </w:p>
        </w:tc>
        <w:tc>
          <w:tcPr>
            <w:tcW w:w="312" w:type="pct"/>
            <w:shd w:val="clear" w:color="auto" w:fill="auto"/>
            <w:vAlign w:val="center"/>
          </w:tcPr>
          <w:p w14:paraId="10045B80">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14" w:type="pct"/>
            <w:shd w:val="clear" w:color="auto" w:fill="auto"/>
            <w:vAlign w:val="center"/>
          </w:tcPr>
          <w:p w14:paraId="715C1A48">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0.008 </w:t>
            </w:r>
          </w:p>
        </w:tc>
        <w:tc>
          <w:tcPr>
            <w:tcW w:w="429" w:type="pct"/>
            <w:shd w:val="clear" w:color="auto" w:fill="auto"/>
            <w:vAlign w:val="center"/>
          </w:tcPr>
          <w:p w14:paraId="2A750F3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7023F90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61A47B9F">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0.018 </w:t>
            </w:r>
          </w:p>
        </w:tc>
        <w:tc>
          <w:tcPr>
            <w:tcW w:w="328" w:type="pct"/>
            <w:shd w:val="clear" w:color="auto" w:fill="auto"/>
            <w:vAlign w:val="center"/>
          </w:tcPr>
          <w:p w14:paraId="227FF03B">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41" w:type="pct"/>
            <w:shd w:val="clear" w:color="auto" w:fill="auto"/>
            <w:vAlign w:val="center"/>
          </w:tcPr>
          <w:p w14:paraId="2F34F115">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0.008 </w:t>
            </w:r>
          </w:p>
        </w:tc>
        <w:tc>
          <w:tcPr>
            <w:tcW w:w="380" w:type="pct"/>
            <w:shd w:val="clear" w:color="auto" w:fill="auto"/>
            <w:vAlign w:val="center"/>
          </w:tcPr>
          <w:p w14:paraId="41B81CC4">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300" w:type="pct"/>
            <w:vAlign w:val="center"/>
          </w:tcPr>
          <w:p w14:paraId="637D6D8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14DB3E9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vAlign w:val="center"/>
          </w:tcPr>
          <w:p w14:paraId="02CEC76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2.0</w:t>
            </w:r>
          </w:p>
        </w:tc>
      </w:tr>
      <w:tr w14:paraId="04CA3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blHeader/>
        </w:trPr>
        <w:tc>
          <w:tcPr>
            <w:tcW w:w="308" w:type="pct"/>
            <w:vMerge w:val="continue"/>
            <w:vAlign w:val="center"/>
          </w:tcPr>
          <w:p w14:paraId="586672D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restart"/>
            <w:vAlign w:val="center"/>
          </w:tcPr>
          <w:p w14:paraId="3E07832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二甲苯</w:t>
            </w:r>
          </w:p>
        </w:tc>
        <w:tc>
          <w:tcPr>
            <w:tcW w:w="304" w:type="pct"/>
            <w:shd w:val="clear" w:color="auto" w:fill="auto"/>
            <w:vAlign w:val="center"/>
          </w:tcPr>
          <w:p w14:paraId="199B883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15C017CE">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0.081 </w:t>
            </w:r>
          </w:p>
        </w:tc>
        <w:tc>
          <w:tcPr>
            <w:tcW w:w="312" w:type="pct"/>
            <w:shd w:val="clear" w:color="auto" w:fill="auto"/>
            <w:vAlign w:val="center"/>
          </w:tcPr>
          <w:p w14:paraId="4D617DD2">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1.205 </w:t>
            </w:r>
          </w:p>
        </w:tc>
        <w:tc>
          <w:tcPr>
            <w:tcW w:w="314" w:type="pct"/>
            <w:shd w:val="clear" w:color="auto" w:fill="auto"/>
            <w:vAlign w:val="center"/>
          </w:tcPr>
          <w:p w14:paraId="2F7860A8">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0.034 </w:t>
            </w:r>
          </w:p>
        </w:tc>
        <w:tc>
          <w:tcPr>
            <w:tcW w:w="429" w:type="pct"/>
            <w:shd w:val="clear" w:color="auto" w:fill="auto"/>
            <w:vAlign w:val="center"/>
          </w:tcPr>
          <w:p w14:paraId="0E92A31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负压收集+活性炭吸附+催化燃烧</w:t>
            </w:r>
          </w:p>
        </w:tc>
        <w:tc>
          <w:tcPr>
            <w:tcW w:w="500" w:type="pct"/>
            <w:shd w:val="clear" w:color="auto" w:fill="auto"/>
            <w:vAlign w:val="center"/>
          </w:tcPr>
          <w:p w14:paraId="1552D36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收集效率</w:t>
            </w:r>
            <w:r>
              <w:rPr>
                <w:rFonts w:hint="eastAsia" w:eastAsia="宋体" w:cs="Times New Roman"/>
                <w:b w:val="0"/>
                <w:bCs/>
                <w:snapToGrid w:val="0"/>
                <w:color w:val="auto"/>
                <w:spacing w:val="4"/>
                <w:sz w:val="21"/>
                <w:szCs w:val="21"/>
                <w:u w:val="none" w:color="auto"/>
                <w:lang w:val="en-US" w:eastAsia="zh-CN"/>
              </w:rPr>
              <w:t>90%，处理效率90%</w:t>
            </w:r>
          </w:p>
        </w:tc>
        <w:tc>
          <w:tcPr>
            <w:tcW w:w="277" w:type="pct"/>
            <w:shd w:val="clear" w:color="auto" w:fill="auto"/>
            <w:vAlign w:val="center"/>
          </w:tcPr>
          <w:p w14:paraId="61B4CF53">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0.008 </w:t>
            </w:r>
          </w:p>
        </w:tc>
        <w:tc>
          <w:tcPr>
            <w:tcW w:w="328" w:type="pct"/>
            <w:shd w:val="clear" w:color="auto" w:fill="auto"/>
            <w:vAlign w:val="center"/>
          </w:tcPr>
          <w:p w14:paraId="695009D7">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0.121 </w:t>
            </w:r>
          </w:p>
        </w:tc>
        <w:tc>
          <w:tcPr>
            <w:tcW w:w="341" w:type="pct"/>
            <w:shd w:val="clear" w:color="auto" w:fill="auto"/>
            <w:vAlign w:val="center"/>
          </w:tcPr>
          <w:p w14:paraId="2F118827">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c>
          <w:tcPr>
            <w:tcW w:w="380" w:type="pct"/>
            <w:shd w:val="clear" w:color="auto" w:fill="auto"/>
            <w:vAlign w:val="center"/>
          </w:tcPr>
          <w:p w14:paraId="744BB575">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DA001</w:t>
            </w:r>
          </w:p>
        </w:tc>
        <w:tc>
          <w:tcPr>
            <w:tcW w:w="300" w:type="pct"/>
            <w:shd w:val="clear" w:color="auto" w:fill="auto"/>
            <w:vAlign w:val="center"/>
          </w:tcPr>
          <w:p w14:paraId="04F36583">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269" w:type="pct"/>
            <w:shd w:val="clear" w:color="auto" w:fill="auto"/>
            <w:vAlign w:val="center"/>
          </w:tcPr>
          <w:p w14:paraId="777340F4">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17</w:t>
            </w:r>
          </w:p>
        </w:tc>
        <w:tc>
          <w:tcPr>
            <w:tcW w:w="332" w:type="pct"/>
            <w:shd w:val="clear" w:color="auto" w:fill="auto"/>
            <w:vAlign w:val="center"/>
          </w:tcPr>
          <w:p w14:paraId="501489C4">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r>
      <w:tr w14:paraId="3674A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blHeader/>
        </w:trPr>
        <w:tc>
          <w:tcPr>
            <w:tcW w:w="308" w:type="pct"/>
            <w:vMerge w:val="continue"/>
            <w:vAlign w:val="center"/>
          </w:tcPr>
          <w:p w14:paraId="25441F7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06084A9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0904E0A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vAlign w:val="center"/>
          </w:tcPr>
          <w:p w14:paraId="29877D5E">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0.009 </w:t>
            </w:r>
          </w:p>
        </w:tc>
        <w:tc>
          <w:tcPr>
            <w:tcW w:w="312" w:type="pct"/>
            <w:shd w:val="clear" w:color="auto" w:fill="auto"/>
            <w:vAlign w:val="center"/>
          </w:tcPr>
          <w:p w14:paraId="46D94CA3">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14" w:type="pct"/>
            <w:shd w:val="clear" w:color="auto" w:fill="auto"/>
            <w:vAlign w:val="center"/>
          </w:tcPr>
          <w:p w14:paraId="7E09DB64">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0.004 </w:t>
            </w:r>
          </w:p>
        </w:tc>
        <w:tc>
          <w:tcPr>
            <w:tcW w:w="429" w:type="pct"/>
            <w:shd w:val="clear" w:color="auto" w:fill="auto"/>
            <w:vAlign w:val="center"/>
          </w:tcPr>
          <w:p w14:paraId="150B353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5A60B4B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61EE9E08">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0.009 </w:t>
            </w:r>
          </w:p>
        </w:tc>
        <w:tc>
          <w:tcPr>
            <w:tcW w:w="328" w:type="pct"/>
            <w:shd w:val="clear" w:color="auto" w:fill="auto"/>
            <w:vAlign w:val="center"/>
          </w:tcPr>
          <w:p w14:paraId="0998C738">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41" w:type="pct"/>
            <w:shd w:val="clear" w:color="auto" w:fill="auto"/>
            <w:vAlign w:val="center"/>
          </w:tcPr>
          <w:p w14:paraId="0B23A526">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0.004 </w:t>
            </w:r>
          </w:p>
        </w:tc>
        <w:tc>
          <w:tcPr>
            <w:tcW w:w="380" w:type="pct"/>
            <w:shd w:val="clear" w:color="auto" w:fill="auto"/>
            <w:vAlign w:val="center"/>
          </w:tcPr>
          <w:p w14:paraId="406E7B3C">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300" w:type="pct"/>
            <w:shd w:val="clear" w:color="auto" w:fill="auto"/>
            <w:vAlign w:val="center"/>
          </w:tcPr>
          <w:p w14:paraId="6CC0669A">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269" w:type="pct"/>
            <w:shd w:val="clear" w:color="auto" w:fill="auto"/>
            <w:vAlign w:val="center"/>
          </w:tcPr>
          <w:p w14:paraId="27BC0A3F">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332" w:type="pct"/>
            <w:shd w:val="clear" w:color="auto" w:fill="auto"/>
            <w:vAlign w:val="center"/>
          </w:tcPr>
          <w:p w14:paraId="6BDDC9E7">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color w:val="auto"/>
                <w:kern w:val="0"/>
                <w:sz w:val="21"/>
                <w:szCs w:val="21"/>
                <w:highlight w:val="none"/>
                <w:u w:val="single"/>
                <w:lang w:val="en-US" w:eastAsia="zh-CN" w:bidi="ar-SA"/>
              </w:rPr>
              <w:t>1.2</w:t>
            </w:r>
          </w:p>
        </w:tc>
      </w:tr>
      <w:tr w14:paraId="63E3D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blHeader/>
        </w:trPr>
        <w:tc>
          <w:tcPr>
            <w:tcW w:w="308" w:type="pct"/>
            <w:vMerge w:val="continue"/>
            <w:vAlign w:val="center"/>
          </w:tcPr>
          <w:p w14:paraId="5B2604A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restart"/>
            <w:vAlign w:val="center"/>
          </w:tcPr>
          <w:p w14:paraId="6788DE3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甲苯</w:t>
            </w:r>
          </w:p>
        </w:tc>
        <w:tc>
          <w:tcPr>
            <w:tcW w:w="304" w:type="pct"/>
            <w:shd w:val="clear" w:color="auto" w:fill="auto"/>
            <w:vAlign w:val="center"/>
          </w:tcPr>
          <w:p w14:paraId="6A7EC7F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31CA152E">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0.028 </w:t>
            </w:r>
          </w:p>
        </w:tc>
        <w:tc>
          <w:tcPr>
            <w:tcW w:w="312" w:type="pct"/>
            <w:shd w:val="clear" w:color="auto" w:fill="auto"/>
            <w:vAlign w:val="center"/>
          </w:tcPr>
          <w:p w14:paraId="198ED15F">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0.229 </w:t>
            </w:r>
          </w:p>
        </w:tc>
        <w:tc>
          <w:tcPr>
            <w:tcW w:w="314" w:type="pct"/>
            <w:shd w:val="clear" w:color="auto" w:fill="auto"/>
            <w:vAlign w:val="center"/>
          </w:tcPr>
          <w:p w14:paraId="5C64210E">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0.006 </w:t>
            </w:r>
          </w:p>
        </w:tc>
        <w:tc>
          <w:tcPr>
            <w:tcW w:w="429" w:type="pct"/>
            <w:shd w:val="clear" w:color="auto" w:fill="auto"/>
            <w:vAlign w:val="center"/>
          </w:tcPr>
          <w:p w14:paraId="6563EF5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负压收集+活性炭吸附+催化燃烧</w:t>
            </w:r>
          </w:p>
        </w:tc>
        <w:tc>
          <w:tcPr>
            <w:tcW w:w="500" w:type="pct"/>
            <w:shd w:val="clear" w:color="auto" w:fill="auto"/>
            <w:vAlign w:val="center"/>
          </w:tcPr>
          <w:p w14:paraId="40A6B93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收集效率</w:t>
            </w:r>
            <w:r>
              <w:rPr>
                <w:rFonts w:hint="eastAsia" w:eastAsia="宋体" w:cs="Times New Roman"/>
                <w:b w:val="0"/>
                <w:bCs/>
                <w:snapToGrid w:val="0"/>
                <w:color w:val="auto"/>
                <w:spacing w:val="4"/>
                <w:sz w:val="21"/>
                <w:szCs w:val="21"/>
                <w:u w:val="none" w:color="auto"/>
                <w:lang w:val="en-US" w:eastAsia="zh-CN"/>
              </w:rPr>
              <w:t>90%，处理效率90%</w:t>
            </w:r>
          </w:p>
        </w:tc>
        <w:tc>
          <w:tcPr>
            <w:tcW w:w="277" w:type="pct"/>
            <w:shd w:val="clear" w:color="auto" w:fill="auto"/>
            <w:vAlign w:val="center"/>
          </w:tcPr>
          <w:p w14:paraId="66BE4C28">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0.003 </w:t>
            </w:r>
          </w:p>
        </w:tc>
        <w:tc>
          <w:tcPr>
            <w:tcW w:w="328" w:type="pct"/>
            <w:shd w:val="clear" w:color="auto" w:fill="auto"/>
            <w:vAlign w:val="center"/>
          </w:tcPr>
          <w:p w14:paraId="266ECA1B">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0.041 </w:t>
            </w:r>
          </w:p>
        </w:tc>
        <w:tc>
          <w:tcPr>
            <w:tcW w:w="341" w:type="pct"/>
            <w:shd w:val="clear" w:color="auto" w:fill="auto"/>
            <w:vAlign w:val="center"/>
          </w:tcPr>
          <w:p w14:paraId="5C241D4C">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380" w:type="pct"/>
            <w:shd w:val="clear" w:color="auto" w:fill="auto"/>
            <w:vAlign w:val="center"/>
          </w:tcPr>
          <w:p w14:paraId="04C1B497">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eastAsia="宋体" w:cs="Times New Roman"/>
                <w:b w:val="0"/>
                <w:bCs/>
                <w:snapToGrid w:val="0"/>
                <w:color w:val="auto"/>
                <w:spacing w:val="4"/>
                <w:sz w:val="21"/>
                <w:szCs w:val="21"/>
                <w:u w:val="none" w:color="auto"/>
                <w:lang w:val="en-US" w:eastAsia="zh-CN"/>
              </w:rPr>
              <w:t>DA001</w:t>
            </w:r>
          </w:p>
        </w:tc>
        <w:tc>
          <w:tcPr>
            <w:tcW w:w="300" w:type="pct"/>
            <w:vAlign w:val="center"/>
          </w:tcPr>
          <w:p w14:paraId="7DFAF97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7D5F8B7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3</w:t>
            </w:r>
          </w:p>
        </w:tc>
        <w:tc>
          <w:tcPr>
            <w:tcW w:w="332" w:type="pct"/>
            <w:vAlign w:val="center"/>
          </w:tcPr>
          <w:p w14:paraId="777E1CD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r>
      <w:tr w14:paraId="16D73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blHeader/>
        </w:trPr>
        <w:tc>
          <w:tcPr>
            <w:tcW w:w="308" w:type="pct"/>
            <w:vMerge w:val="continue"/>
            <w:vAlign w:val="center"/>
          </w:tcPr>
          <w:p w14:paraId="6B94473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Merge w:val="continue"/>
            <w:vAlign w:val="center"/>
          </w:tcPr>
          <w:p w14:paraId="5733ADB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04" w:type="pct"/>
            <w:shd w:val="clear" w:color="auto" w:fill="auto"/>
            <w:vAlign w:val="center"/>
          </w:tcPr>
          <w:p w14:paraId="777BFF7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vAlign w:val="center"/>
          </w:tcPr>
          <w:p w14:paraId="3B4A1547">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0.003 </w:t>
            </w:r>
          </w:p>
        </w:tc>
        <w:tc>
          <w:tcPr>
            <w:tcW w:w="312" w:type="pct"/>
            <w:shd w:val="clear" w:color="auto" w:fill="auto"/>
            <w:vAlign w:val="center"/>
          </w:tcPr>
          <w:p w14:paraId="0D7832F8">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14" w:type="pct"/>
            <w:shd w:val="clear" w:color="auto" w:fill="auto"/>
            <w:vAlign w:val="center"/>
          </w:tcPr>
          <w:p w14:paraId="791A206C">
            <w:pPr>
              <w:keepNext w:val="0"/>
              <w:keepLines w:val="0"/>
              <w:widowControl/>
              <w:suppressLineNumbers w:val="0"/>
              <w:jc w:val="center"/>
              <w:textAlignment w:val="center"/>
              <w:rPr>
                <w:rFonts w:hint="eastAsia"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i w:val="0"/>
                <w:iCs w:val="0"/>
                <w:color w:val="000000"/>
                <w:kern w:val="0"/>
                <w:sz w:val="21"/>
                <w:szCs w:val="21"/>
                <w:u w:val="none"/>
                <w:lang w:val="en-US" w:eastAsia="zh-CN" w:bidi="ar"/>
              </w:rPr>
              <w:t xml:space="preserve">0.001 </w:t>
            </w:r>
          </w:p>
        </w:tc>
        <w:tc>
          <w:tcPr>
            <w:tcW w:w="429" w:type="pct"/>
            <w:shd w:val="clear" w:color="auto" w:fill="auto"/>
            <w:vAlign w:val="center"/>
          </w:tcPr>
          <w:p w14:paraId="6648573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2CE2D8A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38F2B585">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0.003 </w:t>
            </w:r>
          </w:p>
        </w:tc>
        <w:tc>
          <w:tcPr>
            <w:tcW w:w="328" w:type="pct"/>
            <w:shd w:val="clear" w:color="auto" w:fill="auto"/>
            <w:vAlign w:val="center"/>
          </w:tcPr>
          <w:p w14:paraId="6D53C459">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341" w:type="pct"/>
            <w:shd w:val="clear" w:color="auto" w:fill="auto"/>
            <w:vAlign w:val="center"/>
          </w:tcPr>
          <w:p w14:paraId="0670C3A4">
            <w:pPr>
              <w:keepNext w:val="0"/>
              <w:keepLines w:val="0"/>
              <w:widowControl/>
              <w:suppressLineNumbers w:val="0"/>
              <w:jc w:val="center"/>
              <w:textAlignment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 xml:space="preserve">0.001 </w:t>
            </w:r>
          </w:p>
        </w:tc>
        <w:tc>
          <w:tcPr>
            <w:tcW w:w="380" w:type="pct"/>
            <w:shd w:val="clear" w:color="auto" w:fill="auto"/>
            <w:vAlign w:val="center"/>
          </w:tcPr>
          <w:p w14:paraId="5BF0B8AB">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eastAsia="宋体" w:cs="Times New Roman"/>
                <w:b w:val="0"/>
                <w:bCs/>
                <w:snapToGrid w:val="0"/>
                <w:color w:val="auto"/>
                <w:spacing w:val="4"/>
                <w:sz w:val="21"/>
                <w:szCs w:val="21"/>
                <w:u w:val="none" w:color="auto"/>
                <w:lang w:val="en-US" w:eastAsia="zh-CN"/>
              </w:rPr>
              <w:t>/</w:t>
            </w:r>
          </w:p>
        </w:tc>
        <w:tc>
          <w:tcPr>
            <w:tcW w:w="300" w:type="pct"/>
            <w:vAlign w:val="center"/>
          </w:tcPr>
          <w:p w14:paraId="7121677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78362382">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vAlign w:val="center"/>
          </w:tcPr>
          <w:p w14:paraId="27E98FE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2.4</w:t>
            </w:r>
          </w:p>
        </w:tc>
      </w:tr>
      <w:tr w14:paraId="5B070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blHeader/>
        </w:trPr>
        <w:tc>
          <w:tcPr>
            <w:tcW w:w="308" w:type="pct"/>
            <w:vMerge w:val="restart"/>
            <w:vAlign w:val="center"/>
          </w:tcPr>
          <w:p w14:paraId="4324D70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高铁连接板火焰软化液化石油气燃烧废气</w:t>
            </w:r>
          </w:p>
        </w:tc>
        <w:tc>
          <w:tcPr>
            <w:tcW w:w="318" w:type="pct"/>
            <w:vAlign w:val="center"/>
          </w:tcPr>
          <w:p w14:paraId="6AA7908F">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SO2</w:t>
            </w:r>
          </w:p>
        </w:tc>
        <w:tc>
          <w:tcPr>
            <w:tcW w:w="304" w:type="pct"/>
            <w:vMerge w:val="restart"/>
            <w:shd w:val="clear" w:color="auto" w:fill="auto"/>
            <w:vAlign w:val="center"/>
          </w:tcPr>
          <w:p w14:paraId="585D25D4">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无组织</w:t>
            </w:r>
          </w:p>
        </w:tc>
        <w:tc>
          <w:tcPr>
            <w:tcW w:w="281" w:type="pct"/>
            <w:shd w:val="clear" w:color="auto" w:fill="auto"/>
            <w:vAlign w:val="center"/>
          </w:tcPr>
          <w:p w14:paraId="248C578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0.0000037kg</w:t>
            </w:r>
          </w:p>
        </w:tc>
        <w:tc>
          <w:tcPr>
            <w:tcW w:w="312" w:type="pct"/>
            <w:shd w:val="clear" w:color="auto" w:fill="auto"/>
            <w:vAlign w:val="center"/>
          </w:tcPr>
          <w:p w14:paraId="672D664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14" w:type="pct"/>
            <w:shd w:val="clear" w:color="auto" w:fill="auto"/>
            <w:vAlign w:val="center"/>
          </w:tcPr>
          <w:p w14:paraId="71C337D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0.000000000097</w:t>
            </w:r>
          </w:p>
        </w:tc>
        <w:tc>
          <w:tcPr>
            <w:tcW w:w="429" w:type="pct"/>
            <w:shd w:val="clear" w:color="auto" w:fill="auto"/>
            <w:vAlign w:val="center"/>
          </w:tcPr>
          <w:p w14:paraId="702A34D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43122C7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39E4949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0.0000037kg</w:t>
            </w:r>
          </w:p>
        </w:tc>
        <w:tc>
          <w:tcPr>
            <w:tcW w:w="328" w:type="pct"/>
            <w:shd w:val="clear" w:color="auto" w:fill="auto"/>
            <w:vAlign w:val="center"/>
          </w:tcPr>
          <w:p w14:paraId="4E3ED89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41" w:type="pct"/>
            <w:shd w:val="clear" w:color="auto" w:fill="auto"/>
            <w:vAlign w:val="center"/>
          </w:tcPr>
          <w:p w14:paraId="7F6A38C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0.000000000097</w:t>
            </w:r>
          </w:p>
        </w:tc>
        <w:tc>
          <w:tcPr>
            <w:tcW w:w="380" w:type="pct"/>
            <w:shd w:val="clear" w:color="auto" w:fill="auto"/>
            <w:vAlign w:val="center"/>
          </w:tcPr>
          <w:p w14:paraId="76312F2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00" w:type="pct"/>
            <w:vAlign w:val="center"/>
          </w:tcPr>
          <w:p w14:paraId="4B1B41F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62919C7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vAlign w:val="center"/>
          </w:tcPr>
          <w:p w14:paraId="544B5BB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0.4</w:t>
            </w:r>
          </w:p>
        </w:tc>
      </w:tr>
      <w:tr w14:paraId="716BB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trPr>
        <w:tc>
          <w:tcPr>
            <w:tcW w:w="308" w:type="pct"/>
            <w:vMerge w:val="continue"/>
            <w:vAlign w:val="center"/>
          </w:tcPr>
          <w:p w14:paraId="205E7BD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Align w:val="center"/>
          </w:tcPr>
          <w:p w14:paraId="4B9B241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颗粒物</w:t>
            </w:r>
          </w:p>
        </w:tc>
        <w:tc>
          <w:tcPr>
            <w:tcW w:w="304" w:type="pct"/>
            <w:vMerge w:val="continue"/>
            <w:shd w:val="clear" w:color="auto" w:fill="auto"/>
            <w:vAlign w:val="center"/>
          </w:tcPr>
          <w:p w14:paraId="109E225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281" w:type="pct"/>
            <w:shd w:val="clear" w:color="auto" w:fill="auto"/>
            <w:vAlign w:val="center"/>
          </w:tcPr>
          <w:p w14:paraId="0AECB70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0.02809kg</w:t>
            </w:r>
          </w:p>
        </w:tc>
        <w:tc>
          <w:tcPr>
            <w:tcW w:w="312" w:type="pct"/>
            <w:shd w:val="clear" w:color="auto" w:fill="auto"/>
            <w:vAlign w:val="center"/>
          </w:tcPr>
          <w:p w14:paraId="551B7065">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14" w:type="pct"/>
            <w:shd w:val="clear" w:color="auto" w:fill="auto"/>
            <w:vAlign w:val="center"/>
          </w:tcPr>
          <w:p w14:paraId="56679AB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0.00000073</w:t>
            </w:r>
          </w:p>
        </w:tc>
        <w:tc>
          <w:tcPr>
            <w:tcW w:w="429" w:type="pct"/>
            <w:shd w:val="clear" w:color="auto" w:fill="auto"/>
            <w:vAlign w:val="center"/>
          </w:tcPr>
          <w:p w14:paraId="7A807CF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2164605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736548A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0.02809kg</w:t>
            </w:r>
          </w:p>
        </w:tc>
        <w:tc>
          <w:tcPr>
            <w:tcW w:w="328" w:type="pct"/>
            <w:shd w:val="clear" w:color="auto" w:fill="auto"/>
            <w:vAlign w:val="center"/>
          </w:tcPr>
          <w:p w14:paraId="598EB7E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41" w:type="pct"/>
            <w:shd w:val="clear" w:color="auto" w:fill="auto"/>
            <w:vAlign w:val="center"/>
          </w:tcPr>
          <w:p w14:paraId="1B8573C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0.00000073</w:t>
            </w:r>
          </w:p>
        </w:tc>
        <w:tc>
          <w:tcPr>
            <w:tcW w:w="380" w:type="pct"/>
            <w:shd w:val="clear" w:color="auto" w:fill="auto"/>
            <w:vAlign w:val="center"/>
          </w:tcPr>
          <w:p w14:paraId="09B330A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00" w:type="pct"/>
            <w:vAlign w:val="center"/>
          </w:tcPr>
          <w:p w14:paraId="05BF8B0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71DFAF5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vAlign w:val="center"/>
          </w:tcPr>
          <w:p w14:paraId="3E8C3A4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1</w:t>
            </w:r>
          </w:p>
        </w:tc>
      </w:tr>
      <w:tr w14:paraId="5BACC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blHeader/>
        </w:trPr>
        <w:tc>
          <w:tcPr>
            <w:tcW w:w="308" w:type="pct"/>
            <w:vMerge w:val="continue"/>
            <w:vAlign w:val="center"/>
          </w:tcPr>
          <w:p w14:paraId="7C10C344">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vAlign w:val="center"/>
          </w:tcPr>
          <w:p w14:paraId="0805F48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氮氧化物</w:t>
            </w:r>
          </w:p>
        </w:tc>
        <w:tc>
          <w:tcPr>
            <w:tcW w:w="304" w:type="pct"/>
            <w:vMerge w:val="continue"/>
            <w:shd w:val="clear" w:color="auto" w:fill="auto"/>
            <w:vAlign w:val="center"/>
          </w:tcPr>
          <w:p w14:paraId="73BF1AB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281" w:type="pct"/>
            <w:shd w:val="clear" w:color="auto" w:fill="auto"/>
            <w:vAlign w:val="center"/>
          </w:tcPr>
          <w:p w14:paraId="41653D3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0.76085kg</w:t>
            </w:r>
          </w:p>
        </w:tc>
        <w:tc>
          <w:tcPr>
            <w:tcW w:w="312" w:type="pct"/>
            <w:shd w:val="clear" w:color="auto" w:fill="auto"/>
            <w:vAlign w:val="center"/>
          </w:tcPr>
          <w:p w14:paraId="15282B5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14" w:type="pct"/>
            <w:shd w:val="clear" w:color="auto" w:fill="auto"/>
            <w:vAlign w:val="center"/>
          </w:tcPr>
          <w:p w14:paraId="7831201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0.00001987</w:t>
            </w:r>
          </w:p>
        </w:tc>
        <w:tc>
          <w:tcPr>
            <w:tcW w:w="429" w:type="pct"/>
            <w:shd w:val="clear" w:color="auto" w:fill="auto"/>
            <w:vAlign w:val="center"/>
          </w:tcPr>
          <w:p w14:paraId="6062EDE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0FF6217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257E279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0.76085kg</w:t>
            </w:r>
          </w:p>
        </w:tc>
        <w:tc>
          <w:tcPr>
            <w:tcW w:w="328" w:type="pct"/>
            <w:shd w:val="clear" w:color="auto" w:fill="auto"/>
            <w:vAlign w:val="center"/>
          </w:tcPr>
          <w:p w14:paraId="2181D31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41" w:type="pct"/>
            <w:shd w:val="clear" w:color="auto" w:fill="auto"/>
            <w:vAlign w:val="center"/>
          </w:tcPr>
          <w:p w14:paraId="6A5028D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0.00001987</w:t>
            </w:r>
          </w:p>
        </w:tc>
        <w:tc>
          <w:tcPr>
            <w:tcW w:w="380" w:type="pct"/>
            <w:shd w:val="clear" w:color="auto" w:fill="auto"/>
            <w:vAlign w:val="center"/>
          </w:tcPr>
          <w:p w14:paraId="500C3494">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00" w:type="pct"/>
            <w:vAlign w:val="center"/>
          </w:tcPr>
          <w:p w14:paraId="3B676C5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69" w:type="pct"/>
            <w:vAlign w:val="center"/>
          </w:tcPr>
          <w:p w14:paraId="5D9BCB3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332" w:type="pct"/>
            <w:vAlign w:val="center"/>
          </w:tcPr>
          <w:p w14:paraId="29410A2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0.12</w:t>
            </w:r>
          </w:p>
        </w:tc>
      </w:tr>
      <w:tr w14:paraId="17DA8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trPr>
        <w:tc>
          <w:tcPr>
            <w:tcW w:w="308" w:type="pct"/>
            <w:vMerge w:val="restart"/>
            <w:vAlign w:val="center"/>
          </w:tcPr>
          <w:p w14:paraId="7500BD6F">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烤漆、催化燃烧液化石油气燃烧废气</w:t>
            </w:r>
          </w:p>
        </w:tc>
        <w:tc>
          <w:tcPr>
            <w:tcW w:w="318" w:type="pct"/>
            <w:shd w:val="clear" w:color="auto" w:fill="auto"/>
            <w:vAlign w:val="center"/>
          </w:tcPr>
          <w:p w14:paraId="2187BD7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SO2</w:t>
            </w:r>
          </w:p>
        </w:tc>
        <w:tc>
          <w:tcPr>
            <w:tcW w:w="304" w:type="pct"/>
            <w:vMerge w:val="restart"/>
            <w:shd w:val="clear" w:color="auto" w:fill="auto"/>
            <w:vAlign w:val="center"/>
          </w:tcPr>
          <w:p w14:paraId="77716482">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有组织</w:t>
            </w:r>
          </w:p>
        </w:tc>
        <w:tc>
          <w:tcPr>
            <w:tcW w:w="281" w:type="pct"/>
            <w:shd w:val="clear" w:color="auto" w:fill="auto"/>
            <w:vAlign w:val="center"/>
          </w:tcPr>
          <w:p w14:paraId="12FD561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0.000012kg</w:t>
            </w:r>
          </w:p>
        </w:tc>
        <w:tc>
          <w:tcPr>
            <w:tcW w:w="312" w:type="pct"/>
            <w:shd w:val="clear" w:color="auto" w:fill="auto"/>
            <w:vAlign w:val="center"/>
          </w:tcPr>
          <w:p w14:paraId="232C28B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0.00000025</w:t>
            </w:r>
          </w:p>
        </w:tc>
        <w:tc>
          <w:tcPr>
            <w:tcW w:w="314" w:type="pct"/>
            <w:shd w:val="clear" w:color="auto" w:fill="auto"/>
            <w:vAlign w:val="center"/>
          </w:tcPr>
          <w:p w14:paraId="295DC7D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0.000000005</w:t>
            </w:r>
          </w:p>
        </w:tc>
        <w:tc>
          <w:tcPr>
            <w:tcW w:w="429" w:type="pct"/>
            <w:shd w:val="clear" w:color="auto" w:fill="auto"/>
            <w:vAlign w:val="center"/>
          </w:tcPr>
          <w:p w14:paraId="55A7AD1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shd w:val="clear" w:color="auto" w:fill="auto"/>
            <w:vAlign w:val="center"/>
          </w:tcPr>
          <w:p w14:paraId="7DC32DE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shd w:val="clear" w:color="auto" w:fill="auto"/>
            <w:vAlign w:val="center"/>
          </w:tcPr>
          <w:p w14:paraId="1225E24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0.000012kg</w:t>
            </w:r>
          </w:p>
        </w:tc>
        <w:tc>
          <w:tcPr>
            <w:tcW w:w="328" w:type="pct"/>
            <w:shd w:val="clear" w:color="auto" w:fill="auto"/>
            <w:vAlign w:val="center"/>
          </w:tcPr>
          <w:p w14:paraId="6488836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0.00000025</w:t>
            </w:r>
          </w:p>
        </w:tc>
        <w:tc>
          <w:tcPr>
            <w:tcW w:w="341" w:type="pct"/>
            <w:shd w:val="clear" w:color="auto" w:fill="auto"/>
            <w:vAlign w:val="center"/>
          </w:tcPr>
          <w:p w14:paraId="19346A9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0.000000005</w:t>
            </w:r>
          </w:p>
        </w:tc>
        <w:tc>
          <w:tcPr>
            <w:tcW w:w="380" w:type="pct"/>
            <w:vMerge w:val="restart"/>
            <w:shd w:val="clear" w:color="auto" w:fill="auto"/>
            <w:vAlign w:val="center"/>
          </w:tcPr>
          <w:p w14:paraId="32991C2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DA001</w:t>
            </w:r>
          </w:p>
        </w:tc>
        <w:tc>
          <w:tcPr>
            <w:tcW w:w="300" w:type="pct"/>
            <w:vAlign w:val="center"/>
          </w:tcPr>
          <w:p w14:paraId="26C8756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2.6</w:t>
            </w:r>
          </w:p>
        </w:tc>
        <w:tc>
          <w:tcPr>
            <w:tcW w:w="269" w:type="pct"/>
            <w:vAlign w:val="center"/>
          </w:tcPr>
          <w:p w14:paraId="05987A2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200</w:t>
            </w:r>
          </w:p>
        </w:tc>
        <w:tc>
          <w:tcPr>
            <w:tcW w:w="332" w:type="pct"/>
            <w:vAlign w:val="center"/>
          </w:tcPr>
          <w:p w14:paraId="4314F81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r>
      <w:tr w14:paraId="3ABB2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trPr>
        <w:tc>
          <w:tcPr>
            <w:tcW w:w="308" w:type="pct"/>
            <w:vMerge w:val="continue"/>
            <w:vAlign w:val="center"/>
          </w:tcPr>
          <w:p w14:paraId="69EB9B3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shd w:val="clear" w:color="auto" w:fill="auto"/>
            <w:vAlign w:val="center"/>
          </w:tcPr>
          <w:p w14:paraId="24EEC5E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颗粒物</w:t>
            </w:r>
          </w:p>
        </w:tc>
        <w:tc>
          <w:tcPr>
            <w:tcW w:w="304" w:type="pct"/>
            <w:vMerge w:val="continue"/>
            <w:vAlign w:val="center"/>
          </w:tcPr>
          <w:p w14:paraId="12111B0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281" w:type="pct"/>
            <w:shd w:val="clear" w:color="auto" w:fill="auto"/>
            <w:vAlign w:val="center"/>
          </w:tcPr>
          <w:p w14:paraId="3094CE7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0.088936kg</w:t>
            </w:r>
          </w:p>
        </w:tc>
        <w:tc>
          <w:tcPr>
            <w:tcW w:w="312" w:type="pct"/>
            <w:vAlign w:val="center"/>
          </w:tcPr>
          <w:p w14:paraId="0EAE891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0.00185284</w:t>
            </w:r>
          </w:p>
        </w:tc>
        <w:tc>
          <w:tcPr>
            <w:tcW w:w="314" w:type="pct"/>
            <w:vAlign w:val="center"/>
          </w:tcPr>
          <w:p w14:paraId="4D8D5A8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0.00003706</w:t>
            </w:r>
          </w:p>
        </w:tc>
        <w:tc>
          <w:tcPr>
            <w:tcW w:w="429" w:type="pct"/>
            <w:vAlign w:val="center"/>
          </w:tcPr>
          <w:p w14:paraId="6F1948A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vAlign w:val="center"/>
          </w:tcPr>
          <w:p w14:paraId="594E802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vAlign w:val="center"/>
          </w:tcPr>
          <w:p w14:paraId="3930E66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0.088936kg</w:t>
            </w:r>
          </w:p>
        </w:tc>
        <w:tc>
          <w:tcPr>
            <w:tcW w:w="328" w:type="pct"/>
            <w:vAlign w:val="center"/>
          </w:tcPr>
          <w:p w14:paraId="1FD6E9B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0.00185284</w:t>
            </w:r>
          </w:p>
        </w:tc>
        <w:tc>
          <w:tcPr>
            <w:tcW w:w="341" w:type="pct"/>
            <w:vAlign w:val="center"/>
          </w:tcPr>
          <w:p w14:paraId="10057E9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0.00003706</w:t>
            </w:r>
          </w:p>
        </w:tc>
        <w:tc>
          <w:tcPr>
            <w:tcW w:w="380" w:type="pct"/>
            <w:vMerge w:val="continue"/>
            <w:vAlign w:val="center"/>
          </w:tcPr>
          <w:p w14:paraId="0A56580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300" w:type="pct"/>
            <w:vAlign w:val="center"/>
          </w:tcPr>
          <w:p w14:paraId="5C1B289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3.5</w:t>
            </w:r>
          </w:p>
        </w:tc>
        <w:tc>
          <w:tcPr>
            <w:tcW w:w="269" w:type="pct"/>
            <w:vAlign w:val="center"/>
          </w:tcPr>
          <w:p w14:paraId="116AD60A">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30</w:t>
            </w:r>
          </w:p>
        </w:tc>
        <w:tc>
          <w:tcPr>
            <w:tcW w:w="332" w:type="pct"/>
            <w:vAlign w:val="center"/>
          </w:tcPr>
          <w:p w14:paraId="495D8024">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r>
      <w:tr w14:paraId="68474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blHeader/>
        </w:trPr>
        <w:tc>
          <w:tcPr>
            <w:tcW w:w="308" w:type="pct"/>
            <w:vMerge w:val="continue"/>
            <w:vAlign w:val="center"/>
          </w:tcPr>
          <w:p w14:paraId="712670F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p>
        </w:tc>
        <w:tc>
          <w:tcPr>
            <w:tcW w:w="318" w:type="pct"/>
            <w:shd w:val="clear" w:color="auto" w:fill="auto"/>
            <w:vAlign w:val="center"/>
          </w:tcPr>
          <w:p w14:paraId="57418633">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氮氧化物</w:t>
            </w:r>
          </w:p>
        </w:tc>
        <w:tc>
          <w:tcPr>
            <w:tcW w:w="304" w:type="pct"/>
            <w:vMerge w:val="continue"/>
            <w:vAlign w:val="center"/>
          </w:tcPr>
          <w:p w14:paraId="04C209C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281" w:type="pct"/>
            <w:shd w:val="clear" w:color="auto" w:fill="auto"/>
            <w:vAlign w:val="center"/>
          </w:tcPr>
          <w:p w14:paraId="41D27D6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2.409362kg</w:t>
            </w:r>
          </w:p>
        </w:tc>
        <w:tc>
          <w:tcPr>
            <w:tcW w:w="312" w:type="pct"/>
            <w:vAlign w:val="center"/>
          </w:tcPr>
          <w:p w14:paraId="60D46FE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0.05019504</w:t>
            </w:r>
          </w:p>
        </w:tc>
        <w:tc>
          <w:tcPr>
            <w:tcW w:w="314" w:type="pct"/>
            <w:vAlign w:val="center"/>
          </w:tcPr>
          <w:p w14:paraId="73EE364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0.00100390</w:t>
            </w:r>
          </w:p>
        </w:tc>
        <w:tc>
          <w:tcPr>
            <w:tcW w:w="429" w:type="pct"/>
            <w:vAlign w:val="center"/>
          </w:tcPr>
          <w:p w14:paraId="5505326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500" w:type="pct"/>
            <w:vAlign w:val="center"/>
          </w:tcPr>
          <w:p w14:paraId="38C80BD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277" w:type="pct"/>
            <w:vAlign w:val="center"/>
          </w:tcPr>
          <w:p w14:paraId="468212B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2.409362kg</w:t>
            </w:r>
          </w:p>
        </w:tc>
        <w:tc>
          <w:tcPr>
            <w:tcW w:w="328" w:type="pct"/>
            <w:vAlign w:val="center"/>
          </w:tcPr>
          <w:p w14:paraId="6E8E07B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0.05019504</w:t>
            </w:r>
          </w:p>
        </w:tc>
        <w:tc>
          <w:tcPr>
            <w:tcW w:w="341" w:type="pct"/>
            <w:vAlign w:val="center"/>
          </w:tcPr>
          <w:p w14:paraId="617F8E7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0.00100390</w:t>
            </w:r>
          </w:p>
        </w:tc>
        <w:tc>
          <w:tcPr>
            <w:tcW w:w="380" w:type="pct"/>
            <w:vMerge w:val="continue"/>
            <w:vAlign w:val="center"/>
          </w:tcPr>
          <w:p w14:paraId="45FA03A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300" w:type="pct"/>
            <w:vAlign w:val="center"/>
          </w:tcPr>
          <w:p w14:paraId="3FFE90FF">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0.77</w:t>
            </w:r>
          </w:p>
        </w:tc>
        <w:tc>
          <w:tcPr>
            <w:tcW w:w="269" w:type="pct"/>
            <w:vAlign w:val="center"/>
          </w:tcPr>
          <w:p w14:paraId="3FFC0B8B">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300</w:t>
            </w:r>
          </w:p>
        </w:tc>
        <w:tc>
          <w:tcPr>
            <w:tcW w:w="332" w:type="pct"/>
            <w:vAlign w:val="center"/>
          </w:tcPr>
          <w:p w14:paraId="1C04EE6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r>
    </w:tbl>
    <w:p w14:paraId="137421CB">
      <w:pPr>
        <w:keepNext w:val="0"/>
        <w:keepLines w:val="0"/>
        <w:suppressLineNumbers w:val="0"/>
        <w:wordWrap w:val="0"/>
        <w:topLinePunct/>
        <w:spacing w:before="0" w:beforeAutospacing="0" w:after="0" w:afterAutospacing="0" w:line="240" w:lineRule="auto"/>
        <w:ind w:left="0" w:leftChars="0" w:right="0" w:rightChars="0"/>
        <w:jc w:val="center"/>
        <w:rPr>
          <w:b/>
          <w:bCs/>
          <w:color w:val="auto"/>
          <w:sz w:val="21"/>
          <w:szCs w:val="21"/>
          <w:highlight w:val="none"/>
        </w:rPr>
      </w:pPr>
    </w:p>
    <w:p w14:paraId="0FFEA33D">
      <w:pPr>
        <w:keepNext w:val="0"/>
        <w:keepLines w:val="0"/>
        <w:suppressLineNumbers w:val="0"/>
        <w:wordWrap w:val="0"/>
        <w:topLinePunct/>
        <w:spacing w:before="0" w:beforeAutospacing="0" w:after="0" w:afterAutospacing="0" w:line="240" w:lineRule="auto"/>
        <w:ind w:left="0" w:leftChars="0" w:right="0" w:rightChars="0"/>
        <w:jc w:val="center"/>
        <w:rPr>
          <w:b/>
          <w:bCs/>
          <w:color w:val="auto"/>
          <w:sz w:val="21"/>
          <w:szCs w:val="21"/>
          <w:highlight w:val="none"/>
        </w:rPr>
      </w:pPr>
    </w:p>
    <w:p w14:paraId="615857DC">
      <w:pPr>
        <w:keepNext w:val="0"/>
        <w:keepLines w:val="0"/>
        <w:suppressLineNumbers w:val="0"/>
        <w:wordWrap w:val="0"/>
        <w:topLinePunct/>
        <w:spacing w:before="0" w:beforeAutospacing="0" w:after="0" w:afterAutospacing="0" w:line="240" w:lineRule="auto"/>
        <w:ind w:left="0" w:leftChars="0" w:right="0" w:rightChars="0"/>
        <w:jc w:val="center"/>
        <w:rPr>
          <w:b/>
          <w:bCs/>
          <w:color w:val="auto"/>
          <w:sz w:val="21"/>
          <w:szCs w:val="21"/>
          <w:highlight w:val="none"/>
        </w:rPr>
      </w:pPr>
    </w:p>
    <w:p w14:paraId="1C39FEB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b/>
          <w:bCs/>
          <w:color w:val="auto"/>
          <w:sz w:val="21"/>
          <w:szCs w:val="21"/>
          <w:highlight w:val="none"/>
        </w:rPr>
        <w:t>表4-</w:t>
      </w:r>
      <w:r>
        <w:rPr>
          <w:rFonts w:hint="eastAsia"/>
          <w:b/>
          <w:bCs/>
          <w:color w:val="auto"/>
          <w:sz w:val="21"/>
          <w:szCs w:val="21"/>
          <w:highlight w:val="none"/>
          <w:lang w:val="en-US" w:eastAsia="zh-CN"/>
        </w:rPr>
        <w:t>4</w:t>
      </w:r>
      <w:r>
        <w:rPr>
          <w:b/>
          <w:bCs/>
          <w:color w:val="auto"/>
          <w:sz w:val="21"/>
          <w:szCs w:val="21"/>
          <w:highlight w:val="none"/>
        </w:rPr>
        <w:t xml:space="preserve">  本项目</w:t>
      </w:r>
      <w:r>
        <w:rPr>
          <w:rFonts w:hint="eastAsia"/>
          <w:b/>
          <w:bCs/>
          <w:color w:val="auto"/>
          <w:sz w:val="21"/>
          <w:szCs w:val="21"/>
          <w:highlight w:val="none"/>
          <w:lang w:val="en-US" w:eastAsia="zh-CN"/>
        </w:rPr>
        <w:t>有组织</w:t>
      </w:r>
      <w:r>
        <w:rPr>
          <w:b/>
          <w:bCs/>
          <w:color w:val="auto"/>
          <w:sz w:val="21"/>
          <w:szCs w:val="21"/>
          <w:highlight w:val="none"/>
        </w:rPr>
        <w:t>废气污染物产排情况一览表</w:t>
      </w:r>
      <w:r>
        <w:rPr>
          <w:rFonts w:hint="eastAsia" w:eastAsia="宋体" w:cs="Times New Roman"/>
          <w:b w:val="0"/>
          <w:bCs/>
          <w:snapToGrid w:val="0"/>
          <w:color w:val="auto"/>
          <w:spacing w:val="4"/>
          <w:sz w:val="21"/>
          <w:szCs w:val="21"/>
          <w:u w:val="none" w:color="auto"/>
          <w:lang w:val="en-US" w:eastAsia="zh-CN"/>
        </w:rPr>
        <w:t xml:space="preserve"> </w:t>
      </w:r>
    </w:p>
    <w:tbl>
      <w:tblPr>
        <w:tblStyle w:val="31"/>
        <w:tblW w:w="15268" w:type="dxa"/>
        <w:tblInd w:w="-1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1"/>
        <w:gridCol w:w="1554"/>
        <w:gridCol w:w="1393"/>
        <w:gridCol w:w="1264"/>
        <w:gridCol w:w="1521"/>
        <w:gridCol w:w="1447"/>
        <w:gridCol w:w="1318"/>
        <w:gridCol w:w="1446"/>
        <w:gridCol w:w="1157"/>
        <w:gridCol w:w="1639"/>
        <w:gridCol w:w="1318"/>
      </w:tblGrid>
      <w:tr w14:paraId="71E0F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121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A4DC9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排气筒</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EF5E5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污染因子</w:t>
            </w:r>
          </w:p>
        </w:tc>
        <w:tc>
          <w:tcPr>
            <w:tcW w:w="13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3289D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产生量t/a</w:t>
            </w:r>
          </w:p>
        </w:tc>
        <w:tc>
          <w:tcPr>
            <w:tcW w:w="12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6AFE2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浓度mg/m</w:t>
            </w:r>
            <w:r>
              <w:rPr>
                <w:rFonts w:hint="default" w:eastAsia="宋体" w:cs="Times New Roman"/>
                <w:b/>
                <w:bCs w:val="0"/>
                <w:snapToGrid w:val="0"/>
                <w:color w:val="auto"/>
                <w:spacing w:val="4"/>
                <w:sz w:val="21"/>
                <w:szCs w:val="21"/>
                <w:u w:val="none" w:color="auto"/>
                <w:vertAlign w:val="superscript"/>
                <w:lang w:val="en-US" w:eastAsia="zh-CN"/>
              </w:rPr>
              <w:t>3</w:t>
            </w:r>
          </w:p>
        </w:tc>
        <w:tc>
          <w:tcPr>
            <w:tcW w:w="15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28B14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速率kg/h</w:t>
            </w:r>
          </w:p>
        </w:tc>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99640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排放</w:t>
            </w:r>
            <w:r>
              <w:rPr>
                <w:rFonts w:hint="default" w:eastAsia="宋体" w:cs="Times New Roman"/>
                <w:b/>
                <w:bCs w:val="0"/>
                <w:snapToGrid w:val="0"/>
                <w:color w:val="auto"/>
                <w:spacing w:val="4"/>
                <w:sz w:val="21"/>
                <w:szCs w:val="21"/>
                <w:u w:val="none" w:color="auto"/>
                <w:lang w:val="en-US" w:eastAsia="zh-CN"/>
              </w:rPr>
              <w:t>量t/a</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6101D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浓度mg/m</w:t>
            </w:r>
            <w:r>
              <w:rPr>
                <w:rFonts w:hint="default" w:eastAsia="宋体" w:cs="Times New Roman"/>
                <w:b/>
                <w:bCs w:val="0"/>
                <w:snapToGrid w:val="0"/>
                <w:color w:val="auto"/>
                <w:spacing w:val="4"/>
                <w:sz w:val="21"/>
                <w:szCs w:val="21"/>
                <w:u w:val="none" w:color="auto"/>
                <w:vertAlign w:val="superscript"/>
                <w:lang w:val="en-US" w:eastAsia="zh-CN"/>
              </w:rPr>
              <w:t>3</w:t>
            </w:r>
          </w:p>
        </w:tc>
        <w:tc>
          <w:tcPr>
            <w:tcW w:w="14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F8213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速率kg/h</w:t>
            </w:r>
          </w:p>
        </w:tc>
        <w:tc>
          <w:tcPr>
            <w:tcW w:w="11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D0F72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去除量</w:t>
            </w:r>
            <w:r>
              <w:rPr>
                <w:rFonts w:hint="default" w:eastAsia="宋体" w:cs="Times New Roman"/>
                <w:b/>
                <w:bCs w:val="0"/>
                <w:snapToGrid w:val="0"/>
                <w:color w:val="auto"/>
                <w:spacing w:val="4"/>
                <w:sz w:val="21"/>
                <w:szCs w:val="21"/>
                <w:u w:val="none" w:color="auto"/>
                <w:lang w:val="en-US" w:eastAsia="zh-CN"/>
              </w:rPr>
              <w:t>t/a</w:t>
            </w:r>
          </w:p>
        </w:tc>
        <w:tc>
          <w:tcPr>
            <w:tcW w:w="163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C571E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eastAsia" w:cs="Times New Roman"/>
                <w:b/>
                <w:bCs w:val="0"/>
                <w:snapToGrid w:val="0"/>
                <w:color w:val="auto"/>
                <w:spacing w:val="4"/>
                <w:sz w:val="21"/>
                <w:szCs w:val="21"/>
                <w:u w:val="none" w:color="auto"/>
                <w:lang w:val="en-US" w:eastAsia="zh-CN"/>
              </w:rPr>
              <w:t>限值</w:t>
            </w:r>
            <w:r>
              <w:rPr>
                <w:rFonts w:hint="eastAsia" w:eastAsia="宋体" w:cs="Times New Roman"/>
                <w:b/>
                <w:bCs w:val="0"/>
                <w:snapToGrid w:val="0"/>
                <w:color w:val="auto"/>
                <w:spacing w:val="4"/>
                <w:sz w:val="21"/>
                <w:szCs w:val="21"/>
                <w:u w:val="none" w:color="auto"/>
                <w:lang w:val="en-US" w:eastAsia="zh-CN"/>
              </w:rPr>
              <w:t>（mg/m</w:t>
            </w:r>
            <w:r>
              <w:rPr>
                <w:rFonts w:hint="eastAsia" w:eastAsia="宋体" w:cs="Times New Roman"/>
                <w:b/>
                <w:bCs w:val="0"/>
                <w:snapToGrid w:val="0"/>
                <w:color w:val="auto"/>
                <w:spacing w:val="4"/>
                <w:sz w:val="21"/>
                <w:szCs w:val="21"/>
                <w:u w:val="none" w:color="auto"/>
                <w:vertAlign w:val="superscript"/>
                <w:lang w:val="en-US" w:eastAsia="zh-CN"/>
              </w:rPr>
              <w:t>3</w:t>
            </w:r>
            <w:r>
              <w:rPr>
                <w:rFonts w:hint="eastAsia" w:eastAsia="宋体" w:cs="Times New Roman"/>
                <w:b/>
                <w:bCs w:val="0"/>
                <w:snapToGrid w:val="0"/>
                <w:color w:val="auto"/>
                <w:spacing w:val="4"/>
                <w:sz w:val="21"/>
                <w:szCs w:val="21"/>
                <w:u w:val="none" w:color="auto"/>
                <w:lang w:val="en-US" w:eastAsia="zh-CN"/>
              </w:rPr>
              <w:t>）</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DBFC0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eastAsia" w:cs="Times New Roman"/>
                <w:b/>
                <w:bCs w:val="0"/>
                <w:snapToGrid w:val="0"/>
                <w:color w:val="auto"/>
                <w:spacing w:val="4"/>
                <w:sz w:val="21"/>
                <w:szCs w:val="21"/>
                <w:u w:val="none" w:color="auto"/>
                <w:lang w:val="en-US" w:eastAsia="zh-CN"/>
              </w:rPr>
              <w:t>是否达标</w:t>
            </w:r>
          </w:p>
        </w:tc>
      </w:tr>
      <w:tr w14:paraId="0E479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3" w:hRule="atLeast"/>
        </w:trPr>
        <w:tc>
          <w:tcPr>
            <w:tcW w:w="1211" w:type="dxa"/>
            <w:vMerge w:val="restart"/>
            <w:tcBorders>
              <w:top w:val="single" w:color="auto" w:sz="4" w:space="0"/>
              <w:left w:val="single" w:color="auto" w:sz="4" w:space="0"/>
              <w:right w:val="single" w:color="auto" w:sz="4" w:space="0"/>
            </w:tcBorders>
            <w:shd w:val="clear" w:color="auto" w:fill="auto"/>
            <w:noWrap/>
            <w:vAlign w:val="center"/>
          </w:tcPr>
          <w:p w14:paraId="71550A4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eastAsia="宋体" w:cs="Times New Roman"/>
                <w:b w:val="0"/>
                <w:bCs/>
                <w:snapToGrid w:val="0"/>
                <w:color w:val="auto"/>
                <w:spacing w:val="4"/>
                <w:sz w:val="21"/>
                <w:szCs w:val="21"/>
                <w:u w:val="none" w:color="auto"/>
                <w:lang w:val="en-US" w:eastAsia="zh-CN"/>
              </w:rPr>
            </w:pPr>
            <w:r>
              <w:rPr>
                <w:rFonts w:hint="eastAsia" w:cs="Times New Roman"/>
                <w:b w:val="0"/>
                <w:bCs w:val="0"/>
                <w:color w:val="auto"/>
                <w:sz w:val="21"/>
                <w:szCs w:val="21"/>
                <w:highlight w:val="none"/>
                <w:u w:val="none" w:color="auto"/>
                <w:vertAlign w:val="baseline"/>
                <w:lang w:val="en-US" w:eastAsia="zh-CN"/>
              </w:rPr>
              <w:t>喷漆、晾干、烤漆、清洗废气</w:t>
            </w:r>
            <w:r>
              <w:rPr>
                <w:rFonts w:hint="default" w:ascii="Times New Roman" w:hAnsi="Times New Roman" w:eastAsia="宋体" w:cs="Times New Roman"/>
                <w:b w:val="0"/>
                <w:bCs w:val="0"/>
                <w:color w:val="auto"/>
                <w:sz w:val="21"/>
                <w:szCs w:val="21"/>
                <w:highlight w:val="none"/>
                <w:u w:val="none" w:color="auto"/>
                <w:vertAlign w:val="baseline"/>
                <w:lang w:val="en-US" w:eastAsia="zh-CN"/>
              </w:rPr>
              <w:t>排气筒（DA001）</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A4110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VOCs</w:t>
            </w:r>
          </w:p>
        </w:tc>
        <w:tc>
          <w:tcPr>
            <w:tcW w:w="13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016F9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2.736</w:t>
            </w:r>
          </w:p>
        </w:tc>
        <w:tc>
          <w:tcPr>
            <w:tcW w:w="12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B8CDD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60.801</w:t>
            </w:r>
          </w:p>
        </w:tc>
        <w:tc>
          <w:tcPr>
            <w:tcW w:w="15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2BFC5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1.703</w:t>
            </w:r>
          </w:p>
        </w:tc>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8E464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0.273</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1F81B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6.08</w:t>
            </w:r>
          </w:p>
        </w:tc>
        <w:tc>
          <w:tcPr>
            <w:tcW w:w="14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343DA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0.17</w:t>
            </w:r>
          </w:p>
        </w:tc>
        <w:tc>
          <w:tcPr>
            <w:tcW w:w="11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8B17B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2.463</w:t>
            </w:r>
          </w:p>
        </w:tc>
        <w:tc>
          <w:tcPr>
            <w:tcW w:w="163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D452F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50</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D68EE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是</w:t>
            </w:r>
          </w:p>
        </w:tc>
      </w:tr>
      <w:tr w14:paraId="6E521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3" w:hRule="atLeast"/>
        </w:trPr>
        <w:tc>
          <w:tcPr>
            <w:tcW w:w="1211" w:type="dxa"/>
            <w:vMerge w:val="continue"/>
            <w:tcBorders>
              <w:left w:val="single" w:color="auto" w:sz="4" w:space="0"/>
              <w:right w:val="single" w:color="auto" w:sz="4" w:space="0"/>
            </w:tcBorders>
            <w:shd w:val="clear" w:color="auto" w:fill="auto"/>
            <w:noWrap/>
            <w:vAlign w:val="center"/>
          </w:tcPr>
          <w:p w14:paraId="66E956E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76332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二甲苯</w:t>
            </w:r>
          </w:p>
        </w:tc>
        <w:tc>
          <w:tcPr>
            <w:tcW w:w="13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C3E47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1.239</w:t>
            </w:r>
          </w:p>
        </w:tc>
        <w:tc>
          <w:tcPr>
            <w:tcW w:w="12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74A4D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18.442</w:t>
            </w:r>
          </w:p>
        </w:tc>
        <w:tc>
          <w:tcPr>
            <w:tcW w:w="15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C7628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0.517</w:t>
            </w:r>
          </w:p>
        </w:tc>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E5A6A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0.124</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D4F35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1.845</w:t>
            </w:r>
          </w:p>
        </w:tc>
        <w:tc>
          <w:tcPr>
            <w:tcW w:w="14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CF29B2">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0.051</w:t>
            </w:r>
          </w:p>
        </w:tc>
        <w:tc>
          <w:tcPr>
            <w:tcW w:w="11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2D2EA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1.115</w:t>
            </w:r>
          </w:p>
        </w:tc>
        <w:tc>
          <w:tcPr>
            <w:tcW w:w="163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19606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17</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6BF1D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是</w:t>
            </w:r>
          </w:p>
        </w:tc>
      </w:tr>
      <w:tr w14:paraId="70291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3" w:hRule="atLeast"/>
        </w:trPr>
        <w:tc>
          <w:tcPr>
            <w:tcW w:w="1211" w:type="dxa"/>
            <w:vMerge w:val="continue"/>
            <w:tcBorders>
              <w:left w:val="single" w:color="auto" w:sz="4" w:space="0"/>
              <w:right w:val="single" w:color="auto" w:sz="4" w:space="0"/>
            </w:tcBorders>
            <w:shd w:val="clear" w:color="auto" w:fill="auto"/>
            <w:noWrap/>
            <w:vAlign w:val="center"/>
          </w:tcPr>
          <w:p w14:paraId="7512503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51E75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甲苯</w:t>
            </w:r>
          </w:p>
        </w:tc>
        <w:tc>
          <w:tcPr>
            <w:tcW w:w="13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42DEA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0.255</w:t>
            </w:r>
          </w:p>
        </w:tc>
        <w:tc>
          <w:tcPr>
            <w:tcW w:w="12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59EAF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3.604</w:t>
            </w:r>
          </w:p>
        </w:tc>
        <w:tc>
          <w:tcPr>
            <w:tcW w:w="15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ED851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0.101</w:t>
            </w:r>
          </w:p>
        </w:tc>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F2C06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0.026</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BBC83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0.379</w:t>
            </w:r>
          </w:p>
        </w:tc>
        <w:tc>
          <w:tcPr>
            <w:tcW w:w="14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5F457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0.01</w:t>
            </w:r>
          </w:p>
        </w:tc>
        <w:tc>
          <w:tcPr>
            <w:tcW w:w="11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23B63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0.229</w:t>
            </w:r>
          </w:p>
        </w:tc>
        <w:tc>
          <w:tcPr>
            <w:tcW w:w="163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7C976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3</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3E136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是</w:t>
            </w:r>
          </w:p>
        </w:tc>
      </w:tr>
      <w:tr w14:paraId="2C6FE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1211" w:type="dxa"/>
            <w:vMerge w:val="continue"/>
            <w:tcBorders>
              <w:left w:val="single" w:color="auto" w:sz="4" w:space="0"/>
              <w:right w:val="single" w:color="auto" w:sz="4" w:space="0"/>
            </w:tcBorders>
            <w:shd w:val="clear" w:color="auto" w:fill="auto"/>
            <w:noWrap/>
            <w:vAlign w:val="center"/>
          </w:tcPr>
          <w:p w14:paraId="02DAB61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F0FD9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漆雾（颗粒物）</w:t>
            </w:r>
          </w:p>
        </w:tc>
        <w:tc>
          <w:tcPr>
            <w:tcW w:w="13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A1FF7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0.7391 </w:t>
            </w:r>
          </w:p>
        </w:tc>
        <w:tc>
          <w:tcPr>
            <w:tcW w:w="12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E2266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10.9979 </w:t>
            </w:r>
          </w:p>
        </w:tc>
        <w:tc>
          <w:tcPr>
            <w:tcW w:w="15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EA1CB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0.3080 </w:t>
            </w:r>
          </w:p>
        </w:tc>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7320A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0.0741 </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EBF48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1.1019 </w:t>
            </w:r>
          </w:p>
        </w:tc>
        <w:tc>
          <w:tcPr>
            <w:tcW w:w="14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CF73A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0.0310 </w:t>
            </w:r>
          </w:p>
        </w:tc>
        <w:tc>
          <w:tcPr>
            <w:tcW w:w="11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C4388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0.6650 </w:t>
            </w:r>
          </w:p>
        </w:tc>
        <w:tc>
          <w:tcPr>
            <w:tcW w:w="163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7982B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30</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7B261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是</w:t>
            </w:r>
          </w:p>
        </w:tc>
      </w:tr>
      <w:tr w14:paraId="6192F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3" w:hRule="atLeast"/>
        </w:trPr>
        <w:tc>
          <w:tcPr>
            <w:tcW w:w="1211" w:type="dxa"/>
            <w:vMerge w:val="continue"/>
            <w:tcBorders>
              <w:left w:val="single" w:color="auto" w:sz="4" w:space="0"/>
              <w:right w:val="single" w:color="auto" w:sz="4" w:space="0"/>
            </w:tcBorders>
            <w:shd w:val="clear" w:color="auto" w:fill="auto"/>
            <w:noWrap/>
            <w:vAlign w:val="center"/>
          </w:tcPr>
          <w:p w14:paraId="4C22C93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21516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SO</w:t>
            </w:r>
            <w:r>
              <w:rPr>
                <w:rFonts w:hint="eastAsia" w:eastAsia="宋体" w:cs="Times New Roman"/>
                <w:b w:val="0"/>
                <w:bCs/>
                <w:snapToGrid w:val="0"/>
                <w:color w:val="auto"/>
                <w:spacing w:val="4"/>
                <w:sz w:val="21"/>
                <w:szCs w:val="21"/>
                <w:u w:val="none" w:color="auto"/>
                <w:vertAlign w:val="subscript"/>
                <w:lang w:val="en-US" w:eastAsia="zh-CN"/>
              </w:rPr>
              <w:t>2</w:t>
            </w:r>
          </w:p>
        </w:tc>
        <w:tc>
          <w:tcPr>
            <w:tcW w:w="13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83316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0.000000012</w:t>
            </w:r>
          </w:p>
        </w:tc>
        <w:tc>
          <w:tcPr>
            <w:tcW w:w="12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BF58F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0.00000025</w:t>
            </w:r>
          </w:p>
        </w:tc>
        <w:tc>
          <w:tcPr>
            <w:tcW w:w="15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E68C0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0.000000005</w:t>
            </w:r>
          </w:p>
        </w:tc>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CF871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0.000000012</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782E6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0.00000025</w:t>
            </w:r>
          </w:p>
        </w:tc>
        <w:tc>
          <w:tcPr>
            <w:tcW w:w="14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B0E10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0.000000005</w:t>
            </w:r>
          </w:p>
        </w:tc>
        <w:tc>
          <w:tcPr>
            <w:tcW w:w="11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5E012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163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A4BA45">
            <w:pPr>
              <w:keepNext w:val="0"/>
              <w:keepLines w:val="0"/>
              <w:suppressLineNumbers w:val="0"/>
              <w:wordWrap w:val="0"/>
              <w:topLinePunct/>
              <w:spacing w:before="0" w:beforeAutospacing="0" w:after="0" w:afterAutospacing="0" w:line="240" w:lineRule="auto"/>
              <w:ind w:left="0" w:leftChars="0" w:right="0" w:rightChars="0"/>
              <w:jc w:val="center"/>
              <w:rPr>
                <w:rFonts w:hint="default"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200</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786295">
            <w:pPr>
              <w:keepNext w:val="0"/>
              <w:keepLines w:val="0"/>
              <w:suppressLineNumbers w:val="0"/>
              <w:wordWrap w:val="0"/>
              <w:topLinePunct/>
              <w:spacing w:before="0" w:beforeAutospacing="0" w:after="0" w:afterAutospacing="0" w:line="240" w:lineRule="auto"/>
              <w:ind w:left="0" w:leftChars="0" w:right="0" w:rightChars="0"/>
              <w:jc w:val="center"/>
              <w:rPr>
                <w:rFonts w:hint="eastAsia"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是</w:t>
            </w:r>
          </w:p>
        </w:tc>
      </w:tr>
      <w:tr w14:paraId="0919B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3" w:hRule="atLeast"/>
        </w:trPr>
        <w:tc>
          <w:tcPr>
            <w:tcW w:w="1211" w:type="dxa"/>
            <w:vMerge w:val="continue"/>
            <w:tcBorders>
              <w:left w:val="single" w:color="auto" w:sz="4" w:space="0"/>
              <w:right w:val="single" w:color="auto" w:sz="4" w:space="0"/>
            </w:tcBorders>
            <w:shd w:val="clear" w:color="auto" w:fill="auto"/>
            <w:noWrap/>
            <w:vAlign w:val="center"/>
          </w:tcPr>
          <w:p w14:paraId="3F3ABF9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9FEE8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氮氧化物</w:t>
            </w:r>
          </w:p>
        </w:tc>
        <w:tc>
          <w:tcPr>
            <w:tcW w:w="13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B3405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0.002409362</w:t>
            </w:r>
          </w:p>
        </w:tc>
        <w:tc>
          <w:tcPr>
            <w:tcW w:w="12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1AFB5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0.05019504</w:t>
            </w:r>
          </w:p>
        </w:tc>
        <w:tc>
          <w:tcPr>
            <w:tcW w:w="15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CB1F8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0.0010039</w:t>
            </w:r>
          </w:p>
        </w:tc>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AB79D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0.002409362</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0A6F4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0.05019504</w:t>
            </w:r>
          </w:p>
        </w:tc>
        <w:tc>
          <w:tcPr>
            <w:tcW w:w="14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8072C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0.0010039</w:t>
            </w:r>
          </w:p>
        </w:tc>
        <w:tc>
          <w:tcPr>
            <w:tcW w:w="11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45B29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w:t>
            </w:r>
          </w:p>
        </w:tc>
        <w:tc>
          <w:tcPr>
            <w:tcW w:w="163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BFADB7">
            <w:pPr>
              <w:keepNext w:val="0"/>
              <w:keepLines w:val="0"/>
              <w:suppressLineNumbers w:val="0"/>
              <w:wordWrap w:val="0"/>
              <w:topLinePunct/>
              <w:spacing w:before="0" w:beforeAutospacing="0" w:after="0" w:afterAutospacing="0" w:line="240" w:lineRule="auto"/>
              <w:ind w:left="0" w:leftChars="0" w:right="0" w:rightChars="0"/>
              <w:jc w:val="center"/>
              <w:rPr>
                <w:rFonts w:hint="default"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300</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8A4FBB">
            <w:pPr>
              <w:keepNext w:val="0"/>
              <w:keepLines w:val="0"/>
              <w:suppressLineNumbers w:val="0"/>
              <w:wordWrap w:val="0"/>
              <w:topLinePunct/>
              <w:spacing w:before="0" w:beforeAutospacing="0" w:after="0" w:afterAutospacing="0" w:line="240" w:lineRule="auto"/>
              <w:ind w:left="0" w:leftChars="0" w:right="0" w:rightChars="0"/>
              <w:jc w:val="center"/>
              <w:rPr>
                <w:rFonts w:hint="eastAsia"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是</w:t>
            </w:r>
          </w:p>
        </w:tc>
      </w:tr>
      <w:tr w14:paraId="661A8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3" w:hRule="atLeast"/>
        </w:trPr>
        <w:tc>
          <w:tcPr>
            <w:tcW w:w="1211" w:type="dxa"/>
            <w:vMerge w:val="restart"/>
            <w:tcBorders>
              <w:top w:val="single" w:color="auto" w:sz="4" w:space="0"/>
              <w:left w:val="single" w:color="auto" w:sz="4" w:space="0"/>
              <w:right w:val="single" w:color="auto" w:sz="4" w:space="0"/>
            </w:tcBorders>
            <w:shd w:val="clear" w:color="auto" w:fill="auto"/>
            <w:noWrap/>
            <w:vAlign w:val="center"/>
          </w:tcPr>
          <w:p w14:paraId="7076965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eastAsia="宋体" w:cs="Times New Roman"/>
                <w:b w:val="0"/>
                <w:bCs/>
                <w:snapToGrid w:val="0"/>
                <w:color w:val="auto"/>
                <w:spacing w:val="4"/>
                <w:sz w:val="21"/>
                <w:szCs w:val="21"/>
                <w:u w:val="none" w:color="auto"/>
                <w:lang w:val="en-US" w:eastAsia="zh-CN"/>
              </w:rPr>
            </w:pPr>
            <w:r>
              <w:rPr>
                <w:rFonts w:hint="default" w:eastAsia="宋体" w:cs="Times New Roman"/>
                <w:b w:val="0"/>
                <w:bCs/>
                <w:snapToGrid w:val="0"/>
                <w:color w:val="auto"/>
                <w:spacing w:val="4"/>
                <w:sz w:val="21"/>
                <w:szCs w:val="21"/>
                <w:u w:val="none" w:color="auto"/>
                <w:lang w:val="en-US" w:eastAsia="zh-CN"/>
              </w:rPr>
              <w:t>调漆、</w:t>
            </w:r>
            <w:r>
              <w:rPr>
                <w:rFonts w:hint="eastAsia" w:cs="Times New Roman"/>
                <w:b w:val="0"/>
                <w:bCs/>
                <w:snapToGrid w:val="0"/>
                <w:color w:val="auto"/>
                <w:spacing w:val="4"/>
                <w:sz w:val="21"/>
                <w:szCs w:val="21"/>
                <w:u w:val="none" w:color="auto"/>
                <w:lang w:val="en-US" w:eastAsia="zh-CN"/>
              </w:rPr>
              <w:t>车间工艺</w:t>
            </w:r>
            <w:r>
              <w:rPr>
                <w:rFonts w:hint="default" w:ascii="Times New Roman" w:hAnsi="Times New Roman" w:eastAsia="宋体" w:cs="Times New Roman"/>
                <w:b w:val="0"/>
                <w:bCs w:val="0"/>
                <w:color w:val="auto"/>
                <w:sz w:val="21"/>
                <w:szCs w:val="21"/>
                <w:highlight w:val="none"/>
                <w:u w:val="none" w:color="auto"/>
                <w:vertAlign w:val="baseline"/>
                <w:lang w:val="en-US" w:eastAsia="zh-CN"/>
              </w:rPr>
              <w:t>废气排气筒（DA002）</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55947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VOCs</w:t>
            </w:r>
          </w:p>
        </w:tc>
        <w:tc>
          <w:tcPr>
            <w:tcW w:w="13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54E06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0.511</w:t>
            </w:r>
          </w:p>
        </w:tc>
        <w:tc>
          <w:tcPr>
            <w:tcW w:w="12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D5C17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26.929</w:t>
            </w:r>
          </w:p>
        </w:tc>
        <w:tc>
          <w:tcPr>
            <w:tcW w:w="15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C0D1E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0.269</w:t>
            </w:r>
          </w:p>
        </w:tc>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BFDB8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0.127</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A6125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6.732</w:t>
            </w:r>
          </w:p>
        </w:tc>
        <w:tc>
          <w:tcPr>
            <w:tcW w:w="14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DB499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0.067</w:t>
            </w:r>
          </w:p>
        </w:tc>
        <w:tc>
          <w:tcPr>
            <w:tcW w:w="11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9439A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0.384</w:t>
            </w:r>
          </w:p>
        </w:tc>
        <w:tc>
          <w:tcPr>
            <w:tcW w:w="163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74C2CF">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50</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677A7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是</w:t>
            </w:r>
          </w:p>
        </w:tc>
      </w:tr>
      <w:tr w14:paraId="3D26A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3" w:hRule="atLeast"/>
        </w:trPr>
        <w:tc>
          <w:tcPr>
            <w:tcW w:w="1211" w:type="dxa"/>
            <w:vMerge w:val="continue"/>
            <w:tcBorders>
              <w:left w:val="single" w:color="auto" w:sz="4" w:space="0"/>
              <w:right w:val="single" w:color="auto" w:sz="4" w:space="0"/>
            </w:tcBorders>
            <w:shd w:val="clear" w:color="auto" w:fill="auto"/>
            <w:noWrap/>
            <w:vAlign w:val="center"/>
          </w:tcPr>
          <w:p w14:paraId="5F6712B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0002F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二甲苯</w:t>
            </w:r>
          </w:p>
        </w:tc>
        <w:tc>
          <w:tcPr>
            <w:tcW w:w="13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C15C3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0.254</w:t>
            </w:r>
          </w:p>
        </w:tc>
        <w:tc>
          <w:tcPr>
            <w:tcW w:w="12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3D732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10.564</w:t>
            </w:r>
          </w:p>
        </w:tc>
        <w:tc>
          <w:tcPr>
            <w:tcW w:w="15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31FD4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0.105</w:t>
            </w:r>
          </w:p>
        </w:tc>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E819E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0.063</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D3FF7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2.641</w:t>
            </w:r>
          </w:p>
        </w:tc>
        <w:tc>
          <w:tcPr>
            <w:tcW w:w="14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BF0D7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0.026</w:t>
            </w:r>
          </w:p>
        </w:tc>
        <w:tc>
          <w:tcPr>
            <w:tcW w:w="11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38947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0.191</w:t>
            </w:r>
          </w:p>
        </w:tc>
        <w:tc>
          <w:tcPr>
            <w:tcW w:w="163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218F34">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17</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EAE70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是</w:t>
            </w:r>
          </w:p>
        </w:tc>
      </w:tr>
      <w:tr w14:paraId="615F2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3" w:hRule="atLeast"/>
        </w:trPr>
        <w:tc>
          <w:tcPr>
            <w:tcW w:w="1211" w:type="dxa"/>
            <w:vMerge w:val="continue"/>
            <w:tcBorders>
              <w:left w:val="single" w:color="auto" w:sz="4" w:space="0"/>
              <w:right w:val="single" w:color="auto" w:sz="4" w:space="0"/>
            </w:tcBorders>
            <w:shd w:val="clear" w:color="auto" w:fill="auto"/>
            <w:noWrap/>
            <w:vAlign w:val="center"/>
          </w:tcPr>
          <w:p w14:paraId="01E1F5D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FF3AD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甲苯</w:t>
            </w:r>
          </w:p>
        </w:tc>
        <w:tc>
          <w:tcPr>
            <w:tcW w:w="13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91484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0.051</w:t>
            </w:r>
          </w:p>
        </w:tc>
        <w:tc>
          <w:tcPr>
            <w:tcW w:w="12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B8ED5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2.123</w:t>
            </w:r>
          </w:p>
        </w:tc>
        <w:tc>
          <w:tcPr>
            <w:tcW w:w="15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68FEFF">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0.021</w:t>
            </w:r>
          </w:p>
        </w:tc>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718AB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0.013</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41964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0.53</w:t>
            </w:r>
          </w:p>
        </w:tc>
        <w:tc>
          <w:tcPr>
            <w:tcW w:w="14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281EE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0.005</w:t>
            </w:r>
          </w:p>
        </w:tc>
        <w:tc>
          <w:tcPr>
            <w:tcW w:w="11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3D2A5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0.038</w:t>
            </w:r>
          </w:p>
        </w:tc>
        <w:tc>
          <w:tcPr>
            <w:tcW w:w="163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BC533F">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3</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41F15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是</w:t>
            </w:r>
          </w:p>
        </w:tc>
      </w:tr>
      <w:tr w14:paraId="614EC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1211" w:type="dxa"/>
            <w:vMerge w:val="continue"/>
            <w:tcBorders>
              <w:left w:val="single" w:color="auto" w:sz="4" w:space="0"/>
              <w:bottom w:val="single" w:color="auto" w:sz="4" w:space="0"/>
              <w:right w:val="single" w:color="auto" w:sz="4" w:space="0"/>
            </w:tcBorders>
            <w:shd w:val="clear" w:color="auto" w:fill="auto"/>
            <w:noWrap/>
            <w:vAlign w:val="center"/>
          </w:tcPr>
          <w:p w14:paraId="64F9773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50B5B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漆雾（颗粒物）</w:t>
            </w:r>
          </w:p>
        </w:tc>
        <w:tc>
          <w:tcPr>
            <w:tcW w:w="13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73F34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0.064</w:t>
            </w:r>
          </w:p>
        </w:tc>
        <w:tc>
          <w:tcPr>
            <w:tcW w:w="12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28D79E">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2.651</w:t>
            </w:r>
          </w:p>
        </w:tc>
        <w:tc>
          <w:tcPr>
            <w:tcW w:w="15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C3405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0.027</w:t>
            </w:r>
          </w:p>
        </w:tc>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47C8D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0.064</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64CC5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2.651</w:t>
            </w:r>
          </w:p>
        </w:tc>
        <w:tc>
          <w:tcPr>
            <w:tcW w:w="14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D0191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0.027</w:t>
            </w:r>
          </w:p>
        </w:tc>
        <w:tc>
          <w:tcPr>
            <w:tcW w:w="11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EFF46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w:t>
            </w:r>
          </w:p>
        </w:tc>
        <w:tc>
          <w:tcPr>
            <w:tcW w:w="163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D0BB3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120（3.5kg/h）</w:t>
            </w:r>
          </w:p>
        </w:tc>
        <w:tc>
          <w:tcPr>
            <w:tcW w:w="13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8CB71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是</w:t>
            </w:r>
          </w:p>
        </w:tc>
      </w:tr>
    </w:tbl>
    <w:p w14:paraId="20E731F6">
      <w:pPr>
        <w:keepNext w:val="0"/>
        <w:keepLines w:val="0"/>
        <w:suppressLineNumbers w:val="0"/>
        <w:wordWrap w:val="0"/>
        <w:topLinePunct/>
        <w:spacing w:before="0" w:beforeAutospacing="0" w:after="0" w:afterAutospacing="0" w:line="240" w:lineRule="auto"/>
        <w:ind w:left="0" w:leftChars="0" w:right="0" w:rightChars="0"/>
        <w:jc w:val="center"/>
        <w:rPr>
          <w:b/>
          <w:bCs/>
          <w:color w:val="auto"/>
          <w:sz w:val="21"/>
          <w:szCs w:val="21"/>
          <w:highlight w:val="none"/>
        </w:rPr>
      </w:pPr>
    </w:p>
    <w:p w14:paraId="40E9CF6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b/>
          <w:bCs/>
          <w:color w:val="auto"/>
          <w:sz w:val="21"/>
          <w:szCs w:val="21"/>
          <w:highlight w:val="none"/>
        </w:rPr>
        <w:t>表4-</w:t>
      </w:r>
      <w:r>
        <w:rPr>
          <w:rFonts w:hint="eastAsia"/>
          <w:b/>
          <w:bCs/>
          <w:color w:val="auto"/>
          <w:sz w:val="21"/>
          <w:szCs w:val="21"/>
          <w:highlight w:val="none"/>
          <w:lang w:val="en-US" w:eastAsia="zh-CN"/>
        </w:rPr>
        <w:t>5</w:t>
      </w:r>
      <w:r>
        <w:rPr>
          <w:b/>
          <w:bCs/>
          <w:color w:val="auto"/>
          <w:sz w:val="21"/>
          <w:szCs w:val="21"/>
          <w:highlight w:val="none"/>
        </w:rPr>
        <w:t xml:space="preserve">   本项目</w:t>
      </w:r>
      <w:r>
        <w:rPr>
          <w:rFonts w:hint="eastAsia"/>
          <w:b/>
          <w:bCs/>
          <w:color w:val="auto"/>
          <w:sz w:val="21"/>
          <w:szCs w:val="21"/>
          <w:highlight w:val="none"/>
          <w:lang w:val="en-US" w:eastAsia="zh-CN"/>
        </w:rPr>
        <w:t>无组织</w:t>
      </w:r>
      <w:r>
        <w:rPr>
          <w:b/>
          <w:bCs/>
          <w:color w:val="auto"/>
          <w:sz w:val="21"/>
          <w:szCs w:val="21"/>
          <w:highlight w:val="none"/>
        </w:rPr>
        <w:t>废气污染物产排情况一览表</w:t>
      </w:r>
    </w:p>
    <w:tbl>
      <w:tblPr>
        <w:tblStyle w:val="31"/>
        <w:tblW w:w="1510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42"/>
        <w:gridCol w:w="2276"/>
        <w:gridCol w:w="2254"/>
        <w:gridCol w:w="2031"/>
        <w:gridCol w:w="1999"/>
        <w:gridCol w:w="1581"/>
        <w:gridCol w:w="1991"/>
        <w:gridCol w:w="1629"/>
      </w:tblGrid>
      <w:tr w14:paraId="26EEB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F2577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污染因子</w:t>
            </w:r>
          </w:p>
        </w:tc>
        <w:tc>
          <w:tcPr>
            <w:tcW w:w="2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3BA34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产生量t/a</w:t>
            </w:r>
          </w:p>
        </w:tc>
        <w:tc>
          <w:tcPr>
            <w:tcW w:w="22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57149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速率kg/h</w:t>
            </w:r>
          </w:p>
        </w:tc>
        <w:tc>
          <w:tcPr>
            <w:tcW w:w="20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8B818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排放</w:t>
            </w:r>
            <w:r>
              <w:rPr>
                <w:rFonts w:hint="default" w:eastAsia="宋体" w:cs="Times New Roman"/>
                <w:b/>
                <w:bCs w:val="0"/>
                <w:snapToGrid w:val="0"/>
                <w:color w:val="auto"/>
                <w:spacing w:val="4"/>
                <w:sz w:val="21"/>
                <w:szCs w:val="21"/>
                <w:u w:val="none" w:color="auto"/>
                <w:lang w:val="en-US" w:eastAsia="zh-CN"/>
              </w:rPr>
              <w:t>量t/a</w:t>
            </w:r>
          </w:p>
        </w:tc>
        <w:tc>
          <w:tcPr>
            <w:tcW w:w="1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DD0EAA">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default" w:eastAsia="宋体" w:cs="Times New Roman"/>
                <w:b/>
                <w:bCs w:val="0"/>
                <w:snapToGrid w:val="0"/>
                <w:color w:val="auto"/>
                <w:spacing w:val="4"/>
                <w:sz w:val="21"/>
                <w:szCs w:val="21"/>
                <w:u w:val="none" w:color="auto"/>
                <w:lang w:val="en-US" w:eastAsia="zh-CN"/>
              </w:rPr>
              <w:t>速率kg/h</w:t>
            </w:r>
          </w:p>
        </w:tc>
        <w:tc>
          <w:tcPr>
            <w:tcW w:w="1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5CB0D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eastAsia" w:eastAsia="宋体" w:cs="Times New Roman"/>
                <w:b/>
                <w:bCs w:val="0"/>
                <w:snapToGrid w:val="0"/>
                <w:color w:val="auto"/>
                <w:spacing w:val="4"/>
                <w:sz w:val="21"/>
                <w:szCs w:val="21"/>
                <w:u w:val="none" w:color="auto"/>
                <w:lang w:val="en-US" w:eastAsia="zh-CN"/>
              </w:rPr>
              <w:t>去除量</w:t>
            </w:r>
            <w:r>
              <w:rPr>
                <w:rFonts w:hint="default" w:eastAsia="宋体" w:cs="Times New Roman"/>
                <w:b/>
                <w:bCs w:val="0"/>
                <w:snapToGrid w:val="0"/>
                <w:color w:val="auto"/>
                <w:spacing w:val="4"/>
                <w:sz w:val="21"/>
                <w:szCs w:val="21"/>
                <w:u w:val="none" w:color="auto"/>
                <w:lang w:val="en-US" w:eastAsia="zh-CN"/>
              </w:rPr>
              <w:t>t/a</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6F324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bCs w:val="0"/>
                <w:snapToGrid w:val="0"/>
                <w:color w:val="auto"/>
                <w:spacing w:val="4"/>
                <w:sz w:val="21"/>
                <w:szCs w:val="21"/>
                <w:u w:val="none" w:color="auto"/>
                <w:lang w:val="en-US" w:eastAsia="zh-CN"/>
              </w:rPr>
            </w:pPr>
            <w:r>
              <w:rPr>
                <w:rFonts w:hint="eastAsia" w:cs="Times New Roman"/>
                <w:b/>
                <w:bCs w:val="0"/>
                <w:snapToGrid w:val="0"/>
                <w:color w:val="auto"/>
                <w:spacing w:val="4"/>
                <w:sz w:val="21"/>
                <w:szCs w:val="21"/>
                <w:u w:val="none" w:color="auto"/>
                <w:lang w:val="en-US" w:eastAsia="zh-CN"/>
              </w:rPr>
              <w:t>限值</w:t>
            </w:r>
            <w:r>
              <w:rPr>
                <w:rFonts w:hint="eastAsia" w:eastAsia="宋体" w:cs="Times New Roman"/>
                <w:b/>
                <w:bCs w:val="0"/>
                <w:snapToGrid w:val="0"/>
                <w:color w:val="auto"/>
                <w:spacing w:val="4"/>
                <w:sz w:val="21"/>
                <w:szCs w:val="21"/>
                <w:u w:val="none" w:color="auto"/>
                <w:lang w:val="en-US" w:eastAsia="zh-CN"/>
              </w:rPr>
              <w:t>（mg/m</w:t>
            </w:r>
            <w:r>
              <w:rPr>
                <w:rFonts w:hint="eastAsia" w:eastAsia="宋体" w:cs="Times New Roman"/>
                <w:b/>
                <w:bCs w:val="0"/>
                <w:snapToGrid w:val="0"/>
                <w:color w:val="auto"/>
                <w:spacing w:val="4"/>
                <w:sz w:val="21"/>
                <w:szCs w:val="21"/>
                <w:u w:val="none" w:color="auto"/>
                <w:vertAlign w:val="superscript"/>
                <w:lang w:val="en-US" w:eastAsia="zh-CN"/>
              </w:rPr>
              <w:t>3</w:t>
            </w:r>
            <w:r>
              <w:rPr>
                <w:rFonts w:hint="eastAsia" w:eastAsia="宋体" w:cs="Times New Roman"/>
                <w:b/>
                <w:bCs w:val="0"/>
                <w:snapToGrid w:val="0"/>
                <w:color w:val="auto"/>
                <w:spacing w:val="4"/>
                <w:sz w:val="21"/>
                <w:szCs w:val="21"/>
                <w:u w:val="none" w:color="auto"/>
                <w:lang w:val="en-US" w:eastAsia="zh-CN"/>
              </w:rPr>
              <w:t>）</w:t>
            </w:r>
          </w:p>
        </w:tc>
        <w:tc>
          <w:tcPr>
            <w:tcW w:w="16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BC0C47">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bCs w:val="0"/>
                <w:snapToGrid w:val="0"/>
                <w:color w:val="auto"/>
                <w:spacing w:val="4"/>
                <w:sz w:val="21"/>
                <w:szCs w:val="21"/>
                <w:u w:val="none" w:color="auto"/>
                <w:lang w:val="en-US" w:eastAsia="zh-CN"/>
              </w:rPr>
            </w:pPr>
            <w:r>
              <w:rPr>
                <w:rFonts w:hint="eastAsia" w:cs="Times New Roman"/>
                <w:b/>
                <w:bCs w:val="0"/>
                <w:snapToGrid w:val="0"/>
                <w:color w:val="auto"/>
                <w:spacing w:val="4"/>
                <w:sz w:val="21"/>
                <w:szCs w:val="21"/>
                <w:u w:val="none" w:color="auto"/>
                <w:lang w:val="en-US" w:eastAsia="zh-CN"/>
              </w:rPr>
              <w:t>是否达标</w:t>
            </w:r>
          </w:p>
        </w:tc>
      </w:tr>
      <w:tr w14:paraId="58E41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49EEB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颗粒物</w:t>
            </w:r>
          </w:p>
        </w:tc>
        <w:tc>
          <w:tcPr>
            <w:tcW w:w="2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F46BE8">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0.14412809</w:t>
            </w:r>
          </w:p>
        </w:tc>
        <w:tc>
          <w:tcPr>
            <w:tcW w:w="22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2BA38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0.06050073</w:t>
            </w:r>
          </w:p>
        </w:tc>
        <w:tc>
          <w:tcPr>
            <w:tcW w:w="20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9262C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0.04037809</w:t>
            </w:r>
          </w:p>
        </w:tc>
        <w:tc>
          <w:tcPr>
            <w:tcW w:w="1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FC1BC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0.01918073</w:t>
            </w:r>
          </w:p>
        </w:tc>
        <w:tc>
          <w:tcPr>
            <w:tcW w:w="1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C9102D">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0.10375</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BF786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1.0</w:t>
            </w:r>
          </w:p>
        </w:tc>
        <w:tc>
          <w:tcPr>
            <w:tcW w:w="16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163BBC">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是</w:t>
            </w:r>
          </w:p>
        </w:tc>
      </w:tr>
      <w:tr w14:paraId="2FB66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1" w:hRule="atLeast"/>
        </w:trPr>
        <w:tc>
          <w:tcPr>
            <w:tcW w:w="13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7575E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VOCs</w:t>
            </w:r>
          </w:p>
        </w:tc>
        <w:tc>
          <w:tcPr>
            <w:tcW w:w="2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EE0EC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0.075</w:t>
            </w:r>
          </w:p>
        </w:tc>
        <w:tc>
          <w:tcPr>
            <w:tcW w:w="22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FD095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0.038</w:t>
            </w:r>
          </w:p>
        </w:tc>
        <w:tc>
          <w:tcPr>
            <w:tcW w:w="20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AE4BA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0.075</w:t>
            </w:r>
          </w:p>
        </w:tc>
        <w:tc>
          <w:tcPr>
            <w:tcW w:w="1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CF1DE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0.038</w:t>
            </w:r>
          </w:p>
        </w:tc>
        <w:tc>
          <w:tcPr>
            <w:tcW w:w="1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BD8AE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DCA86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2.0</w:t>
            </w:r>
          </w:p>
        </w:tc>
        <w:tc>
          <w:tcPr>
            <w:tcW w:w="16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A9392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是</w:t>
            </w:r>
          </w:p>
        </w:tc>
      </w:tr>
      <w:tr w14:paraId="7F292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52F82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二甲苯</w:t>
            </w:r>
          </w:p>
        </w:tc>
        <w:tc>
          <w:tcPr>
            <w:tcW w:w="2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F6E37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0.037</w:t>
            </w:r>
          </w:p>
        </w:tc>
        <w:tc>
          <w:tcPr>
            <w:tcW w:w="22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A6CD2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0.015</w:t>
            </w:r>
          </w:p>
        </w:tc>
        <w:tc>
          <w:tcPr>
            <w:tcW w:w="20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91395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0.037</w:t>
            </w:r>
          </w:p>
        </w:tc>
        <w:tc>
          <w:tcPr>
            <w:tcW w:w="1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ABB1E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0.015</w:t>
            </w:r>
          </w:p>
        </w:tc>
        <w:tc>
          <w:tcPr>
            <w:tcW w:w="1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62C0D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27444E">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1.2</w:t>
            </w:r>
          </w:p>
        </w:tc>
        <w:tc>
          <w:tcPr>
            <w:tcW w:w="16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421684">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是</w:t>
            </w:r>
          </w:p>
        </w:tc>
      </w:tr>
      <w:tr w14:paraId="38B8D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D31A2C">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甲苯</w:t>
            </w:r>
          </w:p>
        </w:tc>
        <w:tc>
          <w:tcPr>
            <w:tcW w:w="2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D6B6E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0.009</w:t>
            </w:r>
          </w:p>
        </w:tc>
        <w:tc>
          <w:tcPr>
            <w:tcW w:w="22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AC228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0.003</w:t>
            </w:r>
          </w:p>
        </w:tc>
        <w:tc>
          <w:tcPr>
            <w:tcW w:w="20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50245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0.009</w:t>
            </w:r>
          </w:p>
        </w:tc>
        <w:tc>
          <w:tcPr>
            <w:tcW w:w="1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FFEB47">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0.003</w:t>
            </w:r>
          </w:p>
        </w:tc>
        <w:tc>
          <w:tcPr>
            <w:tcW w:w="1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F597D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9C21FD">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2.4</w:t>
            </w:r>
          </w:p>
        </w:tc>
        <w:tc>
          <w:tcPr>
            <w:tcW w:w="16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EFB08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是</w:t>
            </w:r>
          </w:p>
        </w:tc>
      </w:tr>
      <w:tr w14:paraId="21141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6B339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SO2</w:t>
            </w:r>
          </w:p>
        </w:tc>
        <w:tc>
          <w:tcPr>
            <w:tcW w:w="2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AD2C81">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0.0000000037 </w:t>
            </w:r>
          </w:p>
        </w:tc>
        <w:tc>
          <w:tcPr>
            <w:tcW w:w="22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DE74CB">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0.0000000001 </w:t>
            </w:r>
          </w:p>
        </w:tc>
        <w:tc>
          <w:tcPr>
            <w:tcW w:w="20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9E3C5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0.0000000037 </w:t>
            </w:r>
          </w:p>
        </w:tc>
        <w:tc>
          <w:tcPr>
            <w:tcW w:w="1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CAA8D5">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0.0000000001 </w:t>
            </w:r>
          </w:p>
        </w:tc>
        <w:tc>
          <w:tcPr>
            <w:tcW w:w="1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C01D29">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6B5828">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0.4</w:t>
            </w:r>
          </w:p>
        </w:tc>
        <w:tc>
          <w:tcPr>
            <w:tcW w:w="16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9C27D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是</w:t>
            </w:r>
          </w:p>
        </w:tc>
      </w:tr>
      <w:tr w14:paraId="772F2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3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AAA6A9">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氮氧化物</w:t>
            </w:r>
          </w:p>
        </w:tc>
        <w:tc>
          <w:tcPr>
            <w:tcW w:w="2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6CA546">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0.00076085</w:t>
            </w:r>
          </w:p>
        </w:tc>
        <w:tc>
          <w:tcPr>
            <w:tcW w:w="22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C2EA70">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0.00001987</w:t>
            </w:r>
          </w:p>
        </w:tc>
        <w:tc>
          <w:tcPr>
            <w:tcW w:w="20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F92DA3">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0.00076085</w:t>
            </w:r>
          </w:p>
        </w:tc>
        <w:tc>
          <w:tcPr>
            <w:tcW w:w="1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B90072">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0.00001987</w:t>
            </w:r>
          </w:p>
        </w:tc>
        <w:tc>
          <w:tcPr>
            <w:tcW w:w="1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B14166">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0</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515440">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0.12</w:t>
            </w:r>
          </w:p>
        </w:tc>
        <w:tc>
          <w:tcPr>
            <w:tcW w:w="16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83ECE2">
            <w:pPr>
              <w:keepNext w:val="0"/>
              <w:keepLines w:val="0"/>
              <w:suppressLineNumbers w:val="0"/>
              <w:wordWrap w:val="0"/>
              <w:topLinePunct/>
              <w:spacing w:before="0" w:beforeAutospacing="0" w:after="0" w:afterAutospacing="0" w:line="240" w:lineRule="auto"/>
              <w:ind w:left="0" w:leftChars="0" w:right="0" w:rightChars="0"/>
              <w:jc w:val="center"/>
              <w:rPr>
                <w:rFonts w:hint="eastAsia" w:eastAsia="宋体" w:cs="Times New Roman"/>
                <w:b w:val="0"/>
                <w:bCs/>
                <w:snapToGrid w:val="0"/>
                <w:color w:val="auto"/>
                <w:spacing w:val="4"/>
                <w:sz w:val="21"/>
                <w:szCs w:val="21"/>
                <w:u w:val="none" w:color="auto"/>
                <w:lang w:val="en-US" w:eastAsia="zh-CN"/>
              </w:rPr>
            </w:pPr>
            <w:r>
              <w:rPr>
                <w:rFonts w:hint="eastAsia" w:eastAsia="宋体" w:cs="Times New Roman"/>
                <w:b w:val="0"/>
                <w:bCs/>
                <w:snapToGrid w:val="0"/>
                <w:color w:val="auto"/>
                <w:spacing w:val="4"/>
                <w:sz w:val="21"/>
                <w:szCs w:val="21"/>
                <w:u w:val="none" w:color="auto"/>
                <w:lang w:val="en-US" w:eastAsia="zh-CN"/>
              </w:rPr>
              <w:t>是</w:t>
            </w:r>
          </w:p>
        </w:tc>
      </w:tr>
    </w:tbl>
    <w:p w14:paraId="20A97D81">
      <w:pPr>
        <w:keepNext w:val="0"/>
        <w:keepLines w:val="0"/>
        <w:suppressLineNumbers w:val="0"/>
        <w:wordWrap w:val="0"/>
        <w:topLinePunct/>
        <w:spacing w:before="0" w:beforeAutospacing="0" w:after="0" w:afterAutospacing="0" w:line="240" w:lineRule="auto"/>
        <w:ind w:left="0" w:leftChars="0" w:right="0" w:rightChars="0"/>
        <w:jc w:val="center"/>
        <w:rPr>
          <w:rFonts w:hint="default" w:eastAsia="宋体" w:cs="Times New Roman"/>
          <w:b w:val="0"/>
          <w:bCs/>
          <w:snapToGrid w:val="0"/>
          <w:color w:val="auto"/>
          <w:spacing w:val="4"/>
          <w:sz w:val="21"/>
          <w:szCs w:val="21"/>
          <w:u w:val="none" w:color="auto"/>
          <w:lang w:val="en-US" w:eastAsia="zh-CN"/>
        </w:rPr>
        <w:sectPr>
          <w:pgSz w:w="16840" w:h="11907" w:orient="landscape"/>
          <w:pgMar w:top="1417" w:right="1417" w:bottom="1417" w:left="1417" w:header="851" w:footer="851" w:gutter="0"/>
          <w:pgBorders>
            <w:top w:val="none" w:sz="0" w:space="0"/>
            <w:left w:val="none" w:sz="0" w:space="0"/>
            <w:bottom w:val="none" w:sz="0" w:space="0"/>
            <w:right w:val="none" w:sz="0" w:space="0"/>
          </w:pgBorders>
          <w:pgNumType w:fmt="decimal"/>
          <w:cols w:space="720" w:num="1"/>
          <w:docGrid w:linePitch="312" w:charSpace="0"/>
        </w:sectPr>
      </w:pPr>
      <w:r>
        <w:rPr>
          <w:rFonts w:hint="eastAsia" w:eastAsia="宋体" w:cs="Times New Roman"/>
          <w:b w:val="0"/>
          <w:bCs/>
          <w:snapToGrid w:val="0"/>
          <w:color w:val="auto"/>
          <w:spacing w:val="4"/>
          <w:sz w:val="21"/>
          <w:szCs w:val="21"/>
          <w:u w:val="none" w:color="auto"/>
          <w:lang w:val="en-US" w:eastAsia="zh-CN"/>
        </w:rPr>
        <w:t xml:space="preserve"> </w:t>
      </w:r>
    </w:p>
    <w:tbl>
      <w:tblPr>
        <w:tblStyle w:val="31"/>
        <w:tblW w:w="905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07"/>
        <w:gridCol w:w="8644"/>
      </w:tblGrid>
      <w:tr w14:paraId="0EC878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407" w:type="dxa"/>
            <w:noWrap w:val="0"/>
            <w:tcMar>
              <w:left w:w="28" w:type="dxa"/>
              <w:right w:w="28" w:type="dxa"/>
            </w:tcMar>
            <w:vAlign w:val="center"/>
          </w:tcPr>
          <w:p w14:paraId="791AFB79">
            <w:pPr>
              <w:adjustRightInd w:val="0"/>
              <w:snapToGrid w:val="0"/>
              <w:jc w:val="center"/>
              <w:rPr>
                <w:rFonts w:hint="default" w:ascii="Times New Roman" w:hAnsi="Times New Roman" w:eastAsia="宋体" w:cs="Times New Roman"/>
                <w:bCs/>
                <w:color w:val="auto"/>
                <w:sz w:val="21"/>
                <w:szCs w:val="21"/>
                <w:highlight w:val="yellow"/>
                <w:u w:val="none" w:color="auto"/>
              </w:rPr>
            </w:pPr>
            <w:r>
              <w:rPr>
                <w:rFonts w:hint="default" w:ascii="Times New Roman" w:hAnsi="Times New Roman" w:eastAsia="宋体" w:cs="Times New Roman"/>
                <w:color w:val="auto"/>
                <w:kern w:val="0"/>
                <w:sz w:val="21"/>
                <w:szCs w:val="21"/>
                <w:highlight w:val="none"/>
                <w:u w:val="none" w:color="auto"/>
                <w:lang w:val="en-US" w:eastAsia="zh-CN" w:bidi="ar-SA"/>
              </w:rPr>
              <w:t>运营期环境影响和保护措施</w:t>
            </w:r>
          </w:p>
        </w:tc>
        <w:tc>
          <w:tcPr>
            <w:tcW w:w="8644" w:type="dxa"/>
            <w:noWrap w:val="0"/>
            <w:vAlign w:val="center"/>
          </w:tcPr>
          <w:p w14:paraId="2F62EBB1">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default" w:ascii="Times New Roman" w:hAnsi="Times New Roman" w:eastAsia="宋体" w:cs="Times New Roman"/>
                <w:b/>
                <w:bCs/>
                <w:color w:val="auto"/>
                <w:sz w:val="24"/>
                <w:szCs w:val="24"/>
                <w:highlight w:val="none"/>
                <w:u w:val="none" w:color="auto"/>
                <w:lang w:val="en-US" w:eastAsia="zh-CN"/>
              </w:rPr>
              <w:t>2、废气排放口基本情况及监测要求</w:t>
            </w:r>
          </w:p>
          <w:p w14:paraId="54D1943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本项目废气排放口基本情况见下表。</w:t>
            </w:r>
          </w:p>
          <w:p w14:paraId="2142BC4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bCs/>
                <w:color w:val="auto"/>
                <w:sz w:val="21"/>
                <w:szCs w:val="21"/>
                <w:highlight w:val="none"/>
                <w:u w:val="none" w:color="auto"/>
                <w:lang w:val="en-US" w:eastAsia="zh-CN"/>
              </w:rPr>
            </w:pPr>
            <w:r>
              <w:rPr>
                <w:rFonts w:hint="default" w:ascii="Times New Roman" w:hAnsi="Times New Roman" w:eastAsia="宋体" w:cs="Times New Roman"/>
                <w:b/>
                <w:bCs/>
                <w:color w:val="auto"/>
                <w:sz w:val="21"/>
                <w:szCs w:val="21"/>
                <w:highlight w:val="none"/>
                <w:u w:val="none" w:color="auto"/>
                <w:lang w:val="en-US" w:eastAsia="zh-CN"/>
              </w:rPr>
              <w:t>表4-</w:t>
            </w:r>
            <w:r>
              <w:rPr>
                <w:rFonts w:hint="eastAsia" w:cs="Times New Roman"/>
                <w:b/>
                <w:bCs/>
                <w:color w:val="auto"/>
                <w:sz w:val="21"/>
                <w:szCs w:val="21"/>
                <w:highlight w:val="none"/>
                <w:u w:val="none" w:color="auto"/>
                <w:lang w:val="en-US" w:eastAsia="zh-CN"/>
              </w:rPr>
              <w:t>6</w:t>
            </w:r>
            <w:r>
              <w:rPr>
                <w:rFonts w:hint="default" w:ascii="Times New Roman" w:hAnsi="Times New Roman" w:eastAsia="宋体" w:cs="Times New Roman"/>
                <w:b/>
                <w:bCs/>
                <w:color w:val="auto"/>
                <w:sz w:val="21"/>
                <w:szCs w:val="21"/>
                <w:highlight w:val="none"/>
                <w:u w:val="none" w:color="auto"/>
                <w:lang w:val="en-US" w:eastAsia="zh-CN"/>
              </w:rPr>
              <w:t xml:space="preserve">   本项目废气排放口基本情况表</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1641"/>
              <w:gridCol w:w="865"/>
              <w:gridCol w:w="1012"/>
              <w:gridCol w:w="1089"/>
              <w:gridCol w:w="1255"/>
              <w:gridCol w:w="1301"/>
              <w:gridCol w:w="1247"/>
            </w:tblGrid>
            <w:tr w14:paraId="4885C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975" w:type="pct"/>
                  <w:vMerge w:val="restart"/>
                  <w:noWrap w:val="0"/>
                  <w:vAlign w:val="center"/>
                </w:tcPr>
                <w:p w14:paraId="0FA2B29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排放口名称及编号</w:t>
                  </w:r>
                </w:p>
              </w:tc>
              <w:tc>
                <w:tcPr>
                  <w:tcW w:w="514" w:type="pct"/>
                  <w:vMerge w:val="restart"/>
                  <w:noWrap w:val="0"/>
                  <w:vAlign w:val="center"/>
                </w:tcPr>
                <w:p w14:paraId="4B0FB19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SA"/>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排气筒高度（m）</w:t>
                  </w:r>
                </w:p>
              </w:tc>
              <w:tc>
                <w:tcPr>
                  <w:tcW w:w="601" w:type="pct"/>
                  <w:vMerge w:val="restart"/>
                  <w:noWrap w:val="0"/>
                  <w:vAlign w:val="center"/>
                </w:tcPr>
                <w:p w14:paraId="633785A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SA"/>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排气筒出口内径（m）</w:t>
                  </w:r>
                </w:p>
              </w:tc>
              <w:tc>
                <w:tcPr>
                  <w:tcW w:w="647" w:type="pct"/>
                  <w:vMerge w:val="restart"/>
                  <w:noWrap w:val="0"/>
                  <w:vAlign w:val="center"/>
                </w:tcPr>
                <w:p w14:paraId="634ADB1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SA"/>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排气筒出口温度（℃）</w:t>
                  </w:r>
                </w:p>
              </w:tc>
              <w:tc>
                <w:tcPr>
                  <w:tcW w:w="746" w:type="pct"/>
                  <w:vMerge w:val="restart"/>
                  <w:noWrap w:val="0"/>
                  <w:vAlign w:val="center"/>
                </w:tcPr>
                <w:p w14:paraId="6DE1E2A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排放口类型</w:t>
                  </w:r>
                </w:p>
              </w:tc>
              <w:tc>
                <w:tcPr>
                  <w:tcW w:w="1514" w:type="pct"/>
                  <w:gridSpan w:val="2"/>
                  <w:noWrap w:val="0"/>
                  <w:vAlign w:val="center"/>
                </w:tcPr>
                <w:p w14:paraId="3CD6724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排气筒底部中心地理坐标</w:t>
                  </w:r>
                </w:p>
              </w:tc>
            </w:tr>
            <w:tr w14:paraId="6663D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975" w:type="pct"/>
                  <w:vMerge w:val="continue"/>
                  <w:noWrap w:val="0"/>
                  <w:vAlign w:val="center"/>
                </w:tcPr>
                <w:p w14:paraId="4111BFD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p>
              </w:tc>
              <w:tc>
                <w:tcPr>
                  <w:tcW w:w="514" w:type="pct"/>
                  <w:vMerge w:val="continue"/>
                  <w:noWrap w:val="0"/>
                  <w:vAlign w:val="center"/>
                </w:tcPr>
                <w:p w14:paraId="2937F0C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p>
              </w:tc>
              <w:tc>
                <w:tcPr>
                  <w:tcW w:w="601" w:type="pct"/>
                  <w:vMerge w:val="continue"/>
                  <w:noWrap w:val="0"/>
                  <w:vAlign w:val="center"/>
                </w:tcPr>
                <w:p w14:paraId="03F0817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p>
              </w:tc>
              <w:tc>
                <w:tcPr>
                  <w:tcW w:w="647" w:type="pct"/>
                  <w:vMerge w:val="continue"/>
                  <w:noWrap w:val="0"/>
                  <w:vAlign w:val="center"/>
                </w:tcPr>
                <w:p w14:paraId="516AC83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p>
              </w:tc>
              <w:tc>
                <w:tcPr>
                  <w:tcW w:w="746" w:type="pct"/>
                  <w:vMerge w:val="continue"/>
                  <w:noWrap w:val="0"/>
                  <w:vAlign w:val="center"/>
                </w:tcPr>
                <w:p w14:paraId="5A7F79A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p>
              </w:tc>
              <w:tc>
                <w:tcPr>
                  <w:tcW w:w="773" w:type="pct"/>
                  <w:noWrap w:val="0"/>
                  <w:vAlign w:val="center"/>
                </w:tcPr>
                <w:p w14:paraId="5B58FAF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经度</w:t>
                  </w:r>
                </w:p>
              </w:tc>
              <w:tc>
                <w:tcPr>
                  <w:tcW w:w="741" w:type="pct"/>
                  <w:noWrap w:val="0"/>
                  <w:vAlign w:val="center"/>
                </w:tcPr>
                <w:p w14:paraId="38F085E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纬度</w:t>
                  </w:r>
                </w:p>
              </w:tc>
            </w:tr>
            <w:tr w14:paraId="6108B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975" w:type="pct"/>
                  <w:noWrap w:val="0"/>
                  <w:vAlign w:val="center"/>
                </w:tcPr>
                <w:p w14:paraId="405A35A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eastAsia" w:cs="Times New Roman"/>
                      <w:b w:val="0"/>
                      <w:bCs w:val="0"/>
                      <w:color w:val="auto"/>
                      <w:sz w:val="21"/>
                      <w:szCs w:val="21"/>
                      <w:highlight w:val="none"/>
                      <w:u w:val="none" w:color="auto"/>
                      <w:vertAlign w:val="baseline"/>
                      <w:lang w:val="en-US" w:eastAsia="zh-CN"/>
                    </w:rPr>
                    <w:t>喷漆、晾干、烤漆、清洗废气</w:t>
                  </w:r>
                  <w:r>
                    <w:rPr>
                      <w:rFonts w:hint="default" w:ascii="Times New Roman" w:hAnsi="Times New Roman" w:eastAsia="宋体" w:cs="Times New Roman"/>
                      <w:b w:val="0"/>
                      <w:bCs w:val="0"/>
                      <w:color w:val="auto"/>
                      <w:sz w:val="21"/>
                      <w:szCs w:val="21"/>
                      <w:highlight w:val="none"/>
                      <w:u w:val="none" w:color="auto"/>
                      <w:vertAlign w:val="baseline"/>
                      <w:lang w:val="en-US" w:eastAsia="zh-CN"/>
                    </w:rPr>
                    <w:t>排气筒（DA001）</w:t>
                  </w:r>
                </w:p>
              </w:tc>
              <w:tc>
                <w:tcPr>
                  <w:tcW w:w="514" w:type="pct"/>
                  <w:noWrap w:val="0"/>
                  <w:vAlign w:val="center"/>
                </w:tcPr>
                <w:p w14:paraId="0A04F1F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pacing w:val="0"/>
                      <w:kern w:val="2"/>
                      <w:sz w:val="21"/>
                      <w:szCs w:val="21"/>
                      <w:highlight w:val="none"/>
                      <w:u w:val="none" w:color="auto"/>
                      <w:vertAlign w:val="baseline"/>
                      <w:lang w:val="en-US" w:eastAsia="zh-CN" w:bidi="ar-SA"/>
                    </w:rPr>
                  </w:pPr>
                  <w:r>
                    <w:rPr>
                      <w:rFonts w:hint="default" w:ascii="Times New Roman" w:hAnsi="Times New Roman" w:eastAsia="宋体" w:cs="Times New Roman"/>
                      <w:color w:val="auto"/>
                      <w:spacing w:val="0"/>
                      <w:kern w:val="0"/>
                      <w:sz w:val="21"/>
                      <w:szCs w:val="21"/>
                      <w:highlight w:val="none"/>
                      <w:u w:val="none" w:color="auto"/>
                      <w:lang w:val="en-US" w:eastAsia="zh-CN"/>
                    </w:rPr>
                    <w:t>15</w:t>
                  </w:r>
                </w:p>
              </w:tc>
              <w:tc>
                <w:tcPr>
                  <w:tcW w:w="601" w:type="pct"/>
                  <w:noWrap w:val="0"/>
                  <w:vAlign w:val="center"/>
                </w:tcPr>
                <w:p w14:paraId="6B4CE7A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SA"/>
                    </w:rPr>
                  </w:pPr>
                  <w:r>
                    <w:rPr>
                      <w:rFonts w:hint="eastAsia" w:cs="Times New Roman"/>
                      <w:b w:val="0"/>
                      <w:bCs w:val="0"/>
                      <w:color w:val="auto"/>
                      <w:sz w:val="21"/>
                      <w:szCs w:val="21"/>
                      <w:highlight w:val="none"/>
                      <w:u w:val="none" w:color="auto"/>
                      <w:vertAlign w:val="baseline"/>
                      <w:lang w:val="en-US" w:eastAsia="zh-CN"/>
                    </w:rPr>
                    <w:t>1.2</w:t>
                  </w:r>
                </w:p>
              </w:tc>
              <w:tc>
                <w:tcPr>
                  <w:tcW w:w="647" w:type="pct"/>
                  <w:noWrap w:val="0"/>
                  <w:vAlign w:val="center"/>
                </w:tcPr>
                <w:p w14:paraId="0DAC5CC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SA"/>
                    </w:rPr>
                  </w:pPr>
                  <w:r>
                    <w:rPr>
                      <w:rFonts w:hint="eastAsia" w:cs="Times New Roman"/>
                      <w:color w:val="auto"/>
                      <w:spacing w:val="-11"/>
                      <w:kern w:val="0"/>
                      <w:sz w:val="21"/>
                      <w:szCs w:val="21"/>
                      <w:highlight w:val="none"/>
                      <w:u w:val="none" w:color="auto"/>
                      <w:lang w:val="en-US" w:eastAsia="zh-CN"/>
                    </w:rPr>
                    <w:t>4</w:t>
                  </w:r>
                  <w:r>
                    <w:rPr>
                      <w:rFonts w:hint="default" w:ascii="Times New Roman" w:hAnsi="Times New Roman" w:eastAsia="宋体" w:cs="Times New Roman"/>
                      <w:color w:val="auto"/>
                      <w:spacing w:val="-11"/>
                      <w:kern w:val="0"/>
                      <w:sz w:val="21"/>
                      <w:szCs w:val="21"/>
                      <w:highlight w:val="none"/>
                      <w:u w:val="none" w:color="auto"/>
                      <w:lang w:val="en-US" w:eastAsia="zh-CN"/>
                    </w:rPr>
                    <w:t>5℃</w:t>
                  </w:r>
                </w:p>
              </w:tc>
              <w:tc>
                <w:tcPr>
                  <w:tcW w:w="746" w:type="pct"/>
                  <w:noWrap w:val="0"/>
                  <w:vAlign w:val="center"/>
                </w:tcPr>
                <w:p w14:paraId="12AEFDA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一般排放口</w:t>
                  </w:r>
                </w:p>
              </w:tc>
              <w:tc>
                <w:tcPr>
                  <w:tcW w:w="773" w:type="pct"/>
                  <w:noWrap w:val="0"/>
                  <w:vAlign w:val="center"/>
                </w:tcPr>
                <w:p w14:paraId="0B839F8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eastAsia" w:cs="Times New Roman"/>
                      <w:b w:val="0"/>
                      <w:bCs w:val="0"/>
                      <w:color w:val="auto"/>
                      <w:sz w:val="21"/>
                      <w:szCs w:val="21"/>
                      <w:highlight w:val="none"/>
                      <w:u w:val="none" w:color="auto"/>
                      <w:vertAlign w:val="baseline"/>
                      <w:lang w:val="en-US" w:eastAsia="zh-CN"/>
                    </w:rPr>
                    <w:t>112.935122068</w:t>
                  </w:r>
                </w:p>
              </w:tc>
              <w:tc>
                <w:tcPr>
                  <w:tcW w:w="741" w:type="pct"/>
                  <w:noWrap w:val="0"/>
                  <w:vAlign w:val="center"/>
                </w:tcPr>
                <w:p w14:paraId="6617FD1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eastAsia" w:cs="Times New Roman"/>
                      <w:b w:val="0"/>
                      <w:bCs w:val="0"/>
                      <w:color w:val="auto"/>
                      <w:sz w:val="21"/>
                      <w:szCs w:val="21"/>
                      <w:highlight w:val="none"/>
                      <w:u w:val="none" w:color="auto"/>
                      <w:vertAlign w:val="baseline"/>
                      <w:lang w:val="en-US" w:eastAsia="zh-CN"/>
                    </w:rPr>
                    <w:t>27.740689635</w:t>
                  </w:r>
                </w:p>
              </w:tc>
            </w:tr>
            <w:tr w14:paraId="31875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975" w:type="pct"/>
                  <w:noWrap w:val="0"/>
                  <w:vAlign w:val="center"/>
                </w:tcPr>
                <w:p w14:paraId="7E7A371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eastAsia="宋体" w:cs="Times New Roman"/>
                      <w:b w:val="0"/>
                      <w:bCs/>
                      <w:snapToGrid w:val="0"/>
                      <w:color w:val="auto"/>
                      <w:spacing w:val="4"/>
                      <w:sz w:val="21"/>
                      <w:szCs w:val="21"/>
                      <w:u w:val="none" w:color="auto"/>
                      <w:lang w:val="en-US" w:eastAsia="zh-CN"/>
                    </w:rPr>
                    <w:t>调漆、</w:t>
                  </w:r>
                  <w:r>
                    <w:rPr>
                      <w:rFonts w:hint="eastAsia" w:cs="Times New Roman"/>
                      <w:b w:val="0"/>
                      <w:bCs/>
                      <w:snapToGrid w:val="0"/>
                      <w:color w:val="auto"/>
                      <w:spacing w:val="4"/>
                      <w:sz w:val="21"/>
                      <w:szCs w:val="21"/>
                      <w:u w:val="none" w:color="auto"/>
                      <w:lang w:val="en-US" w:eastAsia="zh-CN"/>
                    </w:rPr>
                    <w:t>车间工艺</w:t>
                  </w:r>
                  <w:r>
                    <w:rPr>
                      <w:rFonts w:hint="default" w:ascii="Times New Roman" w:hAnsi="Times New Roman" w:eastAsia="宋体" w:cs="Times New Roman"/>
                      <w:b w:val="0"/>
                      <w:bCs w:val="0"/>
                      <w:color w:val="auto"/>
                      <w:sz w:val="21"/>
                      <w:szCs w:val="21"/>
                      <w:highlight w:val="none"/>
                      <w:u w:val="none" w:color="auto"/>
                      <w:vertAlign w:val="baseline"/>
                      <w:lang w:val="en-US" w:eastAsia="zh-CN"/>
                    </w:rPr>
                    <w:t>废气排气筒（DA002）</w:t>
                  </w:r>
                </w:p>
              </w:tc>
              <w:tc>
                <w:tcPr>
                  <w:tcW w:w="514" w:type="pct"/>
                  <w:noWrap w:val="0"/>
                  <w:vAlign w:val="center"/>
                </w:tcPr>
                <w:p w14:paraId="2EDCAB6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default" w:ascii="Times New Roman" w:hAnsi="Times New Roman" w:eastAsia="宋体" w:cs="Times New Roman"/>
                      <w:color w:val="auto"/>
                      <w:spacing w:val="0"/>
                      <w:kern w:val="0"/>
                      <w:sz w:val="21"/>
                      <w:szCs w:val="21"/>
                      <w:highlight w:val="none"/>
                      <w:u w:val="none" w:color="auto"/>
                      <w:lang w:val="en-US" w:eastAsia="zh-CN"/>
                    </w:rPr>
                    <w:t>15</w:t>
                  </w:r>
                </w:p>
              </w:tc>
              <w:tc>
                <w:tcPr>
                  <w:tcW w:w="601" w:type="pct"/>
                  <w:noWrap w:val="0"/>
                  <w:vAlign w:val="center"/>
                </w:tcPr>
                <w:p w14:paraId="330E87E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0.6</w:t>
                  </w:r>
                </w:p>
              </w:tc>
              <w:tc>
                <w:tcPr>
                  <w:tcW w:w="647" w:type="pct"/>
                  <w:noWrap w:val="0"/>
                  <w:vAlign w:val="center"/>
                </w:tcPr>
                <w:p w14:paraId="42C1967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yellow"/>
                      <w:u w:val="none" w:color="auto"/>
                      <w:vertAlign w:val="baseline"/>
                      <w:lang w:val="en-US" w:eastAsia="zh-CN"/>
                    </w:rPr>
                  </w:pPr>
                  <w:r>
                    <w:rPr>
                      <w:rFonts w:hint="default" w:ascii="Times New Roman" w:hAnsi="Times New Roman" w:eastAsia="宋体" w:cs="Times New Roman"/>
                      <w:color w:val="auto"/>
                      <w:spacing w:val="-11"/>
                      <w:kern w:val="0"/>
                      <w:sz w:val="21"/>
                      <w:szCs w:val="21"/>
                      <w:highlight w:val="none"/>
                      <w:u w:val="none" w:color="auto"/>
                      <w:lang w:val="en-US" w:eastAsia="zh-CN"/>
                    </w:rPr>
                    <w:t>25℃</w:t>
                  </w:r>
                </w:p>
              </w:tc>
              <w:tc>
                <w:tcPr>
                  <w:tcW w:w="746" w:type="pct"/>
                  <w:noWrap w:val="0"/>
                  <w:vAlign w:val="center"/>
                </w:tcPr>
                <w:p w14:paraId="0724982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cs="Times New Roman"/>
                      <w:b w:val="0"/>
                      <w:bCs w:val="0"/>
                      <w:color w:val="auto"/>
                      <w:sz w:val="21"/>
                      <w:szCs w:val="21"/>
                      <w:highlight w:val="none"/>
                      <w:u w:val="none" w:color="auto"/>
                      <w:vertAlign w:val="baseline"/>
                      <w:lang w:val="en-US" w:eastAsia="zh-CN"/>
                    </w:rPr>
                  </w:pPr>
                  <w:r>
                    <w:rPr>
                      <w:rFonts w:hint="default" w:cs="Times New Roman"/>
                      <w:b w:val="0"/>
                      <w:bCs w:val="0"/>
                      <w:color w:val="auto"/>
                      <w:sz w:val="21"/>
                      <w:szCs w:val="21"/>
                      <w:highlight w:val="none"/>
                      <w:u w:val="none" w:color="auto"/>
                      <w:vertAlign w:val="baseline"/>
                      <w:lang w:val="en-US" w:eastAsia="zh-CN"/>
                    </w:rPr>
                    <w:t>一般排放口</w:t>
                  </w:r>
                </w:p>
              </w:tc>
              <w:tc>
                <w:tcPr>
                  <w:tcW w:w="773" w:type="pct"/>
                  <w:noWrap w:val="0"/>
                  <w:vAlign w:val="center"/>
                </w:tcPr>
                <w:p w14:paraId="253CEE6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cs="Times New Roman"/>
                      <w:b w:val="0"/>
                      <w:bCs w:val="0"/>
                      <w:color w:val="auto"/>
                      <w:sz w:val="21"/>
                      <w:szCs w:val="21"/>
                      <w:highlight w:val="none"/>
                      <w:u w:val="none" w:color="auto"/>
                      <w:vertAlign w:val="baseline"/>
                      <w:lang w:val="en-US" w:eastAsia="zh-CN"/>
                    </w:rPr>
                  </w:pPr>
                  <w:r>
                    <w:rPr>
                      <w:rFonts w:hint="eastAsia" w:cs="Times New Roman"/>
                      <w:b w:val="0"/>
                      <w:bCs w:val="0"/>
                      <w:color w:val="auto"/>
                      <w:sz w:val="21"/>
                      <w:szCs w:val="21"/>
                      <w:highlight w:val="none"/>
                      <w:u w:val="none" w:color="auto"/>
                      <w:vertAlign w:val="baseline"/>
                      <w:lang w:val="en-US" w:eastAsia="zh-CN"/>
                    </w:rPr>
                    <w:t>112.935248132</w:t>
                  </w:r>
                </w:p>
              </w:tc>
              <w:tc>
                <w:tcPr>
                  <w:tcW w:w="741" w:type="pct"/>
                  <w:noWrap w:val="0"/>
                  <w:vAlign w:val="center"/>
                </w:tcPr>
                <w:p w14:paraId="26834D8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cs="Times New Roman"/>
                      <w:b w:val="0"/>
                      <w:bCs w:val="0"/>
                      <w:color w:val="auto"/>
                      <w:sz w:val="21"/>
                      <w:szCs w:val="21"/>
                      <w:highlight w:val="none"/>
                      <w:u w:val="none" w:color="auto"/>
                      <w:vertAlign w:val="baseline"/>
                      <w:lang w:val="en-US" w:eastAsia="zh-CN"/>
                    </w:rPr>
                  </w:pPr>
                  <w:r>
                    <w:rPr>
                      <w:rFonts w:hint="eastAsia" w:cs="Times New Roman"/>
                      <w:b w:val="0"/>
                      <w:bCs w:val="0"/>
                      <w:color w:val="auto"/>
                      <w:sz w:val="21"/>
                      <w:szCs w:val="21"/>
                      <w:highlight w:val="none"/>
                      <w:u w:val="none" w:color="auto"/>
                      <w:vertAlign w:val="baseline"/>
                      <w:lang w:val="en-US" w:eastAsia="zh-CN"/>
                    </w:rPr>
                    <w:t>27.740759372</w:t>
                  </w:r>
                </w:p>
              </w:tc>
            </w:tr>
          </w:tbl>
          <w:p w14:paraId="695E0D8C">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sz w:val="24"/>
                <w:szCs w:val="24"/>
                <w:highlight w:val="yellow"/>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参照《排污单位自行监测技术指南 总则》（HJ819-2017）、《排污单位自行监测技术指南 涂装》（HJ1086-2020）等相关的技术监测规范执行，根据本建设项目的特点，制订环境监测计划，具体监控计划见下表。</w:t>
            </w:r>
          </w:p>
          <w:p w14:paraId="5D0B1B9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bCs/>
                <w:color w:val="auto"/>
                <w:sz w:val="21"/>
                <w:szCs w:val="21"/>
                <w:highlight w:val="none"/>
                <w:u w:val="none" w:color="auto"/>
                <w:lang w:val="en-US" w:eastAsia="zh-CN"/>
              </w:rPr>
            </w:pPr>
            <w:r>
              <w:rPr>
                <w:rFonts w:hint="default" w:ascii="Times New Roman" w:hAnsi="Times New Roman" w:eastAsia="宋体" w:cs="Times New Roman"/>
                <w:b/>
                <w:bCs/>
                <w:color w:val="auto"/>
                <w:sz w:val="21"/>
                <w:szCs w:val="21"/>
                <w:highlight w:val="none"/>
                <w:u w:val="none" w:color="auto"/>
                <w:lang w:val="en-US" w:eastAsia="zh-CN"/>
              </w:rPr>
              <w:t>表4-</w:t>
            </w:r>
            <w:r>
              <w:rPr>
                <w:rFonts w:hint="eastAsia" w:cs="Times New Roman"/>
                <w:b/>
                <w:bCs/>
                <w:color w:val="auto"/>
                <w:sz w:val="21"/>
                <w:szCs w:val="21"/>
                <w:highlight w:val="none"/>
                <w:u w:val="none" w:color="auto"/>
                <w:lang w:val="en-US" w:eastAsia="zh-CN"/>
              </w:rPr>
              <w:t>7</w:t>
            </w:r>
            <w:r>
              <w:rPr>
                <w:rFonts w:hint="default" w:ascii="Times New Roman" w:hAnsi="Times New Roman" w:eastAsia="宋体" w:cs="Times New Roman"/>
                <w:b/>
                <w:bCs/>
                <w:color w:val="auto"/>
                <w:sz w:val="21"/>
                <w:szCs w:val="21"/>
                <w:highlight w:val="none"/>
                <w:u w:val="none" w:color="auto"/>
                <w:lang w:val="en-US" w:eastAsia="zh-CN"/>
              </w:rPr>
              <w:t xml:space="preserve">  本项目废气监测计划</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1571"/>
              <w:gridCol w:w="1727"/>
              <w:gridCol w:w="995"/>
              <w:gridCol w:w="4121"/>
            </w:tblGrid>
            <w:tr w14:paraId="70636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933" w:type="pct"/>
                  <w:noWrap w:val="0"/>
                  <w:vAlign w:val="center"/>
                </w:tcPr>
                <w:p w14:paraId="057063B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监测点位</w:t>
                  </w:r>
                </w:p>
              </w:tc>
              <w:tc>
                <w:tcPr>
                  <w:tcW w:w="1026" w:type="pct"/>
                  <w:noWrap w:val="0"/>
                  <w:vAlign w:val="center"/>
                </w:tcPr>
                <w:p w14:paraId="1C29DEA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监测因子</w:t>
                  </w:r>
                </w:p>
              </w:tc>
              <w:tc>
                <w:tcPr>
                  <w:tcW w:w="591" w:type="pct"/>
                  <w:noWrap w:val="0"/>
                  <w:vAlign w:val="center"/>
                </w:tcPr>
                <w:p w14:paraId="43EFCD5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监测频次</w:t>
                  </w:r>
                </w:p>
              </w:tc>
              <w:tc>
                <w:tcPr>
                  <w:tcW w:w="2448" w:type="pct"/>
                  <w:noWrap w:val="0"/>
                  <w:vAlign w:val="center"/>
                </w:tcPr>
                <w:p w14:paraId="0A5E5BE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执行标准</w:t>
                  </w:r>
                </w:p>
              </w:tc>
            </w:tr>
            <w:tr w14:paraId="156CB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1558" w:type="dxa"/>
                  <w:noWrap w:val="0"/>
                  <w:vAlign w:val="center"/>
                </w:tcPr>
                <w:p w14:paraId="1E11EFF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yellow"/>
                      <w:u w:val="none" w:color="auto"/>
                      <w:vertAlign w:val="baseline"/>
                      <w:lang w:val="en-US" w:eastAsia="zh-CN"/>
                    </w:rPr>
                  </w:pPr>
                  <w:r>
                    <w:rPr>
                      <w:rFonts w:hint="eastAsia" w:cs="Times New Roman"/>
                      <w:b w:val="0"/>
                      <w:bCs w:val="0"/>
                      <w:color w:val="auto"/>
                      <w:sz w:val="21"/>
                      <w:szCs w:val="21"/>
                      <w:highlight w:val="none"/>
                      <w:u w:val="none" w:color="auto"/>
                      <w:vertAlign w:val="baseline"/>
                      <w:lang w:val="en-US" w:eastAsia="zh-CN"/>
                    </w:rPr>
                    <w:t>喷漆、晾干、烤漆、清洗废气</w:t>
                  </w:r>
                  <w:r>
                    <w:rPr>
                      <w:rFonts w:hint="default" w:ascii="Times New Roman" w:hAnsi="Times New Roman" w:eastAsia="宋体" w:cs="Times New Roman"/>
                      <w:b w:val="0"/>
                      <w:bCs w:val="0"/>
                      <w:color w:val="auto"/>
                      <w:sz w:val="21"/>
                      <w:szCs w:val="21"/>
                      <w:highlight w:val="none"/>
                      <w:u w:val="none" w:color="auto"/>
                      <w:vertAlign w:val="baseline"/>
                      <w:lang w:val="en-US" w:eastAsia="zh-CN"/>
                    </w:rPr>
                    <w:t>排气筒（DA001）</w:t>
                  </w:r>
                </w:p>
              </w:tc>
              <w:tc>
                <w:tcPr>
                  <w:tcW w:w="1026" w:type="pct"/>
                  <w:noWrap w:val="0"/>
                  <w:vAlign w:val="center"/>
                </w:tcPr>
                <w:p w14:paraId="0F88A5E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sz w:val="21"/>
                      <w:szCs w:val="21"/>
                      <w:highlight w:val="yellow"/>
                      <w:u w:val="none" w:color="auto"/>
                      <w:vertAlign w:val="baseline"/>
                      <w:lang w:val="en-US" w:eastAsia="zh-CN"/>
                    </w:rPr>
                  </w:pPr>
                  <w:r>
                    <w:rPr>
                      <w:rFonts w:hint="default" w:ascii="Times New Roman" w:hAnsi="Times New Roman" w:cs="Times New Roman"/>
                      <w:bCs/>
                      <w:color w:val="auto"/>
                      <w:szCs w:val="21"/>
                      <w:u w:val="none" w:color="auto"/>
                    </w:rPr>
                    <w:t>VOCs、</w:t>
                  </w:r>
                  <w:r>
                    <w:rPr>
                      <w:rFonts w:hint="eastAsia" w:cs="Times New Roman"/>
                      <w:bCs/>
                      <w:color w:val="auto"/>
                      <w:szCs w:val="21"/>
                      <w:u w:val="none" w:color="auto"/>
                      <w:lang w:val="en-US" w:eastAsia="zh-CN"/>
                    </w:rPr>
                    <w:t>甲苯、</w:t>
                  </w:r>
                  <w:r>
                    <w:rPr>
                      <w:rFonts w:hint="default" w:ascii="Times New Roman" w:hAnsi="Times New Roman" w:cs="Times New Roman"/>
                      <w:bCs/>
                      <w:color w:val="auto"/>
                      <w:szCs w:val="21"/>
                      <w:u w:val="none" w:color="auto"/>
                    </w:rPr>
                    <w:t>二甲苯、</w:t>
                  </w:r>
                  <w:r>
                    <w:rPr>
                      <w:rStyle w:val="55"/>
                      <w:rFonts w:hint="eastAsia" w:ascii="Times New Roman" w:hAnsi="Times New Roman" w:eastAsia="宋体" w:cs="Times New Roman"/>
                      <w:b w:val="0"/>
                      <w:bCs/>
                      <w:color w:val="auto"/>
                      <w:sz w:val="21"/>
                      <w:szCs w:val="21"/>
                      <w:highlight w:val="none"/>
                      <w:u w:val="none" w:color="auto"/>
                      <w:lang w:val="en-US" w:eastAsia="zh-CN"/>
                    </w:rPr>
                    <w:t>颗粒物</w:t>
                  </w:r>
                  <w:r>
                    <w:rPr>
                      <w:rStyle w:val="55"/>
                      <w:rFonts w:hint="eastAsia" w:eastAsia="宋体" w:cs="Times New Roman"/>
                      <w:b w:val="0"/>
                      <w:bCs/>
                      <w:color w:val="auto"/>
                      <w:sz w:val="21"/>
                      <w:szCs w:val="21"/>
                      <w:highlight w:val="none"/>
                      <w:u w:val="none" w:color="auto"/>
                      <w:lang w:val="en-US" w:eastAsia="zh-CN"/>
                    </w:rPr>
                    <w:t>、二氧化硫、氮氧化物</w:t>
                  </w:r>
                </w:p>
              </w:tc>
              <w:tc>
                <w:tcPr>
                  <w:tcW w:w="591" w:type="pct"/>
                  <w:noWrap w:val="0"/>
                  <w:vAlign w:val="center"/>
                </w:tcPr>
                <w:p w14:paraId="405643B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spacing w:val="0"/>
                      <w:sz w:val="21"/>
                      <w:szCs w:val="21"/>
                      <w:highlight w:val="none"/>
                      <w:u w:val="none" w:color="auto"/>
                      <w:vertAlign w:val="baseline"/>
                      <w:lang w:val="en-US" w:eastAsia="zh-CN"/>
                    </w:rPr>
                  </w:pPr>
                  <w:r>
                    <w:rPr>
                      <w:rFonts w:hint="default" w:ascii="Times New Roman" w:hAnsi="Times New Roman" w:eastAsia="宋体" w:cs="Times New Roman"/>
                      <w:color w:val="auto"/>
                      <w:spacing w:val="0"/>
                      <w:kern w:val="0"/>
                      <w:sz w:val="21"/>
                      <w:szCs w:val="21"/>
                      <w:highlight w:val="none"/>
                      <w:u w:val="none" w:color="auto"/>
                    </w:rPr>
                    <w:t>1次</w:t>
                  </w:r>
                  <w:r>
                    <w:rPr>
                      <w:rFonts w:hint="default" w:ascii="Times New Roman" w:hAnsi="Times New Roman" w:eastAsia="宋体" w:cs="Times New Roman"/>
                      <w:b w:val="0"/>
                      <w:bCs w:val="0"/>
                      <w:color w:val="auto"/>
                      <w:spacing w:val="0"/>
                      <w:sz w:val="21"/>
                      <w:szCs w:val="21"/>
                      <w:highlight w:val="none"/>
                      <w:u w:val="none" w:color="auto"/>
                      <w:vertAlign w:val="baseline"/>
                      <w:lang w:val="en-US" w:eastAsia="zh-CN"/>
                    </w:rPr>
                    <w:t>/</w:t>
                  </w:r>
                  <w:r>
                    <w:rPr>
                      <w:rFonts w:hint="default" w:ascii="Times New Roman" w:hAnsi="Times New Roman" w:eastAsia="宋体" w:cs="Times New Roman"/>
                      <w:color w:val="auto"/>
                      <w:spacing w:val="0"/>
                      <w:kern w:val="0"/>
                      <w:sz w:val="21"/>
                      <w:szCs w:val="21"/>
                      <w:highlight w:val="none"/>
                      <w:u w:val="none" w:color="auto"/>
                      <w:lang w:eastAsia="zh-CN"/>
                    </w:rPr>
                    <w:t>年</w:t>
                  </w:r>
                </w:p>
              </w:tc>
              <w:tc>
                <w:tcPr>
                  <w:tcW w:w="2448" w:type="pct"/>
                  <w:noWrap w:val="0"/>
                  <w:vAlign w:val="center"/>
                </w:tcPr>
                <w:p w14:paraId="1716A62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二甲苯、</w:t>
                  </w:r>
                  <w:r>
                    <w:rPr>
                      <w:rFonts w:hint="eastAsia" w:cs="Times New Roman"/>
                      <w:b w:val="0"/>
                      <w:bCs w:val="0"/>
                      <w:color w:val="auto"/>
                      <w:sz w:val="21"/>
                      <w:szCs w:val="21"/>
                      <w:highlight w:val="none"/>
                      <w:u w:val="none" w:color="auto"/>
                      <w:vertAlign w:val="baseline"/>
                      <w:lang w:val="en-US" w:eastAsia="zh-CN"/>
                    </w:rPr>
                    <w:t>甲苯、</w:t>
                  </w:r>
                  <w:r>
                    <w:rPr>
                      <w:rFonts w:hint="default" w:ascii="Times New Roman" w:hAnsi="Times New Roman" w:eastAsia="宋体" w:cs="Times New Roman"/>
                      <w:b w:val="0"/>
                      <w:bCs w:val="0"/>
                      <w:color w:val="auto"/>
                      <w:sz w:val="21"/>
                      <w:szCs w:val="21"/>
                      <w:highlight w:val="none"/>
                      <w:u w:val="none" w:color="auto"/>
                      <w:vertAlign w:val="baseline"/>
                      <w:lang w:val="en-US" w:eastAsia="zh-CN"/>
                    </w:rPr>
                    <w:t>挥发性有机物排放参照执行湖南省地方标准《表面涂装（汽车制造及维修）挥发性有机物、镍排放标准》（DB43/1356-2017）表1中排放标准</w:t>
                  </w:r>
                  <w:r>
                    <w:rPr>
                      <w:rFonts w:hint="eastAsia" w:ascii="Times New Roman" w:hAnsi="Times New Roman" w:eastAsia="宋体" w:cs="Times New Roman"/>
                      <w:b w:val="0"/>
                      <w:bCs w:val="0"/>
                      <w:color w:val="auto"/>
                      <w:sz w:val="21"/>
                      <w:szCs w:val="21"/>
                      <w:highlight w:val="none"/>
                      <w:u w:val="none" w:color="auto"/>
                      <w:vertAlign w:val="baseline"/>
                      <w:lang w:val="en-US" w:eastAsia="zh-CN"/>
                    </w:rPr>
                    <w:t>；颗粒物</w:t>
                  </w:r>
                  <w:r>
                    <w:rPr>
                      <w:rFonts w:hint="eastAsia" w:eastAsia="宋体" w:cs="Times New Roman"/>
                      <w:b w:val="0"/>
                      <w:bCs w:val="0"/>
                      <w:color w:val="auto"/>
                      <w:sz w:val="21"/>
                      <w:szCs w:val="21"/>
                      <w:highlight w:val="none"/>
                      <w:u w:val="none" w:color="auto"/>
                      <w:vertAlign w:val="baseline"/>
                      <w:lang w:val="en-US" w:eastAsia="zh-CN"/>
                    </w:rPr>
                    <w:t>、二氧化硫、氮氧化物</w:t>
                  </w:r>
                  <w:r>
                    <w:rPr>
                      <w:rFonts w:hint="eastAsia" w:ascii="Times New Roman" w:hAnsi="Times New Roman" w:eastAsia="宋体" w:cs="Times New Roman"/>
                      <w:b w:val="0"/>
                      <w:bCs w:val="0"/>
                      <w:color w:val="auto"/>
                      <w:sz w:val="21"/>
                      <w:szCs w:val="21"/>
                      <w:highlight w:val="none"/>
                      <w:u w:val="none" w:color="auto"/>
                      <w:vertAlign w:val="baseline"/>
                      <w:lang w:val="en-US" w:eastAsia="zh-CN"/>
                    </w:rPr>
                    <w:t>执行</w:t>
                  </w:r>
                  <w:r>
                    <w:rPr>
                      <w:rFonts w:hint="eastAsia" w:cs="Times New Roman"/>
                      <w:b w:val="0"/>
                      <w:bCs w:val="0"/>
                      <w:color w:val="auto"/>
                      <w:sz w:val="21"/>
                      <w:szCs w:val="21"/>
                      <w:highlight w:val="none"/>
                      <w:u w:val="none" w:color="auto"/>
                      <w:vertAlign w:val="baseline"/>
                      <w:lang w:val="en-US" w:eastAsia="zh-CN"/>
                    </w:rPr>
                    <w:t>《湖南省工业炉窑大气污染综合治理实施方案》（湘环发〔2020〕6号）中标准限值要求</w:t>
                  </w:r>
                </w:p>
              </w:tc>
            </w:tr>
            <w:tr w14:paraId="228F3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1558" w:type="dxa"/>
                  <w:noWrap w:val="0"/>
                  <w:vAlign w:val="center"/>
                </w:tcPr>
                <w:p w14:paraId="43304E1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val="0"/>
                      <w:bCs w:val="0"/>
                      <w:color w:val="auto"/>
                      <w:sz w:val="21"/>
                      <w:szCs w:val="21"/>
                      <w:highlight w:val="yellow"/>
                      <w:u w:val="none" w:color="auto"/>
                      <w:vertAlign w:val="baseline"/>
                      <w:lang w:val="en-US" w:eastAsia="zh-CN"/>
                    </w:rPr>
                  </w:pPr>
                  <w:r>
                    <w:rPr>
                      <w:rFonts w:hint="default" w:eastAsia="宋体" w:cs="Times New Roman"/>
                      <w:b w:val="0"/>
                      <w:bCs/>
                      <w:snapToGrid w:val="0"/>
                      <w:color w:val="auto"/>
                      <w:spacing w:val="4"/>
                      <w:sz w:val="21"/>
                      <w:szCs w:val="21"/>
                      <w:u w:val="none" w:color="auto"/>
                      <w:lang w:val="en-US" w:eastAsia="zh-CN"/>
                    </w:rPr>
                    <w:t>调漆、</w:t>
                  </w:r>
                  <w:r>
                    <w:rPr>
                      <w:rFonts w:hint="eastAsia" w:cs="Times New Roman"/>
                      <w:b w:val="0"/>
                      <w:bCs/>
                      <w:snapToGrid w:val="0"/>
                      <w:color w:val="auto"/>
                      <w:spacing w:val="4"/>
                      <w:sz w:val="21"/>
                      <w:szCs w:val="21"/>
                      <w:u w:val="none" w:color="auto"/>
                      <w:lang w:val="en-US" w:eastAsia="zh-CN"/>
                    </w:rPr>
                    <w:t>车间工艺</w:t>
                  </w:r>
                  <w:r>
                    <w:rPr>
                      <w:rFonts w:hint="default" w:ascii="Times New Roman" w:hAnsi="Times New Roman" w:eastAsia="宋体" w:cs="Times New Roman"/>
                      <w:b w:val="0"/>
                      <w:bCs w:val="0"/>
                      <w:color w:val="auto"/>
                      <w:sz w:val="21"/>
                      <w:szCs w:val="21"/>
                      <w:highlight w:val="none"/>
                      <w:u w:val="none" w:color="auto"/>
                      <w:vertAlign w:val="baseline"/>
                      <w:lang w:val="en-US" w:eastAsia="zh-CN"/>
                    </w:rPr>
                    <w:t>废气排气筒（DA002）</w:t>
                  </w:r>
                </w:p>
              </w:tc>
              <w:tc>
                <w:tcPr>
                  <w:tcW w:w="1026" w:type="pct"/>
                  <w:noWrap w:val="0"/>
                  <w:vAlign w:val="center"/>
                </w:tcPr>
                <w:p w14:paraId="4B1A284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5"/>
                      <w:rFonts w:hint="default" w:ascii="Times New Roman" w:hAnsi="Times New Roman" w:eastAsia="宋体" w:cs="Times New Roman"/>
                      <w:b w:val="0"/>
                      <w:bCs/>
                      <w:color w:val="auto"/>
                      <w:sz w:val="21"/>
                      <w:szCs w:val="21"/>
                      <w:highlight w:val="yellow"/>
                      <w:u w:val="none" w:color="auto"/>
                      <w:lang w:val="en-US" w:eastAsia="zh-CN"/>
                    </w:rPr>
                  </w:pPr>
                  <w:r>
                    <w:rPr>
                      <w:rFonts w:hint="default" w:ascii="Times New Roman" w:hAnsi="Times New Roman" w:cs="Times New Roman"/>
                      <w:bCs/>
                      <w:color w:val="auto"/>
                      <w:szCs w:val="21"/>
                      <w:u w:val="none" w:color="auto"/>
                    </w:rPr>
                    <w:t>VOCs、</w:t>
                  </w:r>
                  <w:r>
                    <w:rPr>
                      <w:rFonts w:hint="eastAsia" w:cs="Times New Roman"/>
                      <w:bCs/>
                      <w:color w:val="auto"/>
                      <w:szCs w:val="21"/>
                      <w:u w:val="none" w:color="auto"/>
                      <w:lang w:val="en-US" w:eastAsia="zh-CN"/>
                    </w:rPr>
                    <w:t>甲苯、</w:t>
                  </w:r>
                  <w:r>
                    <w:rPr>
                      <w:rFonts w:hint="default" w:ascii="Times New Roman" w:hAnsi="Times New Roman" w:cs="Times New Roman"/>
                      <w:bCs/>
                      <w:color w:val="auto"/>
                      <w:szCs w:val="21"/>
                      <w:u w:val="none" w:color="auto"/>
                    </w:rPr>
                    <w:t>二甲苯、</w:t>
                  </w:r>
                  <w:r>
                    <w:rPr>
                      <w:rStyle w:val="55"/>
                      <w:rFonts w:hint="eastAsia" w:ascii="Times New Roman" w:hAnsi="Times New Roman" w:eastAsia="宋体" w:cs="Times New Roman"/>
                      <w:b w:val="0"/>
                      <w:bCs/>
                      <w:color w:val="auto"/>
                      <w:sz w:val="21"/>
                      <w:szCs w:val="21"/>
                      <w:highlight w:val="none"/>
                      <w:u w:val="none" w:color="auto"/>
                      <w:lang w:val="en-US" w:eastAsia="zh-CN"/>
                    </w:rPr>
                    <w:t>颗粒物</w:t>
                  </w:r>
                </w:p>
              </w:tc>
              <w:tc>
                <w:tcPr>
                  <w:tcW w:w="591" w:type="pct"/>
                  <w:noWrap w:val="0"/>
                  <w:vAlign w:val="center"/>
                </w:tcPr>
                <w:p w14:paraId="5957CEA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pacing w:val="0"/>
                      <w:kern w:val="0"/>
                      <w:sz w:val="21"/>
                      <w:szCs w:val="21"/>
                      <w:highlight w:val="yellow"/>
                      <w:u w:val="none" w:color="auto"/>
                    </w:rPr>
                  </w:pPr>
                  <w:r>
                    <w:rPr>
                      <w:rFonts w:hint="default" w:ascii="Times New Roman" w:hAnsi="Times New Roman" w:eastAsia="宋体" w:cs="Times New Roman"/>
                      <w:color w:val="auto"/>
                      <w:spacing w:val="0"/>
                      <w:kern w:val="0"/>
                      <w:sz w:val="21"/>
                      <w:szCs w:val="21"/>
                      <w:highlight w:val="none"/>
                      <w:u w:val="none" w:color="auto"/>
                    </w:rPr>
                    <w:t>1次</w:t>
                  </w:r>
                  <w:r>
                    <w:rPr>
                      <w:rFonts w:hint="default" w:ascii="Times New Roman" w:hAnsi="Times New Roman" w:eastAsia="宋体" w:cs="Times New Roman"/>
                      <w:b w:val="0"/>
                      <w:bCs w:val="0"/>
                      <w:color w:val="auto"/>
                      <w:spacing w:val="0"/>
                      <w:sz w:val="21"/>
                      <w:szCs w:val="21"/>
                      <w:highlight w:val="none"/>
                      <w:u w:val="none" w:color="auto"/>
                      <w:vertAlign w:val="baseline"/>
                      <w:lang w:val="en-US" w:eastAsia="zh-CN"/>
                    </w:rPr>
                    <w:t>/</w:t>
                  </w:r>
                  <w:r>
                    <w:rPr>
                      <w:rFonts w:hint="default" w:ascii="Times New Roman" w:hAnsi="Times New Roman" w:eastAsia="宋体" w:cs="Times New Roman"/>
                      <w:color w:val="auto"/>
                      <w:spacing w:val="0"/>
                      <w:kern w:val="0"/>
                      <w:sz w:val="21"/>
                      <w:szCs w:val="21"/>
                      <w:highlight w:val="none"/>
                      <w:u w:val="none" w:color="auto"/>
                      <w:lang w:eastAsia="zh-CN"/>
                    </w:rPr>
                    <w:t>年</w:t>
                  </w:r>
                </w:p>
              </w:tc>
              <w:tc>
                <w:tcPr>
                  <w:tcW w:w="2448" w:type="pct"/>
                  <w:noWrap w:val="0"/>
                  <w:vAlign w:val="center"/>
                </w:tcPr>
                <w:p w14:paraId="6D2E586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sz w:val="21"/>
                      <w:szCs w:val="21"/>
                      <w:highlight w:val="yellow"/>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二甲苯、</w:t>
                  </w:r>
                  <w:r>
                    <w:rPr>
                      <w:rFonts w:hint="eastAsia" w:cs="Times New Roman"/>
                      <w:b w:val="0"/>
                      <w:bCs w:val="0"/>
                      <w:color w:val="auto"/>
                      <w:sz w:val="21"/>
                      <w:szCs w:val="21"/>
                      <w:highlight w:val="none"/>
                      <w:u w:val="none" w:color="auto"/>
                      <w:vertAlign w:val="baseline"/>
                      <w:lang w:val="en-US" w:eastAsia="zh-CN"/>
                    </w:rPr>
                    <w:t>甲苯、</w:t>
                  </w:r>
                  <w:r>
                    <w:rPr>
                      <w:rFonts w:hint="default" w:ascii="Times New Roman" w:hAnsi="Times New Roman" w:eastAsia="宋体" w:cs="Times New Roman"/>
                      <w:b w:val="0"/>
                      <w:bCs w:val="0"/>
                      <w:color w:val="auto"/>
                      <w:sz w:val="21"/>
                      <w:szCs w:val="21"/>
                      <w:highlight w:val="none"/>
                      <w:u w:val="none" w:color="auto"/>
                      <w:vertAlign w:val="baseline"/>
                      <w:lang w:val="en-US" w:eastAsia="zh-CN"/>
                    </w:rPr>
                    <w:t>挥发性有机物排放参照执行湖南省地方标准《表面涂装（汽车制造及维修）挥发性有机物、镍排放标准》（DB43/1356-2017）表1中排放标准</w:t>
                  </w:r>
                  <w:r>
                    <w:rPr>
                      <w:rFonts w:hint="eastAsia" w:ascii="Times New Roman" w:hAnsi="Times New Roman" w:eastAsia="宋体" w:cs="Times New Roman"/>
                      <w:b w:val="0"/>
                      <w:bCs w:val="0"/>
                      <w:color w:val="auto"/>
                      <w:sz w:val="21"/>
                      <w:szCs w:val="21"/>
                      <w:highlight w:val="none"/>
                      <w:u w:val="none" w:color="auto"/>
                      <w:vertAlign w:val="baseline"/>
                      <w:lang w:val="en-US" w:eastAsia="zh-CN"/>
                    </w:rPr>
                    <w:t>；颗粒物执行《大气污染物综合排放标准》（GB16297-1996）表2中的二级排放标准</w:t>
                  </w:r>
                </w:p>
              </w:tc>
            </w:tr>
            <w:tr w14:paraId="424ED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933" w:type="pct"/>
                  <w:noWrap w:val="0"/>
                  <w:vAlign w:val="center"/>
                </w:tcPr>
                <w:p w14:paraId="3786345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厂界</w:t>
                  </w:r>
                  <w:r>
                    <w:rPr>
                      <w:rFonts w:hint="eastAsia" w:ascii="Times New Roman" w:hAnsi="Times New Roman" w:eastAsia="宋体" w:cs="Times New Roman"/>
                      <w:b w:val="0"/>
                      <w:bCs w:val="0"/>
                      <w:color w:val="auto"/>
                      <w:sz w:val="21"/>
                      <w:szCs w:val="21"/>
                      <w:highlight w:val="none"/>
                      <w:u w:val="none" w:color="auto"/>
                      <w:vertAlign w:val="baseline"/>
                      <w:lang w:val="en-US" w:eastAsia="zh-CN"/>
                    </w:rPr>
                    <w:t>（参照点：1个，上风向；厂界监控点：3个，下风向厂界外）</w:t>
                  </w:r>
                </w:p>
              </w:tc>
              <w:tc>
                <w:tcPr>
                  <w:tcW w:w="1026" w:type="pct"/>
                  <w:noWrap w:val="0"/>
                  <w:vAlign w:val="center"/>
                </w:tcPr>
                <w:p w14:paraId="2646A78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SA"/>
                    </w:rPr>
                  </w:pPr>
                  <w:r>
                    <w:rPr>
                      <w:rFonts w:hint="default" w:ascii="Times New Roman" w:hAnsi="Times New Roman" w:cs="Times New Roman"/>
                      <w:bCs/>
                      <w:color w:val="auto"/>
                      <w:szCs w:val="21"/>
                      <w:highlight w:val="none"/>
                      <w:u w:val="none" w:color="auto"/>
                    </w:rPr>
                    <w:t>VOCs、</w:t>
                  </w:r>
                  <w:r>
                    <w:rPr>
                      <w:rFonts w:hint="eastAsia" w:cs="Times New Roman"/>
                      <w:bCs/>
                      <w:color w:val="auto"/>
                      <w:szCs w:val="21"/>
                      <w:highlight w:val="none"/>
                      <w:u w:val="none" w:color="auto"/>
                      <w:lang w:val="en-US" w:eastAsia="zh-CN"/>
                    </w:rPr>
                    <w:t>甲苯、</w:t>
                  </w:r>
                  <w:r>
                    <w:rPr>
                      <w:rFonts w:hint="default" w:ascii="Times New Roman" w:hAnsi="Times New Roman" w:cs="Times New Roman"/>
                      <w:bCs/>
                      <w:color w:val="auto"/>
                      <w:szCs w:val="21"/>
                      <w:highlight w:val="none"/>
                      <w:u w:val="none" w:color="auto"/>
                    </w:rPr>
                    <w:t>二甲苯、</w:t>
                  </w:r>
                  <w:r>
                    <w:rPr>
                      <w:rStyle w:val="55"/>
                      <w:rFonts w:hint="eastAsia" w:ascii="Times New Roman" w:hAnsi="Times New Roman" w:eastAsia="宋体" w:cs="Times New Roman"/>
                      <w:b w:val="0"/>
                      <w:bCs/>
                      <w:color w:val="auto"/>
                      <w:sz w:val="21"/>
                      <w:szCs w:val="21"/>
                      <w:highlight w:val="none"/>
                      <w:u w:val="none" w:color="auto"/>
                      <w:lang w:val="en-US" w:eastAsia="zh-CN"/>
                    </w:rPr>
                    <w:t>颗粒物</w:t>
                  </w:r>
                  <w:r>
                    <w:rPr>
                      <w:rStyle w:val="55"/>
                      <w:rFonts w:hint="eastAsia" w:cs="Times New Roman"/>
                      <w:b w:val="0"/>
                      <w:bCs/>
                      <w:color w:val="auto"/>
                      <w:sz w:val="21"/>
                      <w:szCs w:val="21"/>
                      <w:highlight w:val="none"/>
                      <w:u w:val="none" w:color="auto"/>
                      <w:lang w:val="en-US" w:eastAsia="zh-CN"/>
                    </w:rPr>
                    <w:t>、二氧化硫、氮氧化物</w:t>
                  </w:r>
                </w:p>
              </w:tc>
              <w:tc>
                <w:tcPr>
                  <w:tcW w:w="591" w:type="pct"/>
                  <w:noWrap w:val="0"/>
                  <w:vAlign w:val="center"/>
                </w:tcPr>
                <w:p w14:paraId="143B17E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spacing w:val="0"/>
                      <w:kern w:val="2"/>
                      <w:sz w:val="21"/>
                      <w:szCs w:val="21"/>
                      <w:highlight w:val="none"/>
                      <w:u w:val="none" w:color="auto"/>
                      <w:vertAlign w:val="baseline"/>
                      <w:lang w:val="en-US" w:eastAsia="zh-CN" w:bidi="ar-SA"/>
                    </w:rPr>
                  </w:pPr>
                  <w:r>
                    <w:rPr>
                      <w:rFonts w:hint="default" w:ascii="Times New Roman" w:hAnsi="Times New Roman" w:eastAsia="宋体" w:cs="Times New Roman"/>
                      <w:color w:val="auto"/>
                      <w:spacing w:val="0"/>
                      <w:kern w:val="0"/>
                      <w:sz w:val="21"/>
                      <w:szCs w:val="21"/>
                      <w:highlight w:val="none"/>
                      <w:u w:val="none" w:color="auto"/>
                    </w:rPr>
                    <w:t>1次</w:t>
                  </w:r>
                  <w:r>
                    <w:rPr>
                      <w:rFonts w:hint="default" w:ascii="Times New Roman" w:hAnsi="Times New Roman" w:eastAsia="宋体" w:cs="Times New Roman"/>
                      <w:b w:val="0"/>
                      <w:bCs w:val="0"/>
                      <w:color w:val="auto"/>
                      <w:spacing w:val="0"/>
                      <w:sz w:val="21"/>
                      <w:szCs w:val="21"/>
                      <w:highlight w:val="none"/>
                      <w:u w:val="none" w:color="auto"/>
                      <w:vertAlign w:val="baseline"/>
                      <w:lang w:val="en-US" w:eastAsia="zh-CN"/>
                    </w:rPr>
                    <w:t>/</w:t>
                  </w:r>
                  <w:r>
                    <w:rPr>
                      <w:rFonts w:hint="eastAsia" w:ascii="Times New Roman" w:hAnsi="Times New Roman" w:eastAsia="宋体" w:cs="Times New Roman"/>
                      <w:color w:val="auto"/>
                      <w:spacing w:val="0"/>
                      <w:kern w:val="0"/>
                      <w:sz w:val="21"/>
                      <w:szCs w:val="21"/>
                      <w:highlight w:val="none"/>
                      <w:u w:val="none" w:color="auto"/>
                      <w:lang w:val="en-US" w:eastAsia="zh-CN"/>
                    </w:rPr>
                    <w:t>半年</w:t>
                  </w:r>
                </w:p>
              </w:tc>
              <w:tc>
                <w:tcPr>
                  <w:tcW w:w="2448" w:type="pct"/>
                  <w:noWrap w:val="0"/>
                  <w:vAlign w:val="center"/>
                </w:tcPr>
                <w:p w14:paraId="3C2C877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挥发性有机物参照执行湖南省地方标准《表面涂装（汽车制造及维修）挥发性有机物、镍排放标准》（DB43/1356-2017）表3中排放标准</w:t>
                  </w:r>
                  <w:r>
                    <w:rPr>
                      <w:rFonts w:hint="eastAsia" w:ascii="Times New Roman" w:hAnsi="Times New Roman" w:eastAsia="宋体" w:cs="Times New Roman"/>
                      <w:b w:val="0"/>
                      <w:bCs w:val="0"/>
                      <w:color w:val="auto"/>
                      <w:sz w:val="21"/>
                      <w:szCs w:val="21"/>
                      <w:highlight w:val="none"/>
                      <w:u w:val="none" w:color="auto"/>
                      <w:vertAlign w:val="baseline"/>
                      <w:lang w:val="en-US" w:eastAsia="zh-CN"/>
                    </w:rPr>
                    <w:t>；</w:t>
                  </w:r>
                  <w:r>
                    <w:rPr>
                      <w:rFonts w:hint="eastAsia" w:cs="Times New Roman"/>
                      <w:b w:val="0"/>
                      <w:bCs w:val="0"/>
                      <w:color w:val="auto"/>
                      <w:sz w:val="21"/>
                      <w:szCs w:val="21"/>
                      <w:highlight w:val="none"/>
                      <w:u w:val="none" w:color="auto"/>
                      <w:vertAlign w:val="baseline"/>
                      <w:lang w:val="en-US" w:eastAsia="zh-CN"/>
                    </w:rPr>
                    <w:t>甲苯、</w:t>
                  </w:r>
                  <w:r>
                    <w:rPr>
                      <w:rFonts w:hint="default" w:ascii="Times New Roman" w:hAnsi="Times New Roman" w:eastAsia="宋体" w:cs="Times New Roman"/>
                      <w:b w:val="0"/>
                      <w:bCs w:val="0"/>
                      <w:color w:val="auto"/>
                      <w:sz w:val="21"/>
                      <w:szCs w:val="21"/>
                      <w:highlight w:val="none"/>
                      <w:u w:val="none" w:color="auto"/>
                      <w:vertAlign w:val="baseline"/>
                      <w:lang w:val="en-US" w:eastAsia="zh-CN"/>
                    </w:rPr>
                    <w:t>二甲苯</w:t>
                  </w:r>
                  <w:r>
                    <w:rPr>
                      <w:rFonts w:hint="eastAsia" w:ascii="Times New Roman" w:hAnsi="Times New Roman" w:eastAsia="宋体" w:cs="Times New Roman"/>
                      <w:b w:val="0"/>
                      <w:bCs w:val="0"/>
                      <w:color w:val="auto"/>
                      <w:sz w:val="21"/>
                      <w:szCs w:val="21"/>
                      <w:highlight w:val="none"/>
                      <w:u w:val="none" w:color="auto"/>
                      <w:vertAlign w:val="baseline"/>
                      <w:lang w:val="en-US" w:eastAsia="zh-CN"/>
                    </w:rPr>
                    <w:t>、颗粒物</w:t>
                  </w:r>
                  <w:r>
                    <w:rPr>
                      <w:rFonts w:hint="eastAsia" w:cs="Times New Roman"/>
                      <w:b w:val="0"/>
                      <w:bCs w:val="0"/>
                      <w:color w:val="auto"/>
                      <w:sz w:val="21"/>
                      <w:szCs w:val="21"/>
                      <w:highlight w:val="none"/>
                      <w:u w:val="none" w:color="auto"/>
                      <w:vertAlign w:val="baseline"/>
                      <w:lang w:val="en-US" w:eastAsia="zh-CN"/>
                    </w:rPr>
                    <w:t>、二氧化硫、氮氧化物</w:t>
                  </w:r>
                  <w:r>
                    <w:rPr>
                      <w:rFonts w:hint="default" w:ascii="Times New Roman" w:hAnsi="Times New Roman" w:eastAsia="宋体" w:cs="Times New Roman"/>
                      <w:b w:val="0"/>
                      <w:bCs w:val="0"/>
                      <w:color w:val="auto"/>
                      <w:sz w:val="21"/>
                      <w:szCs w:val="21"/>
                      <w:highlight w:val="none"/>
                      <w:u w:val="none" w:color="auto"/>
                      <w:vertAlign w:val="baseline"/>
                      <w:lang w:val="en-US" w:eastAsia="zh-CN"/>
                    </w:rPr>
                    <w:t>执行</w:t>
                  </w:r>
                  <w:r>
                    <w:rPr>
                      <w:rFonts w:hint="default" w:ascii="Times New Roman" w:hAnsi="Times New Roman" w:eastAsia="宋体" w:cs="Times New Roman"/>
                      <w:b w:val="0"/>
                      <w:bCs w:val="0"/>
                      <w:color w:val="auto"/>
                      <w:sz w:val="21"/>
                      <w:szCs w:val="21"/>
                      <w:highlight w:val="none"/>
                      <w:u w:val="none" w:color="auto"/>
                      <w:vertAlign w:val="baseline"/>
                      <w:lang w:eastAsia="zh-CN"/>
                    </w:rPr>
                    <w:t>《大气污染物综合排放标准》（GB16297-1996）无组织排放监控浓度限值</w:t>
                  </w:r>
                </w:p>
              </w:tc>
            </w:tr>
            <w:tr w14:paraId="1B4E7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933" w:type="pct"/>
                  <w:noWrap w:val="0"/>
                  <w:vAlign w:val="center"/>
                </w:tcPr>
                <w:p w14:paraId="0601C12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厂区内厂房外</w:t>
                  </w:r>
                </w:p>
              </w:tc>
              <w:tc>
                <w:tcPr>
                  <w:tcW w:w="1026" w:type="pct"/>
                  <w:noWrap w:val="0"/>
                  <w:vAlign w:val="center"/>
                </w:tcPr>
                <w:p w14:paraId="422E498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Cs/>
                      <w:color w:val="auto"/>
                      <w:szCs w:val="21"/>
                      <w:highlight w:val="none"/>
                      <w:u w:val="none" w:color="auto"/>
                      <w:lang w:val="en-US" w:eastAsia="zh-CN"/>
                    </w:rPr>
                  </w:pPr>
                  <w:r>
                    <w:rPr>
                      <w:rFonts w:hint="default" w:ascii="Times New Roman" w:hAnsi="Times New Roman" w:cs="Times New Roman"/>
                      <w:bCs/>
                      <w:color w:val="auto"/>
                      <w:szCs w:val="21"/>
                      <w:highlight w:val="none"/>
                      <w:u w:val="none" w:color="auto"/>
                    </w:rPr>
                    <w:t>VOCs</w:t>
                  </w:r>
                </w:p>
              </w:tc>
              <w:tc>
                <w:tcPr>
                  <w:tcW w:w="591" w:type="pct"/>
                  <w:noWrap w:val="0"/>
                  <w:vAlign w:val="center"/>
                </w:tcPr>
                <w:p w14:paraId="7E9DBB3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pacing w:val="0"/>
                      <w:kern w:val="0"/>
                      <w:sz w:val="21"/>
                      <w:szCs w:val="21"/>
                      <w:highlight w:val="none"/>
                      <w:u w:val="none" w:color="auto"/>
                    </w:rPr>
                  </w:pPr>
                  <w:r>
                    <w:rPr>
                      <w:rFonts w:hint="default" w:ascii="Times New Roman" w:hAnsi="Times New Roman" w:eastAsia="宋体" w:cs="Times New Roman"/>
                      <w:color w:val="auto"/>
                      <w:spacing w:val="0"/>
                      <w:kern w:val="0"/>
                      <w:sz w:val="21"/>
                      <w:szCs w:val="21"/>
                      <w:highlight w:val="none"/>
                      <w:u w:val="none" w:color="auto"/>
                    </w:rPr>
                    <w:t>1次</w:t>
                  </w:r>
                  <w:r>
                    <w:rPr>
                      <w:rFonts w:hint="default" w:ascii="Times New Roman" w:hAnsi="Times New Roman" w:eastAsia="宋体" w:cs="Times New Roman"/>
                      <w:b w:val="0"/>
                      <w:bCs w:val="0"/>
                      <w:color w:val="auto"/>
                      <w:spacing w:val="0"/>
                      <w:sz w:val="21"/>
                      <w:szCs w:val="21"/>
                      <w:highlight w:val="none"/>
                      <w:u w:val="none" w:color="auto"/>
                      <w:vertAlign w:val="baseline"/>
                      <w:lang w:val="en-US" w:eastAsia="zh-CN"/>
                    </w:rPr>
                    <w:t>/</w:t>
                  </w:r>
                  <w:r>
                    <w:rPr>
                      <w:rFonts w:hint="eastAsia" w:ascii="Times New Roman" w:hAnsi="Times New Roman" w:eastAsia="宋体" w:cs="Times New Roman"/>
                      <w:color w:val="auto"/>
                      <w:spacing w:val="0"/>
                      <w:kern w:val="0"/>
                      <w:sz w:val="21"/>
                      <w:szCs w:val="21"/>
                      <w:highlight w:val="none"/>
                      <w:u w:val="none" w:color="auto"/>
                      <w:lang w:val="en-US" w:eastAsia="zh-CN"/>
                    </w:rPr>
                    <w:t>半年</w:t>
                  </w:r>
                </w:p>
              </w:tc>
              <w:tc>
                <w:tcPr>
                  <w:tcW w:w="2448" w:type="pct"/>
                  <w:noWrap w:val="0"/>
                  <w:vAlign w:val="center"/>
                </w:tcPr>
                <w:p w14:paraId="5D9DAA5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厂区内VOCs无组织排放执行《挥发性有机物无组织排放控制标准》（GB37822-2019）表A.1厂区内VOCs无组织排放限值</w:t>
                  </w:r>
                </w:p>
              </w:tc>
            </w:tr>
          </w:tbl>
          <w:p w14:paraId="10E5CD9D">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default" w:ascii="Times New Roman" w:hAnsi="Times New Roman" w:eastAsia="宋体" w:cs="Times New Roman"/>
                <w:b/>
                <w:bCs/>
                <w:color w:val="auto"/>
                <w:sz w:val="24"/>
                <w:szCs w:val="24"/>
                <w:highlight w:val="none"/>
                <w:u w:val="none" w:color="auto"/>
                <w:lang w:val="en-US" w:eastAsia="zh-CN"/>
              </w:rPr>
              <w:t>3、废气非正常工况排放</w:t>
            </w:r>
          </w:p>
          <w:p w14:paraId="78E647D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s="Times New Roman"/>
                <w:b w:val="0"/>
                <w:bCs w:val="0"/>
                <w:color w:val="auto"/>
                <w:sz w:val="24"/>
                <w:szCs w:val="24"/>
                <w:highlight w:val="none"/>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非正常排放是指开停机、设备检修、工艺设备运转异常等非正常情况下的污染物排放，以及污染物排放控制措施达不到应有效率等情况下的排放。</w:t>
            </w:r>
            <w:r>
              <w:rPr>
                <w:rFonts w:hint="default" w:ascii="Times New Roman" w:hAnsi="Times New Roman" w:eastAsia="宋体" w:cs="Times New Roman"/>
                <w:color w:val="auto"/>
                <w:sz w:val="24"/>
                <w:szCs w:val="24"/>
                <w:highlight w:val="none"/>
                <w:u w:val="none" w:color="auto"/>
                <w:lang w:val="en-US" w:eastAsia="zh-CN"/>
              </w:rPr>
              <w:t>本项目</w:t>
            </w:r>
            <w:r>
              <w:rPr>
                <w:rFonts w:hint="default" w:ascii="Times New Roman" w:hAnsi="Times New Roman" w:eastAsia="宋体" w:cs="Times New Roman"/>
                <w:b w:val="0"/>
                <w:bCs w:val="0"/>
                <w:color w:val="auto"/>
                <w:sz w:val="24"/>
                <w:szCs w:val="24"/>
                <w:highlight w:val="none"/>
                <w:u w:val="none" w:color="auto"/>
                <w:lang w:val="en-US" w:eastAsia="zh-CN"/>
              </w:rPr>
              <w:t>废气非正常工况排放主要考虑水帘除尘+干式过滤+活性炭吸附+催化燃烧设施（TA001）</w:t>
            </w:r>
            <w:r>
              <w:rPr>
                <w:rFonts w:hint="eastAsia" w:cs="Times New Roman"/>
                <w:b w:val="0"/>
                <w:bCs w:val="0"/>
                <w:color w:val="auto"/>
                <w:sz w:val="24"/>
                <w:szCs w:val="24"/>
                <w:highlight w:val="none"/>
                <w:u w:val="none" w:color="auto"/>
                <w:lang w:val="en-US" w:eastAsia="zh-CN"/>
              </w:rPr>
              <w:t>、</w:t>
            </w:r>
            <w:r>
              <w:rPr>
                <w:rFonts w:hint="default" w:ascii="Times New Roman" w:hAnsi="Times New Roman" w:eastAsia="宋体" w:cs="Times New Roman"/>
                <w:b w:val="0"/>
                <w:bCs w:val="0"/>
                <w:color w:val="auto"/>
                <w:sz w:val="24"/>
                <w:szCs w:val="24"/>
                <w:highlight w:val="none"/>
                <w:u w:val="none" w:color="auto"/>
                <w:lang w:val="en-US" w:eastAsia="zh-CN"/>
              </w:rPr>
              <w:t>二级活性炭吸附设施（TA002）</w:t>
            </w:r>
            <w:r>
              <w:rPr>
                <w:rFonts w:hint="eastAsia" w:ascii="Times New Roman" w:hAnsi="Times New Roman" w:eastAsia="宋体" w:cs="Times New Roman"/>
                <w:b w:val="0"/>
                <w:bCs w:val="0"/>
                <w:color w:val="auto"/>
                <w:sz w:val="24"/>
                <w:szCs w:val="24"/>
                <w:highlight w:val="none"/>
                <w:u w:val="none" w:color="auto"/>
                <w:lang w:val="en-US" w:eastAsia="zh-CN"/>
              </w:rPr>
              <w:t>处理装置</w:t>
            </w:r>
            <w:r>
              <w:rPr>
                <w:rFonts w:hint="default" w:ascii="Times New Roman" w:hAnsi="Times New Roman" w:eastAsia="宋体" w:cs="Times New Roman"/>
                <w:b w:val="0"/>
                <w:bCs w:val="0"/>
                <w:color w:val="auto"/>
                <w:sz w:val="24"/>
                <w:szCs w:val="24"/>
                <w:highlight w:val="none"/>
                <w:u w:val="none" w:color="auto"/>
                <w:lang w:val="en-US" w:eastAsia="zh-CN"/>
              </w:rPr>
              <w:t>出现故障失效的情形，废气非正常工况排放情况见下表。</w:t>
            </w:r>
          </w:p>
          <w:p w14:paraId="1466FA9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bCs/>
                <w:color w:val="auto"/>
                <w:sz w:val="21"/>
                <w:szCs w:val="21"/>
                <w:highlight w:val="none"/>
                <w:u w:val="none" w:color="auto"/>
                <w:lang w:val="en-US" w:eastAsia="zh-CN"/>
              </w:rPr>
            </w:pPr>
            <w:r>
              <w:rPr>
                <w:rFonts w:hint="default" w:ascii="Times New Roman" w:hAnsi="Times New Roman" w:eastAsia="宋体" w:cs="Times New Roman"/>
                <w:b/>
                <w:bCs/>
                <w:color w:val="auto"/>
                <w:sz w:val="21"/>
                <w:szCs w:val="21"/>
                <w:highlight w:val="none"/>
                <w:u w:val="none" w:color="auto"/>
                <w:lang w:val="en-US" w:eastAsia="zh-CN"/>
              </w:rPr>
              <w:t>表4-</w:t>
            </w:r>
            <w:r>
              <w:rPr>
                <w:rFonts w:hint="eastAsia" w:cs="Times New Roman"/>
                <w:b/>
                <w:bCs/>
                <w:color w:val="auto"/>
                <w:sz w:val="21"/>
                <w:szCs w:val="21"/>
                <w:highlight w:val="none"/>
                <w:u w:val="none" w:color="auto"/>
                <w:lang w:val="en-US" w:eastAsia="zh-CN"/>
              </w:rPr>
              <w:t>8</w:t>
            </w:r>
            <w:r>
              <w:rPr>
                <w:rFonts w:hint="default" w:ascii="Times New Roman" w:hAnsi="Times New Roman" w:eastAsia="宋体" w:cs="Times New Roman"/>
                <w:b/>
                <w:bCs/>
                <w:color w:val="auto"/>
                <w:sz w:val="21"/>
                <w:szCs w:val="21"/>
                <w:highlight w:val="none"/>
                <w:u w:val="none" w:color="auto"/>
                <w:lang w:val="en-US" w:eastAsia="zh-CN"/>
              </w:rPr>
              <w:t xml:space="preserve">   废气非正常工况排放情况</w:t>
            </w:r>
          </w:p>
          <w:tbl>
            <w:tblPr>
              <w:tblStyle w:val="3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1121"/>
              <w:gridCol w:w="1074"/>
              <w:gridCol w:w="1009"/>
              <w:gridCol w:w="972"/>
              <w:gridCol w:w="847"/>
              <w:gridCol w:w="635"/>
              <w:gridCol w:w="771"/>
              <w:gridCol w:w="1982"/>
            </w:tblGrid>
            <w:tr w14:paraId="30D08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blHeader/>
                <w:jc w:val="center"/>
              </w:trPr>
              <w:tc>
                <w:tcPr>
                  <w:tcW w:w="666" w:type="pct"/>
                  <w:tcBorders>
                    <w:tl2br w:val="nil"/>
                    <w:tr2bl w:val="nil"/>
                  </w:tcBorders>
                  <w:noWrap w:val="0"/>
                  <w:tcMar>
                    <w:top w:w="15" w:type="dxa"/>
                    <w:left w:w="108" w:type="dxa"/>
                    <w:bottom w:w="15" w:type="dxa"/>
                    <w:right w:w="108" w:type="dxa"/>
                  </w:tcMar>
                  <w:vAlign w:val="center"/>
                </w:tcPr>
                <w:p w14:paraId="56082DDC">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污染源</w:t>
                  </w:r>
                </w:p>
              </w:tc>
              <w:tc>
                <w:tcPr>
                  <w:tcW w:w="638" w:type="pct"/>
                  <w:tcBorders>
                    <w:tl2br w:val="nil"/>
                    <w:tr2bl w:val="nil"/>
                  </w:tcBorders>
                  <w:noWrap w:val="0"/>
                  <w:vAlign w:val="center"/>
                </w:tcPr>
                <w:p w14:paraId="00B7082C">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非正常排放原因</w:t>
                  </w:r>
                </w:p>
              </w:tc>
              <w:tc>
                <w:tcPr>
                  <w:tcW w:w="599" w:type="pct"/>
                  <w:tcBorders>
                    <w:tl2br w:val="nil"/>
                    <w:tr2bl w:val="nil"/>
                  </w:tcBorders>
                  <w:noWrap w:val="0"/>
                  <w:vAlign w:val="center"/>
                </w:tcPr>
                <w:p w14:paraId="7FFDE55E">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污染物</w:t>
                  </w:r>
                </w:p>
              </w:tc>
              <w:tc>
                <w:tcPr>
                  <w:tcW w:w="577" w:type="pct"/>
                  <w:tcBorders>
                    <w:tl2br w:val="nil"/>
                    <w:tr2bl w:val="nil"/>
                  </w:tcBorders>
                  <w:noWrap w:val="0"/>
                  <w:vAlign w:val="center"/>
                </w:tcPr>
                <w:p w14:paraId="11BD3C84">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非正常排放浓度（mg/m</w:t>
                  </w:r>
                  <w:r>
                    <w:rPr>
                      <w:rFonts w:hint="default" w:ascii="Times New Roman" w:hAnsi="Times New Roman" w:eastAsia="宋体" w:cs="Times New Roman"/>
                      <w:color w:val="auto"/>
                      <w:kern w:val="2"/>
                      <w:sz w:val="21"/>
                      <w:szCs w:val="21"/>
                      <w:highlight w:val="none"/>
                      <w:u w:val="none" w:color="auto"/>
                      <w:vertAlign w:val="superscript"/>
                      <w:lang w:val="en-US" w:eastAsia="zh-CN" w:bidi="ar-SA"/>
                    </w:rPr>
                    <w:t>3</w:t>
                  </w:r>
                  <w:r>
                    <w:rPr>
                      <w:rFonts w:hint="default" w:ascii="Times New Roman" w:hAnsi="Times New Roman" w:eastAsia="宋体" w:cs="Times New Roman"/>
                      <w:color w:val="auto"/>
                      <w:kern w:val="2"/>
                      <w:sz w:val="21"/>
                      <w:szCs w:val="21"/>
                      <w:highlight w:val="none"/>
                      <w:u w:val="none" w:color="auto"/>
                      <w:lang w:val="en-US" w:eastAsia="zh-CN" w:bidi="ar-SA"/>
                    </w:rPr>
                    <w:t>）</w:t>
                  </w:r>
                </w:p>
              </w:tc>
              <w:tc>
                <w:tcPr>
                  <w:tcW w:w="503" w:type="pct"/>
                  <w:tcBorders>
                    <w:tl2br w:val="nil"/>
                    <w:tr2bl w:val="nil"/>
                  </w:tcBorders>
                  <w:noWrap w:val="0"/>
                  <w:vAlign w:val="center"/>
                </w:tcPr>
                <w:p w14:paraId="5400B44F">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非正常排放速率（kg/h）</w:t>
                  </w:r>
                </w:p>
              </w:tc>
              <w:tc>
                <w:tcPr>
                  <w:tcW w:w="377" w:type="pct"/>
                  <w:tcBorders>
                    <w:tl2br w:val="nil"/>
                    <w:tr2bl w:val="nil"/>
                  </w:tcBorders>
                  <w:noWrap w:val="0"/>
                  <w:vAlign w:val="center"/>
                </w:tcPr>
                <w:p w14:paraId="7C295A95">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单次持续时间</w:t>
                  </w:r>
                </w:p>
              </w:tc>
              <w:tc>
                <w:tcPr>
                  <w:tcW w:w="458" w:type="pct"/>
                  <w:tcBorders>
                    <w:tl2br w:val="nil"/>
                    <w:tr2bl w:val="nil"/>
                  </w:tcBorders>
                  <w:noWrap w:val="0"/>
                  <w:vAlign w:val="center"/>
                </w:tcPr>
                <w:p w14:paraId="26C7BB19">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年发生频次</w:t>
                  </w:r>
                </w:p>
              </w:tc>
              <w:tc>
                <w:tcPr>
                  <w:tcW w:w="1178" w:type="pct"/>
                  <w:tcBorders>
                    <w:tl2br w:val="nil"/>
                    <w:tr2bl w:val="nil"/>
                  </w:tcBorders>
                  <w:noWrap w:val="0"/>
                  <w:vAlign w:val="center"/>
                </w:tcPr>
                <w:p w14:paraId="530A2D2F">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应对措施</w:t>
                  </w:r>
                </w:p>
              </w:tc>
            </w:tr>
            <w:tr w14:paraId="63F4D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666" w:type="pct"/>
                  <w:vMerge w:val="restart"/>
                  <w:tcBorders>
                    <w:tl2br w:val="nil"/>
                    <w:tr2bl w:val="nil"/>
                  </w:tcBorders>
                  <w:noWrap w:val="0"/>
                  <w:tcMar>
                    <w:top w:w="15" w:type="dxa"/>
                    <w:left w:w="108" w:type="dxa"/>
                    <w:bottom w:w="15" w:type="dxa"/>
                    <w:right w:w="108" w:type="dxa"/>
                  </w:tcMar>
                  <w:vAlign w:val="center"/>
                </w:tcPr>
                <w:p w14:paraId="5613924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cs="Times New Roman"/>
                      <w:b w:val="0"/>
                      <w:bCs w:val="0"/>
                      <w:color w:val="auto"/>
                      <w:sz w:val="21"/>
                      <w:szCs w:val="21"/>
                      <w:highlight w:val="none"/>
                      <w:u w:val="none" w:color="auto"/>
                      <w:vertAlign w:val="baseline"/>
                      <w:lang w:val="en-US" w:eastAsia="zh-CN"/>
                    </w:rPr>
                    <w:t>喷漆、晾干、烤漆、清洗废气</w:t>
                  </w:r>
                  <w:r>
                    <w:rPr>
                      <w:rFonts w:hint="default" w:ascii="Times New Roman" w:hAnsi="Times New Roman" w:eastAsia="宋体" w:cs="Times New Roman"/>
                      <w:b w:val="0"/>
                      <w:bCs w:val="0"/>
                      <w:color w:val="auto"/>
                      <w:sz w:val="21"/>
                      <w:szCs w:val="21"/>
                      <w:highlight w:val="none"/>
                      <w:u w:val="none" w:color="auto"/>
                      <w:vertAlign w:val="baseline"/>
                      <w:lang w:val="en-US" w:eastAsia="zh-CN"/>
                    </w:rPr>
                    <w:t>排气筒（DA001）</w:t>
                  </w:r>
                </w:p>
              </w:tc>
              <w:tc>
                <w:tcPr>
                  <w:tcW w:w="638" w:type="pct"/>
                  <w:vMerge w:val="restart"/>
                  <w:tcBorders>
                    <w:tl2br w:val="nil"/>
                    <w:tr2bl w:val="nil"/>
                  </w:tcBorders>
                  <w:noWrap w:val="0"/>
                  <w:vAlign w:val="center"/>
                </w:tcPr>
                <w:p w14:paraId="6932BCE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cs="Times New Roman"/>
                      <w:color w:val="auto"/>
                      <w:spacing w:val="0"/>
                      <w:kern w:val="0"/>
                      <w:sz w:val="21"/>
                      <w:szCs w:val="21"/>
                      <w:highlight w:val="none"/>
                      <w:u w:val="none" w:color="auto"/>
                      <w:lang w:val="en-US" w:eastAsia="zh-CN"/>
                    </w:rPr>
                    <w:t>水帘除尘+干式过滤+活性炭吸附+催化燃烧设施</w:t>
                  </w:r>
                  <w:r>
                    <w:rPr>
                      <w:rFonts w:hint="default" w:ascii="Times New Roman" w:hAnsi="Times New Roman" w:eastAsia="宋体" w:cs="Times New Roman"/>
                      <w:color w:val="auto"/>
                      <w:spacing w:val="0"/>
                      <w:kern w:val="0"/>
                      <w:sz w:val="21"/>
                      <w:szCs w:val="21"/>
                      <w:highlight w:val="none"/>
                      <w:u w:val="none" w:color="auto"/>
                      <w:lang w:val="en-US" w:eastAsia="zh-CN"/>
                    </w:rPr>
                    <w:t>出现故障</w:t>
                  </w:r>
                </w:p>
              </w:tc>
              <w:tc>
                <w:tcPr>
                  <w:tcW w:w="599" w:type="pct"/>
                  <w:tcBorders>
                    <w:tl2br w:val="nil"/>
                    <w:tr2bl w:val="nil"/>
                  </w:tcBorders>
                  <w:noWrap w:val="0"/>
                  <w:vAlign w:val="center"/>
                </w:tcPr>
                <w:p w14:paraId="42F94EB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VOCs</w:t>
                  </w:r>
                </w:p>
              </w:tc>
              <w:tc>
                <w:tcPr>
                  <w:tcW w:w="577" w:type="pct"/>
                  <w:tcBorders>
                    <w:tl2br w:val="nil"/>
                    <w:tr2bl w:val="nil"/>
                  </w:tcBorders>
                  <w:noWrap w:val="0"/>
                  <w:vAlign w:val="center"/>
                </w:tcPr>
                <w:p w14:paraId="116AC3A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60.801</w:t>
                  </w:r>
                </w:p>
              </w:tc>
              <w:tc>
                <w:tcPr>
                  <w:tcW w:w="503" w:type="pct"/>
                  <w:tcBorders>
                    <w:tl2br w:val="nil"/>
                    <w:tr2bl w:val="nil"/>
                  </w:tcBorders>
                  <w:noWrap w:val="0"/>
                  <w:vAlign w:val="center"/>
                </w:tcPr>
                <w:p w14:paraId="01D1D00E">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1.703</w:t>
                  </w:r>
                </w:p>
              </w:tc>
              <w:tc>
                <w:tcPr>
                  <w:tcW w:w="377" w:type="pct"/>
                  <w:vMerge w:val="restart"/>
                  <w:tcBorders>
                    <w:tl2br w:val="nil"/>
                    <w:tr2bl w:val="nil"/>
                  </w:tcBorders>
                  <w:noWrap w:val="0"/>
                  <w:vAlign w:val="center"/>
                </w:tcPr>
                <w:p w14:paraId="53860641">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30min</w:t>
                  </w:r>
                </w:p>
              </w:tc>
              <w:tc>
                <w:tcPr>
                  <w:tcW w:w="458" w:type="pct"/>
                  <w:vMerge w:val="restart"/>
                  <w:tcBorders>
                    <w:tl2br w:val="nil"/>
                    <w:tr2bl w:val="nil"/>
                  </w:tcBorders>
                  <w:noWrap w:val="0"/>
                  <w:vAlign w:val="center"/>
                </w:tcPr>
                <w:p w14:paraId="4C6B5E0C">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1次</w:t>
                  </w:r>
                </w:p>
              </w:tc>
              <w:tc>
                <w:tcPr>
                  <w:tcW w:w="1178" w:type="pct"/>
                  <w:vMerge w:val="restart"/>
                  <w:tcBorders>
                    <w:tl2br w:val="nil"/>
                    <w:tr2bl w:val="nil"/>
                  </w:tcBorders>
                  <w:noWrap w:val="0"/>
                  <w:vAlign w:val="center"/>
                </w:tcPr>
                <w:p w14:paraId="37C00B99">
                  <w:pPr>
                    <w:keepNext w:val="0"/>
                    <w:keepLines w:val="0"/>
                    <w:pageBreakBefore w:val="0"/>
                    <w:widowControl w:val="0"/>
                    <w:kinsoku/>
                    <w:wordWrap/>
                    <w:overflowPunct/>
                    <w:topLinePunct w:val="0"/>
                    <w:autoSpaceDE/>
                    <w:autoSpaceDN/>
                    <w:bidi w:val="0"/>
                    <w:spacing w:line="320" w:lineRule="exact"/>
                    <w:ind w:firstLine="0" w:firstLineChars="0"/>
                    <w:jc w:val="both"/>
                    <w:rPr>
                      <w:rFonts w:hint="default"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①定期检查和维护处理设施；②处理设施发生故障时，立即停止</w:t>
                  </w:r>
                  <w:r>
                    <w:rPr>
                      <w:rFonts w:hint="eastAsia" w:ascii="Times New Roman" w:hAnsi="Times New Roman" w:eastAsia="宋体" w:cs="Times New Roman"/>
                      <w:color w:val="auto"/>
                      <w:kern w:val="2"/>
                      <w:sz w:val="21"/>
                      <w:szCs w:val="21"/>
                      <w:highlight w:val="none"/>
                      <w:u w:val="none" w:color="auto"/>
                      <w:lang w:val="en-US" w:eastAsia="zh-CN" w:bidi="ar-SA"/>
                    </w:rPr>
                    <w:t>生产</w:t>
                  </w:r>
                  <w:r>
                    <w:rPr>
                      <w:rFonts w:hint="default" w:ascii="Times New Roman" w:hAnsi="Times New Roman" w:eastAsia="宋体" w:cs="Times New Roman"/>
                      <w:color w:val="auto"/>
                      <w:kern w:val="2"/>
                      <w:sz w:val="21"/>
                      <w:szCs w:val="21"/>
                      <w:highlight w:val="none"/>
                      <w:u w:val="none" w:color="auto"/>
                      <w:lang w:val="en-US" w:eastAsia="zh-CN" w:bidi="ar-SA"/>
                    </w:rPr>
                    <w:t>，进行维修。</w:t>
                  </w:r>
                </w:p>
              </w:tc>
            </w:tr>
            <w:tr w14:paraId="09F03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666" w:type="pct"/>
                  <w:vMerge w:val="continue"/>
                  <w:tcBorders>
                    <w:tl2br w:val="nil"/>
                    <w:tr2bl w:val="nil"/>
                  </w:tcBorders>
                  <w:noWrap w:val="0"/>
                  <w:tcMar>
                    <w:top w:w="15" w:type="dxa"/>
                    <w:left w:w="108" w:type="dxa"/>
                    <w:bottom w:w="15" w:type="dxa"/>
                    <w:right w:w="108" w:type="dxa"/>
                  </w:tcMar>
                  <w:vAlign w:val="center"/>
                </w:tcPr>
                <w:p w14:paraId="591B4BD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p>
              </w:tc>
              <w:tc>
                <w:tcPr>
                  <w:tcW w:w="638" w:type="pct"/>
                  <w:vMerge w:val="continue"/>
                  <w:tcBorders>
                    <w:tl2br w:val="nil"/>
                    <w:tr2bl w:val="nil"/>
                  </w:tcBorders>
                  <w:noWrap w:val="0"/>
                  <w:vAlign w:val="center"/>
                </w:tcPr>
                <w:p w14:paraId="3D311BF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p>
              </w:tc>
              <w:tc>
                <w:tcPr>
                  <w:tcW w:w="599" w:type="pct"/>
                  <w:tcBorders>
                    <w:tl2br w:val="nil"/>
                    <w:tr2bl w:val="nil"/>
                  </w:tcBorders>
                  <w:noWrap w:val="0"/>
                  <w:vAlign w:val="center"/>
                </w:tcPr>
                <w:p w14:paraId="15C66E33">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二甲苯</w:t>
                  </w:r>
                </w:p>
              </w:tc>
              <w:tc>
                <w:tcPr>
                  <w:tcW w:w="577" w:type="pct"/>
                  <w:tcBorders>
                    <w:tl2br w:val="nil"/>
                    <w:tr2bl w:val="nil"/>
                  </w:tcBorders>
                  <w:noWrap w:val="0"/>
                  <w:vAlign w:val="center"/>
                </w:tcPr>
                <w:p w14:paraId="2307DAED">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18.442</w:t>
                  </w:r>
                </w:p>
              </w:tc>
              <w:tc>
                <w:tcPr>
                  <w:tcW w:w="503" w:type="pct"/>
                  <w:tcBorders>
                    <w:tl2br w:val="nil"/>
                    <w:tr2bl w:val="nil"/>
                  </w:tcBorders>
                  <w:noWrap w:val="0"/>
                  <w:vAlign w:val="center"/>
                </w:tcPr>
                <w:p w14:paraId="5437F687">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0.517</w:t>
                  </w:r>
                </w:p>
              </w:tc>
              <w:tc>
                <w:tcPr>
                  <w:tcW w:w="377" w:type="pct"/>
                  <w:vMerge w:val="continue"/>
                  <w:tcBorders>
                    <w:tl2br w:val="nil"/>
                    <w:tr2bl w:val="nil"/>
                  </w:tcBorders>
                  <w:noWrap w:val="0"/>
                  <w:vAlign w:val="center"/>
                </w:tcPr>
                <w:p w14:paraId="77A295A4">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458" w:type="pct"/>
                  <w:vMerge w:val="continue"/>
                  <w:tcBorders>
                    <w:tl2br w:val="nil"/>
                    <w:tr2bl w:val="nil"/>
                  </w:tcBorders>
                  <w:noWrap w:val="0"/>
                  <w:vAlign w:val="center"/>
                </w:tcPr>
                <w:p w14:paraId="5387AE55">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1178" w:type="pct"/>
                  <w:vMerge w:val="continue"/>
                  <w:tcBorders>
                    <w:tl2br w:val="nil"/>
                    <w:tr2bl w:val="nil"/>
                  </w:tcBorders>
                  <w:noWrap w:val="0"/>
                  <w:vAlign w:val="center"/>
                </w:tcPr>
                <w:p w14:paraId="33A7F552">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r>
            <w:tr w14:paraId="2EE90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666" w:type="pct"/>
                  <w:vMerge w:val="continue"/>
                  <w:tcBorders>
                    <w:tl2br w:val="nil"/>
                    <w:tr2bl w:val="nil"/>
                  </w:tcBorders>
                  <w:noWrap w:val="0"/>
                  <w:tcMar>
                    <w:top w:w="15" w:type="dxa"/>
                    <w:left w:w="108" w:type="dxa"/>
                    <w:bottom w:w="15" w:type="dxa"/>
                    <w:right w:w="108" w:type="dxa"/>
                  </w:tcMar>
                  <w:vAlign w:val="center"/>
                </w:tcPr>
                <w:p w14:paraId="4A74456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p>
              </w:tc>
              <w:tc>
                <w:tcPr>
                  <w:tcW w:w="638" w:type="pct"/>
                  <w:vMerge w:val="continue"/>
                  <w:tcBorders>
                    <w:tl2br w:val="nil"/>
                    <w:tr2bl w:val="nil"/>
                  </w:tcBorders>
                  <w:noWrap w:val="0"/>
                  <w:vAlign w:val="center"/>
                </w:tcPr>
                <w:p w14:paraId="3AFAB45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p>
              </w:tc>
              <w:tc>
                <w:tcPr>
                  <w:tcW w:w="599" w:type="pct"/>
                  <w:tcBorders>
                    <w:tl2br w:val="nil"/>
                    <w:tr2bl w:val="nil"/>
                  </w:tcBorders>
                  <w:noWrap w:val="0"/>
                  <w:vAlign w:val="center"/>
                </w:tcPr>
                <w:p w14:paraId="5A9F92A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甲苯</w:t>
                  </w:r>
                </w:p>
              </w:tc>
              <w:tc>
                <w:tcPr>
                  <w:tcW w:w="577" w:type="pct"/>
                  <w:tcBorders>
                    <w:tl2br w:val="nil"/>
                    <w:tr2bl w:val="nil"/>
                  </w:tcBorders>
                  <w:noWrap w:val="0"/>
                  <w:vAlign w:val="center"/>
                </w:tcPr>
                <w:p w14:paraId="27FC3B60">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3.604</w:t>
                  </w:r>
                </w:p>
              </w:tc>
              <w:tc>
                <w:tcPr>
                  <w:tcW w:w="503" w:type="pct"/>
                  <w:tcBorders>
                    <w:tl2br w:val="nil"/>
                    <w:tr2bl w:val="nil"/>
                  </w:tcBorders>
                  <w:noWrap w:val="0"/>
                  <w:vAlign w:val="center"/>
                </w:tcPr>
                <w:p w14:paraId="1F753380">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0.101</w:t>
                  </w:r>
                </w:p>
              </w:tc>
              <w:tc>
                <w:tcPr>
                  <w:tcW w:w="377" w:type="pct"/>
                  <w:vMerge w:val="continue"/>
                  <w:tcBorders>
                    <w:tl2br w:val="nil"/>
                    <w:tr2bl w:val="nil"/>
                  </w:tcBorders>
                  <w:noWrap w:val="0"/>
                  <w:vAlign w:val="center"/>
                </w:tcPr>
                <w:p w14:paraId="1A3776FB">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458" w:type="pct"/>
                  <w:vMerge w:val="continue"/>
                  <w:tcBorders>
                    <w:tl2br w:val="nil"/>
                    <w:tr2bl w:val="nil"/>
                  </w:tcBorders>
                  <w:noWrap w:val="0"/>
                  <w:vAlign w:val="center"/>
                </w:tcPr>
                <w:p w14:paraId="27297DEF">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1178" w:type="pct"/>
                  <w:vMerge w:val="continue"/>
                  <w:tcBorders>
                    <w:tl2br w:val="nil"/>
                    <w:tr2bl w:val="nil"/>
                  </w:tcBorders>
                  <w:noWrap w:val="0"/>
                  <w:vAlign w:val="center"/>
                </w:tcPr>
                <w:p w14:paraId="50FD838F">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r>
            <w:tr w14:paraId="7796E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666" w:type="pct"/>
                  <w:vMerge w:val="continue"/>
                  <w:tcBorders>
                    <w:tl2br w:val="nil"/>
                    <w:tr2bl w:val="nil"/>
                  </w:tcBorders>
                  <w:noWrap w:val="0"/>
                  <w:tcMar>
                    <w:top w:w="15" w:type="dxa"/>
                    <w:left w:w="108" w:type="dxa"/>
                    <w:bottom w:w="15" w:type="dxa"/>
                    <w:right w:w="108" w:type="dxa"/>
                  </w:tcMar>
                  <w:vAlign w:val="center"/>
                </w:tcPr>
                <w:p w14:paraId="3F4F3DB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p>
              </w:tc>
              <w:tc>
                <w:tcPr>
                  <w:tcW w:w="638" w:type="pct"/>
                  <w:vMerge w:val="continue"/>
                  <w:tcBorders>
                    <w:tl2br w:val="nil"/>
                    <w:tr2bl w:val="nil"/>
                  </w:tcBorders>
                  <w:noWrap w:val="0"/>
                  <w:vAlign w:val="center"/>
                </w:tcPr>
                <w:p w14:paraId="090BB5C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p>
              </w:tc>
              <w:tc>
                <w:tcPr>
                  <w:tcW w:w="599" w:type="pct"/>
                  <w:tcBorders>
                    <w:tl2br w:val="nil"/>
                    <w:tr2bl w:val="nil"/>
                  </w:tcBorders>
                  <w:noWrap w:val="0"/>
                  <w:vAlign w:val="center"/>
                </w:tcPr>
                <w:p w14:paraId="7DB3A200">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漆雾（颗粒物）</w:t>
                  </w:r>
                </w:p>
              </w:tc>
              <w:tc>
                <w:tcPr>
                  <w:tcW w:w="577" w:type="pct"/>
                  <w:tcBorders>
                    <w:tl2br w:val="nil"/>
                    <w:tr2bl w:val="nil"/>
                  </w:tcBorders>
                  <w:noWrap w:val="0"/>
                  <w:vAlign w:val="center"/>
                </w:tcPr>
                <w:p w14:paraId="09DDEB6E">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10.9979 </w:t>
                  </w:r>
                </w:p>
              </w:tc>
              <w:tc>
                <w:tcPr>
                  <w:tcW w:w="503" w:type="pct"/>
                  <w:tcBorders>
                    <w:tl2br w:val="nil"/>
                    <w:tr2bl w:val="nil"/>
                  </w:tcBorders>
                  <w:noWrap w:val="0"/>
                  <w:vAlign w:val="center"/>
                </w:tcPr>
                <w:p w14:paraId="41E6336B">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 xml:space="preserve">0.3080 </w:t>
                  </w:r>
                </w:p>
              </w:tc>
              <w:tc>
                <w:tcPr>
                  <w:tcW w:w="377" w:type="pct"/>
                  <w:vMerge w:val="continue"/>
                  <w:tcBorders>
                    <w:tl2br w:val="nil"/>
                    <w:tr2bl w:val="nil"/>
                  </w:tcBorders>
                  <w:noWrap w:val="0"/>
                  <w:vAlign w:val="center"/>
                </w:tcPr>
                <w:p w14:paraId="2D636510">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458" w:type="pct"/>
                  <w:vMerge w:val="continue"/>
                  <w:tcBorders>
                    <w:tl2br w:val="nil"/>
                    <w:tr2bl w:val="nil"/>
                  </w:tcBorders>
                  <w:noWrap w:val="0"/>
                  <w:vAlign w:val="center"/>
                </w:tcPr>
                <w:p w14:paraId="1A45ECD3">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1178" w:type="pct"/>
                  <w:vMerge w:val="continue"/>
                  <w:tcBorders>
                    <w:tl2br w:val="nil"/>
                    <w:tr2bl w:val="nil"/>
                  </w:tcBorders>
                  <w:noWrap w:val="0"/>
                  <w:vAlign w:val="center"/>
                </w:tcPr>
                <w:p w14:paraId="33D3F5C1">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r>
            <w:tr w14:paraId="3F171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666" w:type="pct"/>
                  <w:vMerge w:val="continue"/>
                  <w:tcBorders>
                    <w:tl2br w:val="nil"/>
                    <w:tr2bl w:val="nil"/>
                  </w:tcBorders>
                  <w:noWrap w:val="0"/>
                  <w:tcMar>
                    <w:top w:w="15" w:type="dxa"/>
                    <w:left w:w="108" w:type="dxa"/>
                    <w:bottom w:w="15" w:type="dxa"/>
                    <w:right w:w="108" w:type="dxa"/>
                  </w:tcMar>
                  <w:vAlign w:val="center"/>
                </w:tcPr>
                <w:p w14:paraId="23AE4AB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p>
              </w:tc>
              <w:tc>
                <w:tcPr>
                  <w:tcW w:w="638" w:type="pct"/>
                  <w:vMerge w:val="continue"/>
                  <w:tcBorders>
                    <w:tl2br w:val="nil"/>
                    <w:tr2bl w:val="nil"/>
                  </w:tcBorders>
                  <w:noWrap w:val="0"/>
                  <w:vAlign w:val="center"/>
                </w:tcPr>
                <w:p w14:paraId="08F3E10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p>
              </w:tc>
              <w:tc>
                <w:tcPr>
                  <w:tcW w:w="599" w:type="pct"/>
                  <w:tcBorders>
                    <w:tl2br w:val="nil"/>
                    <w:tr2bl w:val="nil"/>
                  </w:tcBorders>
                  <w:noWrap w:val="0"/>
                  <w:vAlign w:val="center"/>
                </w:tcPr>
                <w:p w14:paraId="0C2D8BF9">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SO</w:t>
                  </w:r>
                  <w:r>
                    <w:rPr>
                      <w:rFonts w:hint="eastAsia" w:eastAsia="宋体" w:cs="Times New Roman"/>
                      <w:b w:val="0"/>
                      <w:bCs/>
                      <w:snapToGrid w:val="0"/>
                      <w:color w:val="auto"/>
                      <w:spacing w:val="4"/>
                      <w:sz w:val="21"/>
                      <w:szCs w:val="21"/>
                      <w:u w:val="none" w:color="auto"/>
                      <w:vertAlign w:val="subscript"/>
                      <w:lang w:val="en-US" w:eastAsia="zh-CN"/>
                    </w:rPr>
                    <w:t>2</w:t>
                  </w:r>
                </w:p>
              </w:tc>
              <w:tc>
                <w:tcPr>
                  <w:tcW w:w="577" w:type="pct"/>
                  <w:tcBorders>
                    <w:tl2br w:val="nil"/>
                    <w:tr2bl w:val="nil"/>
                  </w:tcBorders>
                  <w:noWrap w:val="0"/>
                  <w:vAlign w:val="center"/>
                </w:tcPr>
                <w:p w14:paraId="2D1F39ED">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0.00000025</w:t>
                  </w:r>
                </w:p>
              </w:tc>
              <w:tc>
                <w:tcPr>
                  <w:tcW w:w="503" w:type="pct"/>
                  <w:tcBorders>
                    <w:tl2br w:val="nil"/>
                    <w:tr2bl w:val="nil"/>
                  </w:tcBorders>
                  <w:noWrap w:val="0"/>
                  <w:vAlign w:val="center"/>
                </w:tcPr>
                <w:p w14:paraId="16313367">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0.000000005</w:t>
                  </w:r>
                </w:p>
              </w:tc>
              <w:tc>
                <w:tcPr>
                  <w:tcW w:w="377" w:type="pct"/>
                  <w:vMerge w:val="continue"/>
                  <w:tcBorders>
                    <w:tl2br w:val="nil"/>
                    <w:tr2bl w:val="nil"/>
                  </w:tcBorders>
                  <w:noWrap w:val="0"/>
                  <w:vAlign w:val="center"/>
                </w:tcPr>
                <w:p w14:paraId="2DD6202C">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458" w:type="pct"/>
                  <w:vMerge w:val="continue"/>
                  <w:tcBorders>
                    <w:tl2br w:val="nil"/>
                    <w:tr2bl w:val="nil"/>
                  </w:tcBorders>
                  <w:noWrap w:val="0"/>
                  <w:vAlign w:val="center"/>
                </w:tcPr>
                <w:p w14:paraId="31930D9F">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1178" w:type="pct"/>
                  <w:vMerge w:val="continue"/>
                  <w:tcBorders>
                    <w:tl2br w:val="nil"/>
                    <w:tr2bl w:val="nil"/>
                  </w:tcBorders>
                  <w:noWrap w:val="0"/>
                  <w:vAlign w:val="center"/>
                </w:tcPr>
                <w:p w14:paraId="4D4EF190">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r>
            <w:tr w14:paraId="059C0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666" w:type="pct"/>
                  <w:vMerge w:val="continue"/>
                  <w:tcBorders>
                    <w:tl2br w:val="nil"/>
                    <w:tr2bl w:val="nil"/>
                  </w:tcBorders>
                  <w:noWrap w:val="0"/>
                  <w:tcMar>
                    <w:top w:w="15" w:type="dxa"/>
                    <w:left w:w="108" w:type="dxa"/>
                    <w:bottom w:w="15" w:type="dxa"/>
                    <w:right w:w="108" w:type="dxa"/>
                  </w:tcMar>
                  <w:vAlign w:val="center"/>
                </w:tcPr>
                <w:p w14:paraId="0CC7C85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p>
              </w:tc>
              <w:tc>
                <w:tcPr>
                  <w:tcW w:w="638" w:type="pct"/>
                  <w:vMerge w:val="continue"/>
                  <w:tcBorders>
                    <w:tl2br w:val="nil"/>
                    <w:tr2bl w:val="nil"/>
                  </w:tcBorders>
                  <w:noWrap w:val="0"/>
                  <w:vAlign w:val="center"/>
                </w:tcPr>
                <w:p w14:paraId="0301AA7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p>
              </w:tc>
              <w:tc>
                <w:tcPr>
                  <w:tcW w:w="599" w:type="pct"/>
                  <w:tcBorders>
                    <w:tl2br w:val="nil"/>
                    <w:tr2bl w:val="nil"/>
                  </w:tcBorders>
                  <w:noWrap w:val="0"/>
                  <w:vAlign w:val="center"/>
                </w:tcPr>
                <w:p w14:paraId="7D4B9553">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氮氧化物</w:t>
                  </w:r>
                </w:p>
              </w:tc>
              <w:tc>
                <w:tcPr>
                  <w:tcW w:w="577" w:type="pct"/>
                  <w:tcBorders>
                    <w:tl2br w:val="nil"/>
                    <w:tr2bl w:val="nil"/>
                  </w:tcBorders>
                  <w:shd w:val="clear" w:color="auto" w:fill="auto"/>
                  <w:noWrap w:val="0"/>
                  <w:vAlign w:val="center"/>
                </w:tcPr>
                <w:p w14:paraId="235DEF17">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60.801</w:t>
                  </w:r>
                </w:p>
              </w:tc>
              <w:tc>
                <w:tcPr>
                  <w:tcW w:w="503" w:type="pct"/>
                  <w:tcBorders>
                    <w:tl2br w:val="nil"/>
                    <w:tr2bl w:val="nil"/>
                  </w:tcBorders>
                  <w:shd w:val="clear" w:color="auto" w:fill="auto"/>
                  <w:noWrap w:val="0"/>
                  <w:vAlign w:val="center"/>
                </w:tcPr>
                <w:p w14:paraId="607DC41E">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1.703</w:t>
                  </w:r>
                </w:p>
              </w:tc>
              <w:tc>
                <w:tcPr>
                  <w:tcW w:w="377" w:type="pct"/>
                  <w:vMerge w:val="continue"/>
                  <w:tcBorders>
                    <w:tl2br w:val="nil"/>
                    <w:tr2bl w:val="nil"/>
                  </w:tcBorders>
                  <w:noWrap w:val="0"/>
                  <w:vAlign w:val="center"/>
                </w:tcPr>
                <w:p w14:paraId="3DEC9C2C">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458" w:type="pct"/>
                  <w:vMerge w:val="continue"/>
                  <w:tcBorders>
                    <w:tl2br w:val="nil"/>
                    <w:tr2bl w:val="nil"/>
                  </w:tcBorders>
                  <w:noWrap w:val="0"/>
                  <w:vAlign w:val="center"/>
                </w:tcPr>
                <w:p w14:paraId="1A704C4B">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1178" w:type="pct"/>
                  <w:vMerge w:val="continue"/>
                  <w:tcBorders>
                    <w:tl2br w:val="nil"/>
                    <w:tr2bl w:val="nil"/>
                  </w:tcBorders>
                  <w:noWrap w:val="0"/>
                  <w:vAlign w:val="center"/>
                </w:tcPr>
                <w:p w14:paraId="0F4EE440">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r>
            <w:tr w14:paraId="3337B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666" w:type="pct"/>
                  <w:vMerge w:val="restart"/>
                  <w:tcBorders>
                    <w:tl2br w:val="nil"/>
                    <w:tr2bl w:val="nil"/>
                  </w:tcBorders>
                  <w:noWrap w:val="0"/>
                  <w:tcMar>
                    <w:top w:w="15" w:type="dxa"/>
                    <w:left w:w="108" w:type="dxa"/>
                    <w:bottom w:w="15" w:type="dxa"/>
                    <w:right w:w="108" w:type="dxa"/>
                  </w:tcMar>
                  <w:vAlign w:val="center"/>
                </w:tcPr>
                <w:p w14:paraId="29DDF7F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default" w:eastAsia="宋体" w:cs="Times New Roman"/>
                      <w:b w:val="0"/>
                      <w:bCs/>
                      <w:snapToGrid w:val="0"/>
                      <w:color w:val="auto"/>
                      <w:spacing w:val="4"/>
                      <w:sz w:val="21"/>
                      <w:szCs w:val="21"/>
                      <w:u w:val="none" w:color="auto"/>
                      <w:lang w:val="en-US" w:eastAsia="zh-CN"/>
                    </w:rPr>
                    <w:t>调漆、</w:t>
                  </w:r>
                  <w:r>
                    <w:rPr>
                      <w:rFonts w:hint="eastAsia" w:cs="Times New Roman"/>
                      <w:b w:val="0"/>
                      <w:bCs/>
                      <w:snapToGrid w:val="0"/>
                      <w:color w:val="auto"/>
                      <w:spacing w:val="4"/>
                      <w:sz w:val="21"/>
                      <w:szCs w:val="21"/>
                      <w:u w:val="none" w:color="auto"/>
                      <w:lang w:val="en-US" w:eastAsia="zh-CN"/>
                    </w:rPr>
                    <w:t>车间工艺</w:t>
                  </w:r>
                  <w:r>
                    <w:rPr>
                      <w:rFonts w:hint="default" w:ascii="Times New Roman" w:hAnsi="Times New Roman" w:eastAsia="宋体" w:cs="Times New Roman"/>
                      <w:b w:val="0"/>
                      <w:bCs w:val="0"/>
                      <w:color w:val="auto"/>
                      <w:sz w:val="21"/>
                      <w:szCs w:val="21"/>
                      <w:highlight w:val="none"/>
                      <w:u w:val="none" w:color="auto"/>
                      <w:vertAlign w:val="baseline"/>
                      <w:lang w:val="en-US" w:eastAsia="zh-CN"/>
                    </w:rPr>
                    <w:t>废气排气筒（DA002）</w:t>
                  </w:r>
                </w:p>
              </w:tc>
              <w:tc>
                <w:tcPr>
                  <w:tcW w:w="638" w:type="pct"/>
                  <w:vMerge w:val="restart"/>
                  <w:tcBorders>
                    <w:tl2br w:val="nil"/>
                    <w:tr2bl w:val="nil"/>
                  </w:tcBorders>
                  <w:noWrap w:val="0"/>
                  <w:vAlign w:val="center"/>
                </w:tcPr>
                <w:p w14:paraId="3F7A98C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default" w:ascii="Times New Roman" w:hAnsi="Times New Roman" w:eastAsia="宋体" w:cs="Times New Roman"/>
                      <w:color w:val="auto"/>
                      <w:spacing w:val="0"/>
                      <w:kern w:val="0"/>
                      <w:sz w:val="21"/>
                      <w:szCs w:val="21"/>
                      <w:highlight w:val="none"/>
                      <w:u w:val="none" w:color="auto"/>
                      <w:lang w:val="en-US" w:eastAsia="zh-CN"/>
                    </w:rPr>
                    <w:t>二级活性炭吸附设施出现故障</w:t>
                  </w:r>
                </w:p>
              </w:tc>
              <w:tc>
                <w:tcPr>
                  <w:tcW w:w="599" w:type="pct"/>
                  <w:tcBorders>
                    <w:tl2br w:val="nil"/>
                    <w:tr2bl w:val="nil"/>
                  </w:tcBorders>
                  <w:shd w:val="clear" w:color="auto" w:fill="auto"/>
                  <w:noWrap w:val="0"/>
                  <w:vAlign w:val="center"/>
                </w:tcPr>
                <w:p w14:paraId="237BA145">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VOCs</w:t>
                  </w:r>
                </w:p>
              </w:tc>
              <w:tc>
                <w:tcPr>
                  <w:tcW w:w="577" w:type="pct"/>
                  <w:tcBorders>
                    <w:tl2br w:val="nil"/>
                    <w:tr2bl w:val="nil"/>
                  </w:tcBorders>
                  <w:noWrap w:val="0"/>
                  <w:vAlign w:val="center"/>
                </w:tcPr>
                <w:p w14:paraId="4DA20263">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26.929</w:t>
                  </w:r>
                </w:p>
              </w:tc>
              <w:tc>
                <w:tcPr>
                  <w:tcW w:w="503" w:type="pct"/>
                  <w:tcBorders>
                    <w:tl2br w:val="nil"/>
                    <w:tr2bl w:val="nil"/>
                  </w:tcBorders>
                  <w:noWrap w:val="0"/>
                  <w:vAlign w:val="center"/>
                </w:tcPr>
                <w:p w14:paraId="489553D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0.269</w:t>
                  </w:r>
                </w:p>
              </w:tc>
              <w:tc>
                <w:tcPr>
                  <w:tcW w:w="377" w:type="pct"/>
                  <w:vMerge w:val="restart"/>
                  <w:tcBorders>
                    <w:tl2br w:val="nil"/>
                    <w:tr2bl w:val="nil"/>
                  </w:tcBorders>
                  <w:noWrap w:val="0"/>
                  <w:vAlign w:val="center"/>
                </w:tcPr>
                <w:p w14:paraId="39DB7E0B">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30min</w:t>
                  </w:r>
                </w:p>
              </w:tc>
              <w:tc>
                <w:tcPr>
                  <w:tcW w:w="458" w:type="pct"/>
                  <w:vMerge w:val="restart"/>
                  <w:tcBorders>
                    <w:tl2br w:val="nil"/>
                    <w:tr2bl w:val="nil"/>
                  </w:tcBorders>
                  <w:noWrap w:val="0"/>
                  <w:vAlign w:val="center"/>
                </w:tcPr>
                <w:p w14:paraId="64F5B4A6">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1次</w:t>
                  </w:r>
                </w:p>
              </w:tc>
              <w:tc>
                <w:tcPr>
                  <w:tcW w:w="1178" w:type="pct"/>
                  <w:vMerge w:val="continue"/>
                  <w:tcBorders>
                    <w:tl2br w:val="nil"/>
                    <w:tr2bl w:val="nil"/>
                  </w:tcBorders>
                  <w:noWrap w:val="0"/>
                  <w:vAlign w:val="center"/>
                </w:tcPr>
                <w:p w14:paraId="0AD153F2">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r>
            <w:tr w14:paraId="0CE3C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666" w:type="pct"/>
                  <w:vMerge w:val="continue"/>
                  <w:tcBorders>
                    <w:tl2br w:val="nil"/>
                    <w:tr2bl w:val="nil"/>
                  </w:tcBorders>
                  <w:noWrap w:val="0"/>
                  <w:tcMar>
                    <w:top w:w="15" w:type="dxa"/>
                    <w:left w:w="108" w:type="dxa"/>
                    <w:bottom w:w="15" w:type="dxa"/>
                    <w:right w:w="108" w:type="dxa"/>
                  </w:tcMar>
                  <w:vAlign w:val="center"/>
                </w:tcPr>
                <w:p w14:paraId="14A54D9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p>
              </w:tc>
              <w:tc>
                <w:tcPr>
                  <w:tcW w:w="638" w:type="pct"/>
                  <w:vMerge w:val="continue"/>
                  <w:tcBorders>
                    <w:tl2br w:val="nil"/>
                    <w:tr2bl w:val="nil"/>
                  </w:tcBorders>
                  <w:noWrap w:val="0"/>
                  <w:vAlign w:val="center"/>
                </w:tcPr>
                <w:p w14:paraId="0755205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p>
              </w:tc>
              <w:tc>
                <w:tcPr>
                  <w:tcW w:w="599" w:type="pct"/>
                  <w:tcBorders>
                    <w:tl2br w:val="nil"/>
                    <w:tr2bl w:val="nil"/>
                  </w:tcBorders>
                  <w:shd w:val="clear" w:color="auto" w:fill="auto"/>
                  <w:noWrap w:val="0"/>
                  <w:vAlign w:val="center"/>
                </w:tcPr>
                <w:p w14:paraId="2CB1C8B3">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二甲苯</w:t>
                  </w:r>
                </w:p>
              </w:tc>
              <w:tc>
                <w:tcPr>
                  <w:tcW w:w="577" w:type="pct"/>
                  <w:tcBorders>
                    <w:tl2br w:val="nil"/>
                    <w:tr2bl w:val="nil"/>
                  </w:tcBorders>
                  <w:noWrap w:val="0"/>
                  <w:vAlign w:val="center"/>
                </w:tcPr>
                <w:p w14:paraId="4789420E">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10.564</w:t>
                  </w:r>
                </w:p>
              </w:tc>
              <w:tc>
                <w:tcPr>
                  <w:tcW w:w="503" w:type="pct"/>
                  <w:tcBorders>
                    <w:tl2br w:val="nil"/>
                    <w:tr2bl w:val="nil"/>
                  </w:tcBorders>
                  <w:noWrap w:val="0"/>
                  <w:vAlign w:val="center"/>
                </w:tcPr>
                <w:p w14:paraId="0D98CAAB">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0.105</w:t>
                  </w:r>
                </w:p>
              </w:tc>
              <w:tc>
                <w:tcPr>
                  <w:tcW w:w="377" w:type="pct"/>
                  <w:vMerge w:val="continue"/>
                  <w:tcBorders>
                    <w:tl2br w:val="nil"/>
                    <w:tr2bl w:val="nil"/>
                  </w:tcBorders>
                  <w:noWrap w:val="0"/>
                  <w:vAlign w:val="center"/>
                </w:tcPr>
                <w:p w14:paraId="42E6E423">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458" w:type="pct"/>
                  <w:vMerge w:val="continue"/>
                  <w:tcBorders>
                    <w:tl2br w:val="nil"/>
                    <w:tr2bl w:val="nil"/>
                  </w:tcBorders>
                  <w:noWrap w:val="0"/>
                  <w:vAlign w:val="center"/>
                </w:tcPr>
                <w:p w14:paraId="45D17F04">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1178" w:type="pct"/>
                  <w:vMerge w:val="continue"/>
                  <w:tcBorders>
                    <w:tl2br w:val="nil"/>
                    <w:tr2bl w:val="nil"/>
                  </w:tcBorders>
                  <w:noWrap w:val="0"/>
                  <w:vAlign w:val="center"/>
                </w:tcPr>
                <w:p w14:paraId="7F552B35">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r>
            <w:tr w14:paraId="2270B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666" w:type="pct"/>
                  <w:vMerge w:val="continue"/>
                  <w:tcBorders>
                    <w:tl2br w:val="nil"/>
                    <w:tr2bl w:val="nil"/>
                  </w:tcBorders>
                  <w:noWrap w:val="0"/>
                  <w:tcMar>
                    <w:top w:w="15" w:type="dxa"/>
                    <w:left w:w="108" w:type="dxa"/>
                    <w:bottom w:w="15" w:type="dxa"/>
                    <w:right w:w="108" w:type="dxa"/>
                  </w:tcMar>
                  <w:vAlign w:val="center"/>
                </w:tcPr>
                <w:p w14:paraId="19FA008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p>
              </w:tc>
              <w:tc>
                <w:tcPr>
                  <w:tcW w:w="638" w:type="pct"/>
                  <w:vMerge w:val="continue"/>
                  <w:tcBorders>
                    <w:tl2br w:val="nil"/>
                    <w:tr2bl w:val="nil"/>
                  </w:tcBorders>
                  <w:noWrap w:val="0"/>
                  <w:vAlign w:val="center"/>
                </w:tcPr>
                <w:p w14:paraId="018222B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p>
              </w:tc>
              <w:tc>
                <w:tcPr>
                  <w:tcW w:w="599" w:type="pct"/>
                  <w:tcBorders>
                    <w:tl2br w:val="nil"/>
                    <w:tr2bl w:val="nil"/>
                  </w:tcBorders>
                  <w:shd w:val="clear" w:color="auto" w:fill="auto"/>
                  <w:noWrap w:val="0"/>
                  <w:vAlign w:val="center"/>
                </w:tcPr>
                <w:p w14:paraId="669C4163">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甲苯</w:t>
                  </w:r>
                </w:p>
              </w:tc>
              <w:tc>
                <w:tcPr>
                  <w:tcW w:w="577" w:type="pct"/>
                  <w:tcBorders>
                    <w:tl2br w:val="nil"/>
                    <w:tr2bl w:val="nil"/>
                  </w:tcBorders>
                  <w:noWrap w:val="0"/>
                  <w:vAlign w:val="center"/>
                </w:tcPr>
                <w:p w14:paraId="15F93F5D">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2.123</w:t>
                  </w:r>
                </w:p>
              </w:tc>
              <w:tc>
                <w:tcPr>
                  <w:tcW w:w="503" w:type="pct"/>
                  <w:tcBorders>
                    <w:tl2br w:val="nil"/>
                    <w:tr2bl w:val="nil"/>
                  </w:tcBorders>
                  <w:noWrap w:val="0"/>
                  <w:vAlign w:val="center"/>
                </w:tcPr>
                <w:p w14:paraId="1B96C327">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0.021</w:t>
                  </w:r>
                </w:p>
              </w:tc>
              <w:tc>
                <w:tcPr>
                  <w:tcW w:w="377" w:type="pct"/>
                  <w:vMerge w:val="continue"/>
                  <w:tcBorders>
                    <w:tl2br w:val="nil"/>
                    <w:tr2bl w:val="nil"/>
                  </w:tcBorders>
                  <w:noWrap w:val="0"/>
                  <w:vAlign w:val="center"/>
                </w:tcPr>
                <w:p w14:paraId="5C1E821A">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458" w:type="pct"/>
                  <w:vMerge w:val="continue"/>
                  <w:tcBorders>
                    <w:tl2br w:val="nil"/>
                    <w:tr2bl w:val="nil"/>
                  </w:tcBorders>
                  <w:noWrap w:val="0"/>
                  <w:vAlign w:val="center"/>
                </w:tcPr>
                <w:p w14:paraId="013B80C5">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1178" w:type="pct"/>
                  <w:vMerge w:val="continue"/>
                  <w:tcBorders>
                    <w:tl2br w:val="nil"/>
                    <w:tr2bl w:val="nil"/>
                  </w:tcBorders>
                  <w:noWrap w:val="0"/>
                  <w:vAlign w:val="center"/>
                </w:tcPr>
                <w:p w14:paraId="572C9FFA">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r>
            <w:tr w14:paraId="66024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666" w:type="pct"/>
                  <w:vMerge w:val="continue"/>
                  <w:vAlign w:val="center"/>
                </w:tcPr>
                <w:p w14:paraId="097178A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p>
              </w:tc>
              <w:tc>
                <w:tcPr>
                  <w:tcW w:w="638" w:type="pct"/>
                  <w:vMerge w:val="continue"/>
                  <w:vAlign w:val="center"/>
                </w:tcPr>
                <w:p w14:paraId="0CBFE0E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p>
              </w:tc>
              <w:tc>
                <w:tcPr>
                  <w:tcW w:w="599" w:type="pct"/>
                  <w:shd w:val="clear" w:color="auto" w:fill="auto"/>
                  <w:vAlign w:val="center"/>
                </w:tcPr>
                <w:p w14:paraId="2D96BE37">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漆雾（颗粒物）</w:t>
                  </w:r>
                </w:p>
              </w:tc>
              <w:tc>
                <w:tcPr>
                  <w:tcW w:w="577" w:type="pct"/>
                  <w:vAlign w:val="center"/>
                </w:tcPr>
                <w:p w14:paraId="102701DF">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2.651</w:t>
                  </w:r>
                </w:p>
              </w:tc>
              <w:tc>
                <w:tcPr>
                  <w:tcW w:w="503" w:type="pct"/>
                  <w:vAlign w:val="center"/>
                </w:tcPr>
                <w:p w14:paraId="73821CEB">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eastAsia="宋体" w:cs="Times New Roman"/>
                      <w:b w:val="0"/>
                      <w:bCs/>
                      <w:snapToGrid w:val="0"/>
                      <w:color w:val="auto"/>
                      <w:spacing w:val="4"/>
                      <w:sz w:val="21"/>
                      <w:szCs w:val="21"/>
                      <w:u w:val="none" w:color="auto"/>
                      <w:lang w:val="en-US" w:eastAsia="zh-CN"/>
                    </w:rPr>
                    <w:t>0.027</w:t>
                  </w:r>
                </w:p>
              </w:tc>
              <w:tc>
                <w:tcPr>
                  <w:tcW w:w="377" w:type="pct"/>
                  <w:vMerge w:val="continue"/>
                  <w:vAlign w:val="center"/>
                </w:tcPr>
                <w:p w14:paraId="06AD7B08">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458" w:type="pct"/>
                  <w:vMerge w:val="continue"/>
                  <w:vAlign w:val="center"/>
                </w:tcPr>
                <w:p w14:paraId="5D96CC1A">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c>
                <w:tcPr>
                  <w:tcW w:w="1178" w:type="pct"/>
                  <w:vMerge w:val="continue"/>
                  <w:vAlign w:val="center"/>
                </w:tcPr>
                <w:p w14:paraId="290814E0">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p>
              </w:tc>
            </w:tr>
          </w:tbl>
          <w:p w14:paraId="14875209">
            <w:pPr>
              <w:pStyle w:val="39"/>
              <w:keepNext w:val="0"/>
              <w:keepLines w:val="0"/>
              <w:pageBreakBefore w:val="0"/>
              <w:widowControl w:val="0"/>
              <w:kinsoku/>
              <w:wordWrap/>
              <w:overflowPunct/>
              <w:topLinePunct w:val="0"/>
              <w:bidi w:val="0"/>
              <w:snapToGrid/>
              <w:spacing w:line="420" w:lineRule="exact"/>
              <w:ind w:left="0" w:leftChars="0" w:firstLine="480" w:firstLineChars="200"/>
              <w:textAlignment w:val="auto"/>
              <w:rPr>
                <w:rFonts w:hint="default" w:ascii="Times New Roman" w:hAnsi="Times New Roman" w:eastAsia="宋体" w:cs="Times New Roman"/>
                <w:b w:val="0"/>
                <w:bCs w:val="0"/>
                <w:color w:val="auto"/>
                <w:sz w:val="24"/>
                <w:szCs w:val="24"/>
                <w:highlight w:val="yellow"/>
                <w:u w:val="none" w:color="auto"/>
                <w:lang w:val="en-US" w:eastAsia="zh-CN"/>
              </w:rPr>
            </w:pPr>
            <w:r>
              <w:rPr>
                <w:rFonts w:hint="eastAsia" w:ascii="Times New Roman" w:hAnsi="Times New Roman" w:cs="Times New Roman"/>
                <w:b w:val="0"/>
                <w:bCs w:val="0"/>
                <w:color w:val="auto"/>
                <w:sz w:val="24"/>
                <w:szCs w:val="24"/>
                <w:highlight w:val="none"/>
                <w:u w:val="none" w:color="auto"/>
                <w:lang w:val="en-US" w:eastAsia="zh-CN"/>
              </w:rPr>
              <w:t>建设单位应</w:t>
            </w:r>
            <w:r>
              <w:rPr>
                <w:rFonts w:hint="default" w:ascii="Times New Roman" w:hAnsi="Times New Roman" w:eastAsia="宋体" w:cs="Times New Roman"/>
                <w:b w:val="0"/>
                <w:bCs w:val="0"/>
                <w:color w:val="auto"/>
                <w:sz w:val="24"/>
                <w:szCs w:val="24"/>
                <w:highlight w:val="none"/>
                <w:u w:val="none" w:color="auto"/>
                <w:lang w:val="en-US" w:eastAsia="zh-CN"/>
              </w:rPr>
              <w:t>定期检查和维护</w:t>
            </w:r>
            <w:r>
              <w:rPr>
                <w:rFonts w:hint="eastAsia" w:ascii="Times New Roman" w:hAnsi="Times New Roman" w:cs="Times New Roman"/>
                <w:b w:val="0"/>
                <w:bCs w:val="0"/>
                <w:color w:val="auto"/>
                <w:sz w:val="24"/>
                <w:szCs w:val="24"/>
                <w:highlight w:val="none"/>
                <w:u w:val="none" w:color="auto"/>
                <w:lang w:val="en-US" w:eastAsia="zh-CN"/>
              </w:rPr>
              <w:t>废气</w:t>
            </w:r>
            <w:r>
              <w:rPr>
                <w:rFonts w:hint="default" w:ascii="Times New Roman" w:hAnsi="Times New Roman" w:eastAsia="宋体" w:cs="Times New Roman"/>
                <w:b w:val="0"/>
                <w:bCs w:val="0"/>
                <w:color w:val="auto"/>
                <w:sz w:val="24"/>
                <w:szCs w:val="24"/>
                <w:highlight w:val="none"/>
                <w:u w:val="none" w:color="auto"/>
                <w:lang w:val="en-US" w:eastAsia="zh-CN"/>
              </w:rPr>
              <w:t>处理设施</w:t>
            </w:r>
            <w:r>
              <w:rPr>
                <w:rFonts w:hint="eastAsia" w:ascii="Times New Roman" w:hAnsi="Times New Roman" w:cs="Times New Roman"/>
                <w:b w:val="0"/>
                <w:bCs w:val="0"/>
                <w:color w:val="auto"/>
                <w:sz w:val="24"/>
                <w:szCs w:val="24"/>
                <w:highlight w:val="none"/>
                <w:u w:val="none" w:color="auto"/>
                <w:lang w:val="en-US" w:eastAsia="zh-CN"/>
              </w:rPr>
              <w:t>；</w:t>
            </w:r>
            <w:r>
              <w:rPr>
                <w:rFonts w:hint="default" w:ascii="Times New Roman" w:hAnsi="Times New Roman" w:eastAsia="宋体" w:cs="Times New Roman"/>
                <w:b w:val="0"/>
                <w:bCs w:val="0"/>
                <w:color w:val="auto"/>
                <w:sz w:val="24"/>
                <w:szCs w:val="24"/>
                <w:highlight w:val="none"/>
                <w:u w:val="none" w:color="auto"/>
                <w:lang w:val="en-US" w:eastAsia="zh-CN"/>
              </w:rPr>
              <w:t>当</w:t>
            </w:r>
            <w:r>
              <w:rPr>
                <w:rFonts w:hint="eastAsia" w:ascii="Times New Roman" w:hAnsi="Times New Roman" w:cs="Times New Roman"/>
                <w:b w:val="0"/>
                <w:bCs w:val="0"/>
                <w:color w:val="auto"/>
                <w:sz w:val="24"/>
                <w:szCs w:val="24"/>
                <w:highlight w:val="none"/>
                <w:u w:val="none" w:color="auto"/>
                <w:lang w:val="en-US" w:eastAsia="zh-CN"/>
              </w:rPr>
              <w:t>水帘除尘+干式过滤+活性炭吸附+催化燃烧设施</w:t>
            </w:r>
            <w:r>
              <w:rPr>
                <w:rFonts w:hint="default" w:ascii="Times New Roman" w:hAnsi="Times New Roman" w:eastAsia="宋体" w:cs="Times New Roman"/>
                <w:b w:val="0"/>
                <w:bCs w:val="0"/>
                <w:color w:val="auto"/>
                <w:sz w:val="24"/>
                <w:szCs w:val="24"/>
                <w:highlight w:val="none"/>
                <w:u w:val="none" w:color="auto"/>
                <w:lang w:val="en-US" w:eastAsia="zh-CN"/>
              </w:rPr>
              <w:t>（TA001）、二级活性炭吸附设施（TA002）处理装置出现故障失效时，应立即停止使用并对其进行维修，避免对周围环境造成污染。</w:t>
            </w:r>
          </w:p>
          <w:p w14:paraId="04006411">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default" w:ascii="Times New Roman" w:hAnsi="Times New Roman" w:eastAsia="宋体" w:cs="Times New Roman"/>
                <w:b/>
                <w:bCs/>
                <w:color w:val="auto"/>
                <w:sz w:val="24"/>
                <w:szCs w:val="24"/>
                <w:highlight w:val="none"/>
                <w:u w:val="none" w:color="auto"/>
                <w:lang w:val="en-US" w:eastAsia="zh-CN"/>
              </w:rPr>
              <w:t>4、废气污染防治措施可行性分析</w:t>
            </w:r>
          </w:p>
          <w:p w14:paraId="1C5B0C2F">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cs="Times New Roman"/>
                <w:color w:val="auto"/>
                <w:kern w:val="0"/>
                <w:sz w:val="24"/>
                <w:highlight w:val="none"/>
                <w:u w:val="none" w:color="auto"/>
                <w:lang w:val="en-US" w:eastAsia="zh-CN"/>
              </w:rPr>
            </w:pPr>
            <w:r>
              <w:rPr>
                <w:rFonts w:hint="eastAsia" w:cs="Times New Roman"/>
                <w:color w:val="auto"/>
                <w:kern w:val="0"/>
                <w:sz w:val="24"/>
                <w:highlight w:val="none"/>
                <w:u w:val="none" w:color="auto"/>
                <w:lang w:eastAsia="zh-CN"/>
              </w:rPr>
              <w:t>（</w:t>
            </w:r>
            <w:r>
              <w:rPr>
                <w:rFonts w:hint="eastAsia" w:cs="Times New Roman"/>
                <w:color w:val="auto"/>
                <w:kern w:val="0"/>
                <w:sz w:val="24"/>
                <w:highlight w:val="none"/>
                <w:u w:val="none" w:color="auto"/>
                <w:lang w:val="en-US" w:eastAsia="zh-CN"/>
              </w:rPr>
              <w:t>1</w:t>
            </w:r>
            <w:r>
              <w:rPr>
                <w:rFonts w:hint="eastAsia" w:cs="Times New Roman"/>
                <w:color w:val="auto"/>
                <w:kern w:val="0"/>
                <w:sz w:val="24"/>
                <w:highlight w:val="none"/>
                <w:u w:val="none" w:color="auto"/>
                <w:lang w:eastAsia="zh-CN"/>
              </w:rPr>
              <w:t>）</w:t>
            </w:r>
            <w:r>
              <w:rPr>
                <w:rFonts w:hint="eastAsia" w:cs="Times New Roman"/>
                <w:color w:val="auto"/>
                <w:kern w:val="0"/>
                <w:sz w:val="24"/>
                <w:highlight w:val="none"/>
                <w:u w:val="none" w:color="auto"/>
                <w:lang w:val="en-US" w:eastAsia="zh-CN"/>
              </w:rPr>
              <w:t>废气处理设施</w:t>
            </w:r>
            <w:r>
              <w:rPr>
                <w:rFonts w:hint="default" w:ascii="Times New Roman" w:hAnsi="Times New Roman" w:cs="Times New Roman"/>
                <w:color w:val="auto"/>
                <w:kern w:val="0"/>
                <w:sz w:val="24"/>
                <w:highlight w:val="none"/>
                <w:u w:val="none" w:color="auto"/>
                <w:lang w:val="en-US" w:eastAsia="zh-CN"/>
              </w:rPr>
              <w:t>工作原理</w:t>
            </w:r>
          </w:p>
          <w:p w14:paraId="57A04B37">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b w:val="0"/>
                <w:bCs w:val="0"/>
                <w:color w:val="auto"/>
                <w:kern w:val="0"/>
                <w:sz w:val="24"/>
                <w:szCs w:val="24"/>
                <w:highlight w:val="none"/>
                <w:u w:val="none" w:color="auto"/>
                <w:lang w:val="en-US" w:eastAsia="zh-CN" w:bidi="ar-SA"/>
              </w:rPr>
            </w:pPr>
            <w:r>
              <w:rPr>
                <w:rFonts w:hint="eastAsia" w:cs="Times New Roman"/>
                <w:color w:val="auto"/>
                <w:kern w:val="0"/>
                <w:sz w:val="24"/>
                <w:highlight w:val="none"/>
                <w:u w:val="none" w:color="auto"/>
                <w:lang w:val="en-US" w:eastAsia="zh-CN"/>
              </w:rPr>
              <w:t>①</w:t>
            </w:r>
            <w:r>
              <w:rPr>
                <w:rFonts w:hint="default" w:ascii="Times New Roman" w:hAnsi="Times New Roman" w:eastAsia="宋体" w:cs="Times New Roman"/>
                <w:b w:val="0"/>
                <w:bCs w:val="0"/>
                <w:color w:val="auto"/>
                <w:kern w:val="0"/>
                <w:sz w:val="24"/>
                <w:szCs w:val="24"/>
                <w:highlight w:val="none"/>
                <w:u w:val="none" w:color="auto"/>
                <w:lang w:val="en-US" w:eastAsia="zh-CN" w:bidi="ar-SA"/>
              </w:rPr>
              <w:t>移动式粉尘净化器</w:t>
            </w:r>
          </w:p>
          <w:p w14:paraId="00900A77">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cs="Times New Roman"/>
                <w:color w:val="auto"/>
                <w:kern w:val="0"/>
                <w:sz w:val="24"/>
                <w:highlight w:val="none"/>
                <w:u w:val="none" w:color="auto"/>
              </w:rPr>
            </w:pPr>
            <w:r>
              <w:rPr>
                <w:rFonts w:hint="eastAsia" w:cs="Times New Roman"/>
                <w:color w:val="auto"/>
                <w:kern w:val="0"/>
                <w:sz w:val="24"/>
                <w:highlight w:val="none"/>
                <w:u w:val="none" w:color="auto"/>
                <w:lang w:val="en-US" w:eastAsia="zh-CN"/>
              </w:rPr>
              <w:t>项目</w:t>
            </w:r>
            <w:r>
              <w:rPr>
                <w:rFonts w:hint="default" w:ascii="Times New Roman" w:hAnsi="Times New Roman" w:cs="Times New Roman"/>
                <w:color w:val="auto"/>
                <w:kern w:val="0"/>
                <w:sz w:val="24"/>
                <w:highlight w:val="none"/>
                <w:u w:val="none" w:color="auto"/>
                <w:lang w:eastAsia="zh-CN"/>
              </w:rPr>
              <w:t>切割、</w:t>
            </w:r>
            <w:r>
              <w:rPr>
                <w:rFonts w:hint="eastAsia" w:ascii="Times New Roman" w:hAnsi="Times New Roman" w:cs="Times New Roman"/>
                <w:color w:val="auto"/>
                <w:kern w:val="0"/>
                <w:sz w:val="24"/>
                <w:highlight w:val="none"/>
                <w:u w:val="none" w:color="auto"/>
                <w:lang w:val="en-US" w:eastAsia="zh-CN"/>
              </w:rPr>
              <w:t>焊接</w:t>
            </w:r>
            <w:r>
              <w:rPr>
                <w:rFonts w:hint="eastAsia" w:cs="Times New Roman"/>
                <w:color w:val="auto"/>
                <w:kern w:val="0"/>
                <w:sz w:val="24"/>
                <w:highlight w:val="none"/>
                <w:u w:val="none" w:color="auto"/>
                <w:lang w:val="en-US" w:eastAsia="zh-CN"/>
              </w:rPr>
              <w:t>、打磨</w:t>
            </w:r>
            <w:r>
              <w:rPr>
                <w:rFonts w:hint="default" w:ascii="Times New Roman" w:hAnsi="Times New Roman" w:cs="Times New Roman"/>
                <w:color w:val="auto"/>
                <w:kern w:val="0"/>
                <w:sz w:val="24"/>
                <w:highlight w:val="none"/>
                <w:u w:val="none" w:color="auto"/>
                <w:lang w:eastAsia="zh-CN"/>
              </w:rPr>
              <w:t>等</w:t>
            </w:r>
            <w:r>
              <w:rPr>
                <w:rFonts w:hint="eastAsia" w:ascii="Times New Roman" w:hAnsi="Times New Roman" w:cs="Times New Roman"/>
                <w:color w:val="auto"/>
                <w:kern w:val="0"/>
                <w:sz w:val="24"/>
                <w:highlight w:val="none"/>
                <w:u w:val="none" w:color="auto"/>
                <w:lang w:val="en-US" w:eastAsia="zh-CN"/>
              </w:rPr>
              <w:t>工序</w:t>
            </w:r>
            <w:r>
              <w:rPr>
                <w:rFonts w:hint="default" w:ascii="Times New Roman" w:hAnsi="Times New Roman" w:cs="Times New Roman"/>
                <w:color w:val="auto"/>
                <w:kern w:val="0"/>
                <w:sz w:val="24"/>
                <w:highlight w:val="none"/>
                <w:u w:val="none" w:color="auto"/>
                <w:lang w:eastAsia="zh-CN"/>
              </w:rPr>
              <w:t>会产生粉尘</w:t>
            </w:r>
            <w:r>
              <w:rPr>
                <w:rFonts w:hint="eastAsia" w:ascii="Times New Roman" w:hAnsi="Times New Roman" w:cs="Times New Roman"/>
                <w:color w:val="auto"/>
                <w:kern w:val="0"/>
                <w:sz w:val="24"/>
                <w:highlight w:val="none"/>
                <w:u w:val="none" w:color="auto"/>
                <w:lang w:eastAsia="zh-CN"/>
              </w:rPr>
              <w:t>、</w:t>
            </w:r>
            <w:r>
              <w:rPr>
                <w:rFonts w:hint="eastAsia" w:ascii="Times New Roman" w:hAnsi="Times New Roman" w:cs="Times New Roman"/>
                <w:color w:val="auto"/>
                <w:kern w:val="0"/>
                <w:sz w:val="24"/>
                <w:highlight w:val="none"/>
                <w:u w:val="none" w:color="auto"/>
                <w:lang w:val="en-US" w:eastAsia="zh-CN"/>
              </w:rPr>
              <w:t>烟尘</w:t>
            </w:r>
            <w:r>
              <w:rPr>
                <w:rFonts w:hint="default" w:ascii="Times New Roman" w:hAnsi="Times New Roman" w:cs="Times New Roman"/>
                <w:color w:val="auto"/>
                <w:kern w:val="0"/>
                <w:sz w:val="24"/>
                <w:highlight w:val="none"/>
                <w:u w:val="none" w:color="auto"/>
                <w:lang w:eastAsia="zh-CN"/>
              </w:rPr>
              <w:t>，</w:t>
            </w:r>
            <w:r>
              <w:rPr>
                <w:rFonts w:hint="default" w:ascii="Times New Roman" w:hAnsi="Times New Roman" w:cs="Times New Roman"/>
                <w:color w:val="auto"/>
                <w:kern w:val="0"/>
                <w:sz w:val="24"/>
                <w:highlight w:val="none"/>
                <w:u w:val="none" w:color="auto"/>
              </w:rPr>
              <w:t>移动式</w:t>
            </w:r>
            <w:r>
              <w:rPr>
                <w:rFonts w:hint="default" w:ascii="Times New Roman" w:hAnsi="Times New Roman" w:cs="Times New Roman"/>
                <w:color w:val="auto"/>
                <w:kern w:val="0"/>
                <w:sz w:val="24"/>
                <w:highlight w:val="none"/>
                <w:u w:val="none" w:color="auto"/>
                <w:lang w:val="en-US" w:eastAsia="zh-CN"/>
              </w:rPr>
              <w:t>粉尘</w:t>
            </w:r>
            <w:r>
              <w:rPr>
                <w:rFonts w:hint="default" w:ascii="Times New Roman" w:hAnsi="Times New Roman" w:cs="Times New Roman"/>
                <w:color w:val="auto"/>
                <w:kern w:val="0"/>
                <w:sz w:val="24"/>
                <w:highlight w:val="none"/>
                <w:u w:val="none" w:color="auto"/>
              </w:rPr>
              <w:t>净化器是专为治理焊接、切割</w:t>
            </w:r>
            <w:r>
              <w:rPr>
                <w:rFonts w:hint="eastAsia" w:cs="Times New Roman"/>
                <w:color w:val="auto"/>
                <w:kern w:val="0"/>
                <w:sz w:val="24"/>
                <w:highlight w:val="none"/>
                <w:u w:val="none" w:color="auto"/>
                <w:lang w:eastAsia="zh-CN"/>
              </w:rPr>
              <w:t>、</w:t>
            </w:r>
            <w:r>
              <w:rPr>
                <w:rFonts w:hint="eastAsia" w:cs="Times New Roman"/>
                <w:color w:val="auto"/>
                <w:kern w:val="0"/>
                <w:sz w:val="24"/>
                <w:highlight w:val="none"/>
                <w:u w:val="none" w:color="auto"/>
                <w:lang w:val="en-US" w:eastAsia="zh-CN"/>
              </w:rPr>
              <w:t>打磨</w:t>
            </w:r>
            <w:r>
              <w:rPr>
                <w:rFonts w:hint="default" w:ascii="Times New Roman" w:hAnsi="Times New Roman" w:cs="Times New Roman"/>
                <w:color w:val="auto"/>
                <w:kern w:val="0"/>
                <w:sz w:val="24"/>
                <w:highlight w:val="none"/>
                <w:u w:val="none" w:color="auto"/>
                <w:lang w:val="en-US" w:eastAsia="zh-CN"/>
              </w:rPr>
              <w:t>等</w:t>
            </w:r>
            <w:r>
              <w:rPr>
                <w:rFonts w:hint="default" w:ascii="Times New Roman" w:hAnsi="Times New Roman" w:cs="Times New Roman"/>
                <w:color w:val="auto"/>
                <w:kern w:val="0"/>
                <w:sz w:val="24"/>
                <w:highlight w:val="none"/>
                <w:u w:val="none" w:color="auto"/>
              </w:rPr>
              <w:t>作业时产生的烟尘、粉尘、有毒气体而开发的一款工业环保设备，它广泛用于各种焊接、抛光、切割、打磨等工序中产生烟尘和粉尘的净化以及对稀有金属、贵重物料的回收，适用于除尘比较分散烟尘量也较大的工位。因此</w:t>
            </w:r>
            <w:r>
              <w:rPr>
                <w:rFonts w:hint="eastAsia" w:ascii="Times New Roman" w:hAnsi="Times New Roman" w:cs="Times New Roman"/>
                <w:color w:val="auto"/>
                <w:kern w:val="0"/>
                <w:sz w:val="24"/>
                <w:highlight w:val="none"/>
                <w:u w:val="none" w:color="auto"/>
                <w:lang w:eastAsia="zh-CN"/>
              </w:rPr>
              <w:t>，</w:t>
            </w:r>
            <w:r>
              <w:rPr>
                <w:rFonts w:hint="default" w:ascii="Times New Roman" w:hAnsi="Times New Roman" w:cs="Times New Roman"/>
                <w:color w:val="auto"/>
                <w:kern w:val="0"/>
                <w:sz w:val="24"/>
                <w:highlight w:val="none"/>
                <w:u w:val="none" w:color="auto"/>
              </w:rPr>
              <w:t>本项目</w:t>
            </w:r>
            <w:r>
              <w:rPr>
                <w:rFonts w:hint="eastAsia" w:ascii="Times New Roman" w:hAnsi="Times New Roman" w:cs="Times New Roman"/>
                <w:color w:val="auto"/>
                <w:kern w:val="0"/>
                <w:sz w:val="24"/>
                <w:highlight w:val="none"/>
                <w:u w:val="none" w:color="auto"/>
                <w:lang w:val="en-US" w:eastAsia="zh-CN"/>
              </w:rPr>
              <w:t>切割、焊接</w:t>
            </w:r>
            <w:r>
              <w:rPr>
                <w:rFonts w:hint="eastAsia" w:cs="Times New Roman"/>
                <w:color w:val="auto"/>
                <w:kern w:val="0"/>
                <w:sz w:val="24"/>
                <w:highlight w:val="none"/>
                <w:u w:val="none" w:color="auto"/>
                <w:lang w:val="en-US" w:eastAsia="zh-CN"/>
              </w:rPr>
              <w:t>、打磨</w:t>
            </w:r>
            <w:r>
              <w:rPr>
                <w:rFonts w:hint="eastAsia" w:ascii="Times New Roman" w:hAnsi="Times New Roman" w:cs="Times New Roman"/>
                <w:color w:val="auto"/>
                <w:kern w:val="0"/>
                <w:sz w:val="24"/>
                <w:highlight w:val="none"/>
                <w:u w:val="none" w:color="auto"/>
                <w:lang w:val="en-US" w:eastAsia="zh-CN"/>
              </w:rPr>
              <w:t>工序</w:t>
            </w:r>
            <w:r>
              <w:rPr>
                <w:rFonts w:hint="default" w:ascii="Times New Roman" w:hAnsi="Times New Roman" w:cs="Times New Roman"/>
                <w:color w:val="auto"/>
                <w:kern w:val="0"/>
                <w:sz w:val="24"/>
                <w:highlight w:val="none"/>
                <w:u w:val="none" w:color="auto"/>
              </w:rPr>
              <w:t>采用移动式</w:t>
            </w:r>
            <w:r>
              <w:rPr>
                <w:rFonts w:hint="default" w:ascii="Times New Roman" w:hAnsi="Times New Roman" w:cs="Times New Roman"/>
                <w:color w:val="auto"/>
                <w:kern w:val="0"/>
                <w:sz w:val="24"/>
                <w:highlight w:val="none"/>
                <w:u w:val="none" w:color="auto"/>
                <w:lang w:val="en-US" w:eastAsia="zh-CN"/>
              </w:rPr>
              <w:t>粉尘</w:t>
            </w:r>
            <w:r>
              <w:rPr>
                <w:rFonts w:hint="default" w:ascii="Times New Roman" w:hAnsi="Times New Roman" w:cs="Times New Roman"/>
                <w:color w:val="auto"/>
                <w:kern w:val="0"/>
                <w:sz w:val="24"/>
                <w:highlight w:val="none"/>
                <w:u w:val="none" w:color="auto"/>
              </w:rPr>
              <w:t>净化器处理可行。</w:t>
            </w:r>
          </w:p>
          <w:p w14:paraId="7BFFC235">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s="Times New Roman"/>
                <w:color w:val="auto"/>
                <w:kern w:val="0"/>
                <w:sz w:val="24"/>
                <w:highlight w:val="none"/>
                <w:u w:val="none" w:color="auto"/>
                <w:lang w:val="en-US" w:eastAsia="zh-CN"/>
              </w:rPr>
            </w:pPr>
            <w:r>
              <w:rPr>
                <w:rFonts w:hint="eastAsia" w:ascii="Times New Roman" w:hAnsi="Times New Roman" w:eastAsia="宋体" w:cs="Times New Roman"/>
                <w:color w:val="auto"/>
                <w:kern w:val="0"/>
                <w:sz w:val="24"/>
                <w:highlight w:val="none"/>
                <w:u w:val="none" w:color="auto"/>
                <w:lang w:val="en-US" w:eastAsia="zh-CN"/>
              </w:rPr>
              <w:t>②水帘除尘+干式过滤除漆雾装置</w:t>
            </w:r>
          </w:p>
          <w:p w14:paraId="6A65BCC6">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cs="Times New Roman"/>
                <w:color w:val="auto"/>
                <w:kern w:val="0"/>
                <w:sz w:val="24"/>
                <w:highlight w:val="none"/>
                <w:u w:val="none" w:color="auto"/>
                <w:lang w:val="en-US" w:eastAsia="zh-CN"/>
              </w:rPr>
            </w:pPr>
            <w:r>
              <w:rPr>
                <w:rFonts w:hint="eastAsia" w:ascii="Times New Roman" w:hAnsi="Times New Roman" w:eastAsia="宋体" w:cs="Times New Roman"/>
                <w:b w:val="0"/>
                <w:bCs w:val="0"/>
                <w:color w:val="auto"/>
                <w:kern w:val="2"/>
                <w:sz w:val="24"/>
                <w:szCs w:val="24"/>
                <w:highlight w:val="none"/>
                <w:u w:val="none" w:color="auto"/>
                <w:lang w:val="en-US" w:eastAsia="zh-CN" w:bidi="ar-SA"/>
              </w:rPr>
              <w:t>在排风机引力的作用下，含有漆雾的空气向水帘机的内壁水帘板方向流动，一</w:t>
            </w:r>
            <w:r>
              <w:rPr>
                <w:rFonts w:hint="eastAsia" w:cs="Times New Roman"/>
                <w:color w:val="auto"/>
                <w:kern w:val="0"/>
                <w:sz w:val="24"/>
                <w:highlight w:val="none"/>
                <w:u w:val="none" w:color="auto"/>
                <w:lang w:val="en-US" w:eastAsia="zh-CN"/>
              </w:rPr>
              <w:t>部分漆雾直接接触到水帘板上的水膜而被吸附，一部分漆雾在经过水帘板上淌下的水帘时被水帘冲刷掉，其余未被水膜和水帘捕捉到的残余漆雾在通过水洗区和清洗区时被清洗掉后进入干式过滤箱(活性炭吸附器前端) 中，实现液态和固态污染物质捕集。过滤部分废气中大颗粒的固、液颗粒成分，以降低废气浓度。主要是去除大颗粒漆雾颗粒，以达到活性炭吸附清洁度要求。过滤器内含初中高效三级过滤装置，过滤废气中的大颗粒漆雾，从而确保废气中所含颗粒物在进入固定吸附床前得到有效的拦截处理，避免废气中的漆雾、杂尘造成活性炭微孔堵塞，影响吸附效果、增加系统阻力、影响通风效果甚至给系统造成安全隐患。</w:t>
            </w:r>
          </w:p>
          <w:p w14:paraId="30C69558">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cs="Times New Roman"/>
                <w:color w:val="auto"/>
                <w:kern w:val="0"/>
                <w:sz w:val="24"/>
                <w:highlight w:val="none"/>
                <w:u w:val="none" w:color="auto"/>
                <w:lang w:val="en-US" w:eastAsia="zh-CN"/>
              </w:rPr>
            </w:pPr>
            <w:r>
              <w:rPr>
                <w:rFonts w:hint="eastAsia" w:cs="Times New Roman"/>
                <w:color w:val="auto"/>
                <w:kern w:val="0"/>
                <w:sz w:val="24"/>
                <w:highlight w:val="none"/>
                <w:u w:val="none" w:color="auto"/>
                <w:lang w:val="en-US" w:eastAsia="zh-CN"/>
              </w:rPr>
              <w:t>③活性炭吸附+催化燃烧工作原理</w:t>
            </w:r>
          </w:p>
          <w:p w14:paraId="26765522">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cs="Times New Roman"/>
                <w:color w:val="auto"/>
                <w:kern w:val="0"/>
                <w:sz w:val="24"/>
                <w:highlight w:val="none"/>
                <w:u w:val="none" w:color="auto"/>
                <w:lang w:val="en-US" w:eastAsia="zh-CN"/>
              </w:rPr>
            </w:pPr>
            <w:r>
              <w:rPr>
                <w:rFonts w:hint="eastAsia" w:cs="Times New Roman"/>
                <w:color w:val="auto"/>
                <w:kern w:val="0"/>
                <w:sz w:val="24"/>
                <w:highlight w:val="none"/>
                <w:u w:val="none" w:color="auto"/>
                <w:lang w:val="en-US" w:eastAsia="zh-CN"/>
              </w:rPr>
              <w:t>活性炭吸附法是一种利用活性炭微孔结构对溶剂分子或分子团的吸附作用而去除空气中的有机废气的气固分离方法。当废气通过吸附介质时，其中的有机溶剂即被“阻留”下来，从而使有机废气得到净化处理。根据分子热运动理论，从外界给吸附体系热能，提高被吸附分子或分子团的热运动能量，当分子热运动力足以克服吸附力时，有机溶剂分子便从吸附体系“挣脱”出来，吸附介质得到再生。脱附热量来源于催化燃烧系统，从吸附器挣脱出来的有机溶剂在高温状态下，处于有机蒸气状态，热风由循环风机压入催化床催化燃烧。CO（催化燃烧床）自动升温将热空气通过风机送入活性炭床使碳层升温将有机物从活性炭中“蒸”出，脱附出来的废气属于高浓度、小风量、高温度的有机废气</w:t>
            </w:r>
          </w:p>
          <w:p w14:paraId="21F0630D">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cs="Times New Roman"/>
                <w:color w:val="auto"/>
                <w:kern w:val="0"/>
                <w:sz w:val="24"/>
                <w:highlight w:val="none"/>
                <w:u w:val="none" w:color="auto"/>
                <w:lang w:val="en-US" w:eastAsia="zh-CN"/>
              </w:rPr>
            </w:pPr>
            <w:r>
              <w:rPr>
                <w:rFonts w:hint="eastAsia" w:cs="Times New Roman"/>
                <w:color w:val="auto"/>
                <w:kern w:val="0"/>
                <w:sz w:val="24"/>
                <w:highlight w:val="none"/>
                <w:u w:val="none" w:color="auto"/>
                <w:lang w:val="en-US" w:eastAsia="zh-CN"/>
              </w:rPr>
              <w:t>④二级活性炭吸附</w:t>
            </w:r>
          </w:p>
          <w:p w14:paraId="3478119D">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cs="Times New Roman"/>
                <w:color w:val="auto"/>
                <w:kern w:val="0"/>
                <w:sz w:val="24"/>
                <w:highlight w:val="none"/>
                <w:u w:val="none" w:color="auto"/>
                <w:lang w:val="en-US" w:eastAsia="zh-CN"/>
              </w:rPr>
            </w:pPr>
            <w:r>
              <w:rPr>
                <w:rFonts w:hint="eastAsia" w:cs="Times New Roman"/>
                <w:color w:val="auto"/>
                <w:kern w:val="0"/>
                <w:sz w:val="24"/>
                <w:highlight w:val="none"/>
                <w:u w:val="none" w:color="auto"/>
                <w:lang w:val="en-US" w:eastAsia="zh-CN"/>
              </w:rPr>
              <w:t>活性炭吸附是一种常用的吸附方法，主要利用高孔隙率、高比表面积的吸附剂，藉由物理性吸附（可逆反应）或化学性键结（不可逆反应）作用，将有机气体分子自废气中分离，以达成净化废气的目的。由于一般多采用物理性吸附，随操作时间之增加，吸附剂将逐渐趋于饱和现象，此时则须进行脱附再生或吸附剂更换工作，选择碘值不低于800毫克/克的活性炭，并按照设计要求足量添加、及时更换。因活性炭表面有大量微孔，其中绝大部分孔径小于500A（1A=10-10m），单位材料微孔的总内表面积称“比表面积”，比表面积可高达700～2300m2/g，常被用来作为吸附有机废气的吸附剂。空气中的有害气体称“吸附质”，活性炭为“吸附剂”，由于分子间的引力，吸附质粘到微孔内表面，从而使空气得到净化。活性炭材料分颗粒炭、纤维炭，传统的颗粒活性炭有煤质炭、木质炭、椰壳炭、骨炭。纤维活性炭由含碳有机纤维制成，它比颗粒活性炭孔径小（&lt;50A）、吸附容量大、吸附快、再生快。在有机废气处理过程中，活性炭常被用来吸附烷烃、烯烃、芳香烃、酮、醛、氯代烃、酯以及挥发性有机化合物（非甲烷总烃）。环评要求本项目活性炭集中活化再生。</w:t>
            </w:r>
          </w:p>
          <w:p w14:paraId="41E0B613">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cs="Times New Roman"/>
                <w:color w:val="auto"/>
                <w:kern w:val="0"/>
                <w:sz w:val="24"/>
                <w:highlight w:val="none"/>
                <w:u w:val="none" w:color="auto"/>
                <w:lang w:val="en-US" w:eastAsia="zh-CN"/>
              </w:rPr>
            </w:pPr>
            <w:r>
              <w:rPr>
                <w:rFonts w:hint="default" w:cs="Times New Roman"/>
                <w:color w:val="auto"/>
                <w:kern w:val="0"/>
                <w:sz w:val="24"/>
                <w:highlight w:val="none"/>
                <w:u w:val="none" w:color="auto"/>
                <w:lang w:val="en-US" w:eastAsia="zh-CN"/>
              </w:rPr>
              <w:t>本项目产生的废气治理设施如下表所示</w:t>
            </w:r>
            <w:r>
              <w:rPr>
                <w:rFonts w:hint="eastAsia" w:cs="Times New Roman"/>
                <w:color w:val="auto"/>
                <w:kern w:val="0"/>
                <w:sz w:val="24"/>
                <w:highlight w:val="none"/>
                <w:u w:val="none" w:color="auto"/>
                <w:lang w:val="en-US" w:eastAsia="zh-CN"/>
              </w:rPr>
              <w:t>：</w:t>
            </w:r>
          </w:p>
          <w:p w14:paraId="7E49311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bCs/>
                <w:color w:val="auto"/>
                <w:sz w:val="21"/>
                <w:szCs w:val="21"/>
                <w:highlight w:val="none"/>
                <w:u w:val="single"/>
                <w:lang w:val="en-US" w:eastAsia="zh-CN"/>
              </w:rPr>
            </w:pPr>
            <w:r>
              <w:rPr>
                <w:rFonts w:hint="default" w:ascii="Times New Roman" w:hAnsi="Times New Roman" w:eastAsia="宋体" w:cs="Times New Roman"/>
                <w:b/>
                <w:bCs/>
                <w:color w:val="auto"/>
                <w:sz w:val="21"/>
                <w:szCs w:val="21"/>
                <w:highlight w:val="none"/>
                <w:u w:val="single"/>
                <w:lang w:val="en-US" w:eastAsia="zh-CN"/>
              </w:rPr>
              <w:t>表4-</w:t>
            </w:r>
            <w:r>
              <w:rPr>
                <w:rFonts w:hint="eastAsia" w:cs="Times New Roman"/>
                <w:b/>
                <w:bCs/>
                <w:color w:val="auto"/>
                <w:sz w:val="21"/>
                <w:szCs w:val="21"/>
                <w:highlight w:val="none"/>
                <w:u w:val="single"/>
                <w:lang w:val="en-US" w:eastAsia="zh-CN"/>
              </w:rPr>
              <w:t>9</w:t>
            </w:r>
            <w:r>
              <w:rPr>
                <w:rFonts w:hint="default" w:ascii="Times New Roman" w:hAnsi="Times New Roman" w:eastAsia="宋体" w:cs="Times New Roman"/>
                <w:b/>
                <w:bCs/>
                <w:color w:val="auto"/>
                <w:sz w:val="21"/>
                <w:szCs w:val="21"/>
                <w:highlight w:val="none"/>
                <w:u w:val="single"/>
                <w:lang w:val="en-US" w:eastAsia="zh-CN"/>
              </w:rPr>
              <w:t xml:space="preserve">   废气</w:t>
            </w:r>
            <w:r>
              <w:rPr>
                <w:rFonts w:hint="eastAsia" w:ascii="Times New Roman" w:hAnsi="Times New Roman" w:eastAsia="宋体" w:cs="Times New Roman"/>
                <w:b/>
                <w:bCs/>
                <w:color w:val="auto"/>
                <w:sz w:val="21"/>
                <w:szCs w:val="21"/>
                <w:highlight w:val="none"/>
                <w:u w:val="single"/>
                <w:lang w:val="en-US" w:eastAsia="zh-CN"/>
              </w:rPr>
              <w:t>污染治理技术可行性分析一览表</w:t>
            </w:r>
          </w:p>
          <w:tbl>
            <w:tblPr>
              <w:tblStyle w:val="31"/>
              <w:tblW w:w="8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2239"/>
              <w:gridCol w:w="2420"/>
              <w:gridCol w:w="2342"/>
              <w:gridCol w:w="1437"/>
            </w:tblGrid>
            <w:tr w14:paraId="4A26B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90" w:hRule="atLeast"/>
                <w:tblHeader/>
                <w:jc w:val="center"/>
              </w:trPr>
              <w:tc>
                <w:tcPr>
                  <w:tcW w:w="1326" w:type="pct"/>
                  <w:tcBorders>
                    <w:tl2br w:val="nil"/>
                    <w:tr2bl w:val="nil"/>
                  </w:tcBorders>
                  <w:noWrap w:val="0"/>
                  <w:tcMar>
                    <w:top w:w="15" w:type="dxa"/>
                    <w:left w:w="108" w:type="dxa"/>
                    <w:bottom w:w="15" w:type="dxa"/>
                    <w:right w:w="108" w:type="dxa"/>
                  </w:tcMar>
                  <w:vAlign w:val="center"/>
                </w:tcPr>
                <w:p w14:paraId="4282454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产排污工序</w:t>
                  </w:r>
                </w:p>
              </w:tc>
              <w:tc>
                <w:tcPr>
                  <w:tcW w:w="1433" w:type="pct"/>
                  <w:tcBorders>
                    <w:tl2br w:val="nil"/>
                    <w:tr2bl w:val="nil"/>
                  </w:tcBorders>
                  <w:noWrap w:val="0"/>
                  <w:vAlign w:val="center"/>
                </w:tcPr>
                <w:p w14:paraId="645D915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废气处理设施工艺</w:t>
                  </w:r>
                </w:p>
              </w:tc>
              <w:tc>
                <w:tcPr>
                  <w:tcW w:w="1387" w:type="pct"/>
                  <w:tcBorders>
                    <w:tl2br w:val="nil"/>
                    <w:tr2bl w:val="nil"/>
                  </w:tcBorders>
                  <w:noWrap w:val="0"/>
                  <w:vAlign w:val="center"/>
                </w:tcPr>
                <w:p w14:paraId="788D208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依据</w:t>
                  </w:r>
                </w:p>
              </w:tc>
              <w:tc>
                <w:tcPr>
                  <w:tcW w:w="851" w:type="pct"/>
                  <w:tcBorders>
                    <w:tl2br w:val="nil"/>
                    <w:tr2bl w:val="nil"/>
                  </w:tcBorders>
                  <w:noWrap w:val="0"/>
                  <w:vAlign w:val="center"/>
                </w:tcPr>
                <w:p w14:paraId="397AC92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是否可行性技术</w:t>
                  </w:r>
                </w:p>
              </w:tc>
            </w:tr>
            <w:tr w14:paraId="70D9B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90" w:hRule="atLeast"/>
                <w:jc w:val="center"/>
              </w:trPr>
              <w:tc>
                <w:tcPr>
                  <w:tcW w:w="1326" w:type="pct"/>
                  <w:tcBorders>
                    <w:tl2br w:val="nil"/>
                    <w:tr2bl w:val="nil"/>
                  </w:tcBorders>
                  <w:noWrap w:val="0"/>
                  <w:tcMar>
                    <w:top w:w="15" w:type="dxa"/>
                    <w:left w:w="108" w:type="dxa"/>
                    <w:bottom w:w="15" w:type="dxa"/>
                    <w:right w:w="108" w:type="dxa"/>
                  </w:tcMar>
                  <w:vAlign w:val="center"/>
                </w:tcPr>
                <w:p w14:paraId="0B3A169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切割、焊接、打磨</w:t>
                  </w:r>
                </w:p>
              </w:tc>
              <w:tc>
                <w:tcPr>
                  <w:tcW w:w="1433" w:type="pct"/>
                  <w:tcBorders>
                    <w:tl2br w:val="nil"/>
                    <w:tr2bl w:val="nil"/>
                  </w:tcBorders>
                  <w:noWrap w:val="0"/>
                  <w:vAlign w:val="center"/>
                </w:tcPr>
                <w:p w14:paraId="191BC3F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移动式粉尘净化器</w:t>
                  </w:r>
                </w:p>
              </w:tc>
              <w:tc>
                <w:tcPr>
                  <w:tcW w:w="1387" w:type="pct"/>
                  <w:vMerge w:val="restart"/>
                  <w:tcBorders>
                    <w:tl2br w:val="nil"/>
                    <w:tr2bl w:val="nil"/>
                  </w:tcBorders>
                  <w:noWrap w:val="0"/>
                  <w:vAlign w:val="center"/>
                </w:tcPr>
                <w:p w14:paraId="4A2D2F2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《排污许可证申请与核发技术规范 铁路、船舶、航空航天和其他运输设备制造业》（HJ 1124—2020）</w:t>
                  </w:r>
                </w:p>
              </w:tc>
              <w:tc>
                <w:tcPr>
                  <w:tcW w:w="851" w:type="pct"/>
                  <w:tcBorders>
                    <w:tl2br w:val="nil"/>
                    <w:tr2bl w:val="nil"/>
                  </w:tcBorders>
                  <w:noWrap w:val="0"/>
                  <w:vAlign w:val="center"/>
                </w:tcPr>
                <w:p w14:paraId="796D710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是</w:t>
                  </w:r>
                </w:p>
              </w:tc>
            </w:tr>
            <w:tr w14:paraId="52BDA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90" w:hRule="atLeast"/>
                <w:jc w:val="center"/>
              </w:trPr>
              <w:tc>
                <w:tcPr>
                  <w:tcW w:w="1326" w:type="pct"/>
                  <w:tcBorders>
                    <w:tl2br w:val="nil"/>
                    <w:tr2bl w:val="nil"/>
                  </w:tcBorders>
                  <w:noWrap w:val="0"/>
                  <w:tcMar>
                    <w:top w:w="15" w:type="dxa"/>
                    <w:left w:w="108" w:type="dxa"/>
                    <w:bottom w:w="15" w:type="dxa"/>
                    <w:right w:w="108" w:type="dxa"/>
                  </w:tcMar>
                  <w:vAlign w:val="center"/>
                </w:tcPr>
                <w:p w14:paraId="2B79EC6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清洗、喷漆、晾干、烤漆</w:t>
                  </w:r>
                </w:p>
              </w:tc>
              <w:tc>
                <w:tcPr>
                  <w:tcW w:w="1433" w:type="pct"/>
                  <w:tcBorders>
                    <w:tl2br w:val="nil"/>
                    <w:tr2bl w:val="nil"/>
                  </w:tcBorders>
                  <w:noWrap w:val="0"/>
                  <w:vAlign w:val="center"/>
                </w:tcPr>
                <w:p w14:paraId="2AE046D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水帘除尘+干式</w:t>
                  </w:r>
                  <w:r>
                    <w:rPr>
                      <w:rFonts w:hint="default" w:ascii="Times New Roman" w:hAnsi="Times New Roman" w:eastAsia="宋体" w:cs="Times New Roman"/>
                      <w:color w:val="auto"/>
                      <w:spacing w:val="0"/>
                      <w:kern w:val="0"/>
                      <w:sz w:val="21"/>
                      <w:szCs w:val="21"/>
                      <w:highlight w:val="none"/>
                      <w:u w:val="none" w:color="auto"/>
                      <w:lang w:val="en-US" w:eastAsia="zh-CN"/>
                    </w:rPr>
                    <w:t>过滤+活性炭吸附</w:t>
                  </w:r>
                  <w:r>
                    <w:rPr>
                      <w:rFonts w:hint="eastAsia" w:ascii="Times New Roman" w:hAnsi="Times New Roman" w:eastAsia="宋体" w:cs="Times New Roman"/>
                      <w:color w:val="auto"/>
                      <w:spacing w:val="0"/>
                      <w:kern w:val="0"/>
                      <w:sz w:val="21"/>
                      <w:szCs w:val="21"/>
                      <w:highlight w:val="none"/>
                      <w:u w:val="none" w:color="auto"/>
                      <w:lang w:val="en-US" w:eastAsia="zh-CN"/>
                    </w:rPr>
                    <w:t>+</w:t>
                  </w:r>
                  <w:r>
                    <w:rPr>
                      <w:rFonts w:hint="default" w:ascii="Times New Roman" w:hAnsi="Times New Roman" w:eastAsia="宋体" w:cs="Times New Roman"/>
                      <w:color w:val="auto"/>
                      <w:spacing w:val="0"/>
                      <w:kern w:val="0"/>
                      <w:sz w:val="21"/>
                      <w:szCs w:val="21"/>
                      <w:highlight w:val="none"/>
                      <w:u w:val="none" w:color="auto"/>
                      <w:lang w:val="en-US" w:eastAsia="zh-CN"/>
                    </w:rPr>
                    <w:t>催化燃烧设施</w:t>
                  </w:r>
                </w:p>
              </w:tc>
              <w:tc>
                <w:tcPr>
                  <w:tcW w:w="1387" w:type="pct"/>
                  <w:vMerge w:val="continue"/>
                  <w:tcBorders>
                    <w:tl2br w:val="nil"/>
                    <w:tr2bl w:val="nil"/>
                  </w:tcBorders>
                  <w:noWrap w:val="0"/>
                  <w:vAlign w:val="center"/>
                </w:tcPr>
                <w:p w14:paraId="0624F60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p>
              </w:tc>
              <w:tc>
                <w:tcPr>
                  <w:tcW w:w="851" w:type="pct"/>
                  <w:tcBorders>
                    <w:tl2br w:val="nil"/>
                    <w:tr2bl w:val="nil"/>
                  </w:tcBorders>
                  <w:noWrap w:val="0"/>
                  <w:vAlign w:val="center"/>
                </w:tcPr>
                <w:p w14:paraId="453C44C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是</w:t>
                  </w:r>
                </w:p>
              </w:tc>
            </w:tr>
            <w:tr w14:paraId="48ACC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90" w:hRule="atLeast"/>
                <w:jc w:val="center"/>
              </w:trPr>
              <w:tc>
                <w:tcPr>
                  <w:tcW w:w="1326" w:type="pct"/>
                  <w:tcBorders>
                    <w:tl2br w:val="nil"/>
                    <w:tr2bl w:val="nil"/>
                  </w:tcBorders>
                  <w:noWrap w:val="0"/>
                  <w:tcMar>
                    <w:top w:w="15" w:type="dxa"/>
                    <w:left w:w="108" w:type="dxa"/>
                    <w:bottom w:w="15" w:type="dxa"/>
                    <w:right w:w="108" w:type="dxa"/>
                  </w:tcMar>
                  <w:vAlign w:val="center"/>
                </w:tcPr>
                <w:p w14:paraId="0442F9A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调漆、车间工艺废气</w:t>
                  </w:r>
                </w:p>
              </w:tc>
              <w:tc>
                <w:tcPr>
                  <w:tcW w:w="1433" w:type="pct"/>
                  <w:tcBorders>
                    <w:tl2br w:val="nil"/>
                    <w:tr2bl w:val="nil"/>
                  </w:tcBorders>
                  <w:noWrap w:val="0"/>
                  <w:vAlign w:val="center"/>
                </w:tcPr>
                <w:p w14:paraId="4B2D820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二级</w:t>
                  </w:r>
                  <w:r>
                    <w:rPr>
                      <w:rFonts w:hint="default" w:ascii="Times New Roman" w:hAnsi="Times New Roman" w:eastAsia="宋体" w:cs="Times New Roman"/>
                      <w:color w:val="auto"/>
                      <w:spacing w:val="0"/>
                      <w:kern w:val="0"/>
                      <w:sz w:val="21"/>
                      <w:szCs w:val="21"/>
                      <w:highlight w:val="none"/>
                      <w:u w:val="none" w:color="auto"/>
                      <w:lang w:val="en-US" w:eastAsia="zh-CN"/>
                    </w:rPr>
                    <w:t>活性炭吸附</w:t>
                  </w:r>
                </w:p>
              </w:tc>
              <w:tc>
                <w:tcPr>
                  <w:tcW w:w="1387" w:type="pct"/>
                  <w:vMerge w:val="continue"/>
                  <w:tcBorders>
                    <w:tl2br w:val="nil"/>
                    <w:tr2bl w:val="nil"/>
                  </w:tcBorders>
                  <w:noWrap w:val="0"/>
                  <w:vAlign w:val="center"/>
                </w:tcPr>
                <w:p w14:paraId="3F60DD6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p>
              </w:tc>
              <w:tc>
                <w:tcPr>
                  <w:tcW w:w="851" w:type="pct"/>
                  <w:tcBorders>
                    <w:tl2br w:val="nil"/>
                    <w:tr2bl w:val="nil"/>
                  </w:tcBorders>
                  <w:noWrap w:val="0"/>
                  <w:vAlign w:val="center"/>
                </w:tcPr>
                <w:p w14:paraId="37C00D1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是</w:t>
                  </w:r>
                </w:p>
              </w:tc>
            </w:tr>
          </w:tbl>
          <w:p w14:paraId="402DAC8B">
            <w:pPr>
              <w:pStyle w:val="39"/>
              <w:keepNext w:val="0"/>
              <w:keepLines w:val="0"/>
              <w:pageBreakBefore w:val="0"/>
              <w:widowControl w:val="0"/>
              <w:kinsoku/>
              <w:wordWrap/>
              <w:overflowPunct/>
              <w:topLinePunct w:val="0"/>
              <w:bidi w:val="0"/>
              <w:snapToGrid/>
              <w:spacing w:line="410" w:lineRule="exact"/>
              <w:ind w:firstLine="480" w:firstLineChars="200"/>
              <w:textAlignment w:val="auto"/>
              <w:rPr>
                <w:rFonts w:hint="eastAsia" w:ascii="Times New Roman" w:hAnsi="Times New Roman" w:cs="Times New Roman"/>
                <w:color w:val="auto"/>
                <w:szCs w:val="21"/>
                <w:highlight w:val="none"/>
                <w:u w:val="none" w:color="auto"/>
                <w:lang w:val="en-US" w:eastAsia="zh-CN"/>
              </w:rPr>
            </w:pPr>
            <w:r>
              <w:rPr>
                <w:rFonts w:hint="eastAsia" w:ascii="Times New Roman" w:hAnsi="Times New Roman" w:eastAsia="宋体" w:cs="Times New Roman"/>
                <w:color w:val="auto"/>
                <w:szCs w:val="21"/>
                <w:highlight w:val="none"/>
                <w:u w:val="none" w:color="auto"/>
                <w:lang w:val="en-US" w:eastAsia="zh-CN"/>
              </w:rPr>
              <w:t>（</w:t>
            </w:r>
            <w:r>
              <w:rPr>
                <w:rFonts w:hint="eastAsia" w:ascii="Times New Roman" w:hAnsi="Times New Roman" w:cs="Times New Roman"/>
                <w:color w:val="auto"/>
                <w:szCs w:val="21"/>
                <w:highlight w:val="none"/>
                <w:u w:val="none" w:color="auto"/>
                <w:lang w:val="en-US" w:eastAsia="zh-CN"/>
              </w:rPr>
              <w:t>2</w:t>
            </w:r>
            <w:r>
              <w:rPr>
                <w:rFonts w:hint="eastAsia" w:ascii="Times New Roman" w:hAnsi="Times New Roman" w:eastAsia="宋体" w:cs="Times New Roman"/>
                <w:color w:val="auto"/>
                <w:szCs w:val="21"/>
                <w:highlight w:val="none"/>
                <w:u w:val="none" w:color="auto"/>
                <w:lang w:val="en-US" w:eastAsia="zh-CN"/>
              </w:rPr>
              <w:t>）</w:t>
            </w:r>
            <w:r>
              <w:rPr>
                <w:rFonts w:hint="eastAsia" w:ascii="Times New Roman" w:hAnsi="Times New Roman" w:cs="Times New Roman"/>
                <w:color w:val="auto"/>
                <w:szCs w:val="21"/>
                <w:highlight w:val="none"/>
                <w:u w:val="none" w:color="auto"/>
                <w:lang w:val="en-US" w:eastAsia="zh-CN"/>
              </w:rPr>
              <w:t>风机风量核算</w:t>
            </w:r>
          </w:p>
          <w:p w14:paraId="6BB07A5A">
            <w:pPr>
              <w:pStyle w:val="39"/>
              <w:keepNext w:val="0"/>
              <w:keepLines w:val="0"/>
              <w:pageBreakBefore w:val="0"/>
              <w:widowControl w:val="0"/>
              <w:kinsoku/>
              <w:wordWrap/>
              <w:overflowPunct/>
              <w:topLinePunct w:val="0"/>
              <w:bidi w:val="0"/>
              <w:snapToGrid/>
              <w:spacing w:line="410" w:lineRule="exact"/>
              <w:ind w:firstLine="480" w:firstLineChars="200"/>
              <w:textAlignment w:val="auto"/>
              <w:rPr>
                <w:rFonts w:hint="eastAsia" w:ascii="Times New Roman" w:hAnsi="Times New Roman" w:cs="Times New Roman"/>
                <w:color w:val="auto"/>
                <w:szCs w:val="21"/>
                <w:highlight w:val="none"/>
                <w:u w:val="none" w:color="auto"/>
                <w:lang w:val="en-US" w:eastAsia="zh-CN"/>
              </w:rPr>
            </w:pPr>
            <w:r>
              <w:rPr>
                <w:rFonts w:hint="eastAsia" w:ascii="Times New Roman" w:hAnsi="Times New Roman" w:eastAsia="宋体" w:cs="Times New Roman"/>
                <w:color w:val="auto"/>
                <w:szCs w:val="21"/>
                <w:highlight w:val="none"/>
                <w:u w:val="none" w:color="auto"/>
                <w:lang w:val="en-US" w:eastAsia="zh-CN"/>
              </w:rPr>
              <w:t xml:space="preserve"> 根据《工业建筑供暖通风与空气调节设计规范》(GB50019-2015)中“6.38工房设计风量的要求</w:t>
            </w:r>
            <w:r>
              <w:rPr>
                <w:rFonts w:hint="eastAsia" w:ascii="Times New Roman" w:hAnsi="Times New Roman" w:cs="Times New Roman"/>
                <w:color w:val="auto"/>
                <w:szCs w:val="21"/>
                <w:highlight w:val="none"/>
                <w:u w:val="none" w:color="auto"/>
                <w:lang w:val="en-US" w:eastAsia="zh-CN"/>
              </w:rPr>
              <w:t>：</w:t>
            </w:r>
            <w:r>
              <w:rPr>
                <w:rFonts w:hint="eastAsia" w:ascii="Times New Roman" w:hAnsi="Times New Roman" w:eastAsia="宋体" w:cs="Times New Roman"/>
                <w:color w:val="auto"/>
                <w:szCs w:val="21"/>
                <w:highlight w:val="none"/>
                <w:u w:val="none" w:color="auto"/>
                <w:lang w:val="en-US" w:eastAsia="zh-CN"/>
              </w:rPr>
              <w:t>当车间高度小于或等于6m时，其排风量不应小于1次换气计算所得的风量”以及《三废处理工程技术手册一废气卷》(化学工业出版社1999.5)中“工厂</w:t>
            </w:r>
            <w:r>
              <w:rPr>
                <w:rFonts w:hint="eastAsia" w:ascii="Times New Roman" w:hAnsi="Times New Roman" w:cs="Times New Roman"/>
                <w:color w:val="auto"/>
                <w:szCs w:val="21"/>
                <w:highlight w:val="none"/>
                <w:u w:val="none" w:color="auto"/>
                <w:lang w:val="en-US" w:eastAsia="zh-CN"/>
              </w:rPr>
              <w:t>一</w:t>
            </w:r>
            <w:r>
              <w:rPr>
                <w:rFonts w:hint="eastAsia" w:ascii="Times New Roman" w:hAnsi="Times New Roman" w:eastAsia="宋体" w:cs="Times New Roman"/>
                <w:color w:val="auto"/>
                <w:szCs w:val="21"/>
                <w:highlight w:val="none"/>
                <w:u w:val="none" w:color="auto"/>
                <w:lang w:val="en-US" w:eastAsia="zh-CN"/>
              </w:rPr>
              <w:t>般作业室每小时换气次数6次</w:t>
            </w:r>
            <w:r>
              <w:rPr>
                <w:rFonts w:hint="eastAsia" w:ascii="Times New Roman" w:hAnsi="Times New Roman" w:cs="Times New Roman"/>
                <w:color w:val="auto"/>
                <w:szCs w:val="21"/>
                <w:highlight w:val="none"/>
                <w:u w:val="none" w:color="auto"/>
                <w:lang w:val="en-US" w:eastAsia="zh-CN"/>
              </w:rPr>
              <w:t>；推荐喷漆房换气次数≥20次/小时，理想状态达30次/小时</w:t>
            </w:r>
            <w:r>
              <w:rPr>
                <w:rFonts w:hint="eastAsia" w:ascii="Times New Roman" w:hAnsi="Times New Roman" w:eastAsia="宋体" w:cs="Times New Roman"/>
                <w:color w:val="auto"/>
                <w:szCs w:val="21"/>
                <w:highlight w:val="none"/>
                <w:u w:val="none" w:color="auto"/>
                <w:lang w:val="en-US" w:eastAsia="zh-CN"/>
              </w:rPr>
              <w:t>”。项目</w:t>
            </w:r>
            <w:r>
              <w:rPr>
                <w:rFonts w:hint="eastAsia" w:ascii="Times New Roman" w:hAnsi="Times New Roman" w:cs="Times New Roman"/>
                <w:color w:val="auto"/>
                <w:szCs w:val="21"/>
                <w:highlight w:val="none"/>
                <w:u w:val="none" w:color="auto"/>
                <w:lang w:val="en-US" w:eastAsia="zh-CN"/>
              </w:rPr>
              <w:t>高铁连接板喷漆房、高铁连接板烤漆房、风扇、风罩喷漆房采取单独密闭隔间负压措施，废气由通风管道收集至活性炭吸附+催化燃烧设施（TA001）处理后经DA001排气筒排放；</w:t>
            </w:r>
            <w:r>
              <w:rPr>
                <w:rFonts w:hint="eastAsia" w:ascii="Times New Roman" w:hAnsi="Times New Roman" w:eastAsia="宋体" w:cs="Times New Roman"/>
                <w:color w:val="auto"/>
                <w:szCs w:val="21"/>
                <w:highlight w:val="none"/>
                <w:u w:val="none" w:color="auto"/>
                <w:lang w:val="en-US" w:eastAsia="zh-CN"/>
              </w:rPr>
              <w:t>调漆、</w:t>
            </w:r>
            <w:r>
              <w:rPr>
                <w:rFonts w:hint="eastAsia" w:ascii="Times New Roman" w:hAnsi="Times New Roman" w:cs="Times New Roman"/>
                <w:color w:val="auto"/>
                <w:szCs w:val="21"/>
                <w:highlight w:val="none"/>
                <w:u w:val="none" w:color="auto"/>
                <w:lang w:val="en-US" w:eastAsia="zh-CN"/>
              </w:rPr>
              <w:t>高铁连接板</w:t>
            </w:r>
            <w:r>
              <w:rPr>
                <w:rFonts w:hint="eastAsia" w:ascii="Times New Roman" w:hAnsi="Times New Roman" w:eastAsia="宋体" w:cs="Times New Roman"/>
                <w:color w:val="auto"/>
                <w:szCs w:val="21"/>
                <w:highlight w:val="none"/>
                <w:u w:val="none" w:color="auto"/>
                <w:lang w:val="en-US" w:eastAsia="zh-CN"/>
              </w:rPr>
              <w:t>喷漆</w:t>
            </w:r>
            <w:r>
              <w:rPr>
                <w:rFonts w:hint="eastAsia" w:ascii="Times New Roman" w:hAnsi="Times New Roman" w:cs="Times New Roman"/>
                <w:color w:val="auto"/>
                <w:szCs w:val="21"/>
                <w:highlight w:val="none"/>
                <w:u w:val="none" w:color="auto"/>
                <w:lang w:val="en-US" w:eastAsia="zh-CN"/>
              </w:rPr>
              <w:t>区</w:t>
            </w:r>
            <w:r>
              <w:rPr>
                <w:rFonts w:hint="eastAsia" w:ascii="Times New Roman" w:hAnsi="Times New Roman" w:eastAsia="宋体" w:cs="Times New Roman"/>
                <w:color w:val="auto"/>
                <w:szCs w:val="21"/>
                <w:highlight w:val="none"/>
                <w:u w:val="none" w:color="auto"/>
                <w:lang w:val="en-US" w:eastAsia="zh-CN"/>
              </w:rPr>
              <w:t>、</w:t>
            </w:r>
            <w:r>
              <w:rPr>
                <w:rFonts w:hint="eastAsia" w:ascii="Times New Roman" w:hAnsi="Times New Roman" w:cs="Times New Roman"/>
                <w:color w:val="auto"/>
                <w:szCs w:val="21"/>
                <w:highlight w:val="none"/>
                <w:u w:val="none" w:color="auto"/>
                <w:lang w:val="en-US" w:eastAsia="zh-CN"/>
              </w:rPr>
              <w:t>高铁连接板</w:t>
            </w:r>
            <w:r>
              <w:rPr>
                <w:rFonts w:hint="eastAsia" w:ascii="Times New Roman" w:hAnsi="Times New Roman" w:eastAsia="宋体" w:cs="Times New Roman"/>
                <w:color w:val="auto"/>
                <w:szCs w:val="21"/>
                <w:highlight w:val="none"/>
                <w:u w:val="none" w:color="auto"/>
                <w:lang w:val="en-US" w:eastAsia="zh-CN"/>
              </w:rPr>
              <w:t>烤漆</w:t>
            </w:r>
            <w:r>
              <w:rPr>
                <w:rFonts w:hint="eastAsia" w:ascii="Times New Roman" w:hAnsi="Times New Roman" w:cs="Times New Roman"/>
                <w:color w:val="auto"/>
                <w:szCs w:val="21"/>
                <w:highlight w:val="none"/>
                <w:u w:val="none" w:color="auto"/>
                <w:lang w:val="en-US" w:eastAsia="zh-CN"/>
              </w:rPr>
              <w:t>区位于</w:t>
            </w:r>
            <w:r>
              <w:rPr>
                <w:rFonts w:hint="eastAsia" w:ascii="Times New Roman" w:hAnsi="Times New Roman" w:eastAsia="宋体" w:cs="Times New Roman"/>
                <w:color w:val="auto"/>
                <w:szCs w:val="21"/>
                <w:highlight w:val="none"/>
                <w:u w:val="none" w:color="auto"/>
                <w:lang w:val="en-US" w:eastAsia="zh-CN"/>
              </w:rPr>
              <w:t>密闭负压</w:t>
            </w:r>
            <w:r>
              <w:rPr>
                <w:rFonts w:hint="eastAsia" w:ascii="Times New Roman" w:hAnsi="Times New Roman" w:cs="Times New Roman"/>
                <w:color w:val="auto"/>
                <w:szCs w:val="21"/>
                <w:highlight w:val="none"/>
                <w:u w:val="none" w:color="auto"/>
                <w:lang w:val="en-US" w:eastAsia="zh-CN"/>
              </w:rPr>
              <w:t>车间（车间二密闭车间），废气由通风管道收集至二级活性炭吸附设施（TA002）处理后经DA002排气筒排放，</w:t>
            </w:r>
            <w:r>
              <w:rPr>
                <w:rFonts w:hint="eastAsia" w:ascii="Times New Roman" w:hAnsi="Times New Roman" w:eastAsia="宋体" w:cs="Times New Roman"/>
                <w:color w:val="auto"/>
                <w:szCs w:val="21"/>
                <w:highlight w:val="none"/>
                <w:u w:val="none" w:color="auto"/>
                <w:lang w:val="en-US" w:eastAsia="zh-CN"/>
              </w:rPr>
              <w:t>换气次数按6次计。项目废气抽风系统统计</w:t>
            </w:r>
            <w:r>
              <w:rPr>
                <w:rFonts w:hint="eastAsia" w:ascii="Times New Roman" w:hAnsi="Times New Roman" w:cs="Times New Roman"/>
                <w:color w:val="auto"/>
                <w:szCs w:val="21"/>
                <w:highlight w:val="none"/>
                <w:u w:val="none" w:color="auto"/>
                <w:lang w:val="en-US" w:eastAsia="zh-CN"/>
              </w:rPr>
              <w:t>及集气措施分布图如下：</w:t>
            </w:r>
          </w:p>
          <w:p w14:paraId="061297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bCs/>
                <w:color w:val="auto"/>
                <w:sz w:val="21"/>
                <w:szCs w:val="21"/>
                <w:highlight w:val="none"/>
                <w:u w:val="single"/>
                <w:lang w:val="en-US" w:eastAsia="zh-CN"/>
              </w:rPr>
            </w:pPr>
            <w:r>
              <w:rPr>
                <w:rFonts w:hint="default" w:ascii="Times New Roman" w:hAnsi="Times New Roman" w:eastAsia="宋体" w:cs="Times New Roman"/>
                <w:b/>
                <w:bCs/>
                <w:color w:val="auto"/>
                <w:sz w:val="21"/>
                <w:szCs w:val="21"/>
                <w:highlight w:val="none"/>
                <w:u w:val="single"/>
                <w:lang w:val="en-US" w:eastAsia="zh-CN"/>
              </w:rPr>
              <w:t>表4-</w:t>
            </w:r>
            <w:r>
              <w:rPr>
                <w:rFonts w:hint="eastAsia" w:cs="Times New Roman"/>
                <w:b/>
                <w:bCs/>
                <w:color w:val="auto"/>
                <w:sz w:val="21"/>
                <w:szCs w:val="21"/>
                <w:highlight w:val="none"/>
                <w:u w:val="single"/>
                <w:lang w:val="en-US" w:eastAsia="zh-CN"/>
              </w:rPr>
              <w:t>10</w:t>
            </w:r>
            <w:r>
              <w:rPr>
                <w:rFonts w:hint="default" w:ascii="Times New Roman" w:hAnsi="Times New Roman" w:eastAsia="宋体" w:cs="Times New Roman"/>
                <w:b/>
                <w:bCs/>
                <w:color w:val="auto"/>
                <w:sz w:val="21"/>
                <w:szCs w:val="21"/>
                <w:highlight w:val="none"/>
                <w:u w:val="single"/>
                <w:lang w:val="en-US" w:eastAsia="zh-CN"/>
              </w:rPr>
              <w:t xml:space="preserve">   </w:t>
            </w:r>
            <w:r>
              <w:rPr>
                <w:rFonts w:hint="eastAsia" w:cs="Times New Roman"/>
                <w:b/>
                <w:bCs/>
                <w:color w:val="auto"/>
                <w:sz w:val="21"/>
                <w:szCs w:val="21"/>
                <w:highlight w:val="none"/>
                <w:u w:val="single"/>
                <w:lang w:val="en-US" w:eastAsia="zh-CN"/>
              </w:rPr>
              <w:t>项目</w:t>
            </w:r>
            <w:r>
              <w:rPr>
                <w:rFonts w:hint="default" w:ascii="Times New Roman" w:hAnsi="Times New Roman" w:eastAsia="宋体" w:cs="Times New Roman"/>
                <w:b/>
                <w:bCs/>
                <w:color w:val="auto"/>
                <w:sz w:val="21"/>
                <w:szCs w:val="21"/>
                <w:highlight w:val="none"/>
                <w:u w:val="single"/>
                <w:lang w:val="en-US" w:eastAsia="zh-CN"/>
              </w:rPr>
              <w:t>废气</w:t>
            </w:r>
            <w:r>
              <w:rPr>
                <w:rFonts w:hint="eastAsia" w:cs="Times New Roman"/>
                <w:b/>
                <w:bCs/>
                <w:color w:val="auto"/>
                <w:sz w:val="21"/>
                <w:szCs w:val="21"/>
                <w:highlight w:val="none"/>
                <w:u w:val="single"/>
                <w:lang w:val="en-US" w:eastAsia="zh-CN"/>
              </w:rPr>
              <w:t>抽风系统统计表</w:t>
            </w:r>
          </w:p>
          <w:tbl>
            <w:tblPr>
              <w:tblStyle w:val="31"/>
              <w:tblW w:w="49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889"/>
              <w:gridCol w:w="1059"/>
              <w:gridCol w:w="1260"/>
              <w:gridCol w:w="1170"/>
              <w:gridCol w:w="870"/>
              <w:gridCol w:w="915"/>
              <w:gridCol w:w="990"/>
              <w:gridCol w:w="1204"/>
            </w:tblGrid>
            <w:tr w14:paraId="41225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90" w:hRule="atLeast"/>
                <w:tblHeader/>
                <w:jc w:val="center"/>
              </w:trPr>
              <w:tc>
                <w:tcPr>
                  <w:tcW w:w="531" w:type="pct"/>
                  <w:tcBorders>
                    <w:tl2br w:val="nil"/>
                    <w:tr2bl w:val="nil"/>
                  </w:tcBorders>
                  <w:noWrap w:val="0"/>
                  <w:tcMar>
                    <w:top w:w="15" w:type="dxa"/>
                    <w:left w:w="108" w:type="dxa"/>
                    <w:bottom w:w="15" w:type="dxa"/>
                    <w:right w:w="108" w:type="dxa"/>
                  </w:tcMar>
                  <w:vAlign w:val="center"/>
                </w:tcPr>
                <w:p w14:paraId="5B12887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排放口</w:t>
                  </w:r>
                </w:p>
              </w:tc>
              <w:tc>
                <w:tcPr>
                  <w:tcW w:w="633" w:type="pct"/>
                  <w:tcBorders>
                    <w:tl2br w:val="nil"/>
                    <w:tr2bl w:val="nil"/>
                  </w:tcBorders>
                  <w:noWrap w:val="0"/>
                  <w:vAlign w:val="center"/>
                </w:tcPr>
                <w:p w14:paraId="6A7828F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产污工序</w:t>
                  </w:r>
                </w:p>
              </w:tc>
              <w:tc>
                <w:tcPr>
                  <w:tcW w:w="753" w:type="pct"/>
                  <w:tcBorders>
                    <w:tl2br w:val="nil"/>
                    <w:tr2bl w:val="nil"/>
                  </w:tcBorders>
                  <w:noWrap w:val="0"/>
                  <w:vAlign w:val="center"/>
                </w:tcPr>
                <w:p w14:paraId="6C1953D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废气收集区域</w:t>
                  </w:r>
                </w:p>
              </w:tc>
              <w:tc>
                <w:tcPr>
                  <w:tcW w:w="1220" w:type="pct"/>
                  <w:gridSpan w:val="2"/>
                  <w:tcBorders>
                    <w:tl2br w:val="nil"/>
                    <w:tr2bl w:val="nil"/>
                  </w:tcBorders>
                  <w:noWrap w:val="0"/>
                  <w:vAlign w:val="center"/>
                </w:tcPr>
                <w:p w14:paraId="7B17716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规模</w:t>
                  </w:r>
                </w:p>
              </w:tc>
              <w:tc>
                <w:tcPr>
                  <w:tcW w:w="547" w:type="pct"/>
                  <w:tcBorders>
                    <w:tl2br w:val="nil"/>
                    <w:tr2bl w:val="nil"/>
                  </w:tcBorders>
                  <w:noWrap w:val="0"/>
                  <w:vAlign w:val="center"/>
                </w:tcPr>
                <w:p w14:paraId="7E88AE4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换气次数</w:t>
                  </w:r>
                </w:p>
              </w:tc>
              <w:tc>
                <w:tcPr>
                  <w:tcW w:w="592" w:type="pct"/>
                  <w:tcBorders>
                    <w:tl2br w:val="nil"/>
                    <w:tr2bl w:val="nil"/>
                  </w:tcBorders>
                  <w:noWrap w:val="0"/>
                  <w:vAlign w:val="center"/>
                </w:tcPr>
                <w:p w14:paraId="3723667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vertAlign w:val="baseline"/>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理论风量</w:t>
                  </w:r>
                  <w:r>
                    <w:rPr>
                      <w:rFonts w:hint="eastAsia" w:cs="Times New Roman"/>
                      <w:color w:val="auto"/>
                      <w:spacing w:val="0"/>
                      <w:kern w:val="0"/>
                      <w:sz w:val="21"/>
                      <w:szCs w:val="21"/>
                      <w:highlight w:val="none"/>
                      <w:u w:val="none" w:color="auto"/>
                      <w:lang w:val="en-US" w:eastAsia="zh-CN"/>
                    </w:rPr>
                    <w:t>（</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m</w:t>
                  </w:r>
                  <w:r>
                    <w:rPr>
                      <w:rFonts w:hint="eastAsia" w:ascii="Times New Roman" w:hAnsi="Times New Roman" w:eastAsia="宋体" w:cs="Times New Roman"/>
                      <w:b w:val="0"/>
                      <w:bCs/>
                      <w:i w:val="0"/>
                      <w:iCs w:val="0"/>
                      <w:color w:val="auto"/>
                      <w:kern w:val="0"/>
                      <w:sz w:val="21"/>
                      <w:szCs w:val="21"/>
                      <w:highlight w:val="none"/>
                      <w:u w:val="none" w:color="auto"/>
                      <w:vertAlign w:val="superscript"/>
                      <w:lang w:val="en-US" w:eastAsia="zh-CN" w:bidi="ar"/>
                    </w:rPr>
                    <w:t>3</w:t>
                  </w:r>
                  <w:r>
                    <w:rPr>
                      <w:rFonts w:hint="eastAsia" w:cs="Times New Roman"/>
                      <w:b w:val="0"/>
                      <w:bCs/>
                      <w:i w:val="0"/>
                      <w:iCs w:val="0"/>
                      <w:color w:val="auto"/>
                      <w:kern w:val="0"/>
                      <w:sz w:val="21"/>
                      <w:szCs w:val="21"/>
                      <w:highlight w:val="none"/>
                      <w:u w:val="none" w:color="auto"/>
                      <w:vertAlign w:val="baseline"/>
                      <w:lang w:val="en-US" w:eastAsia="zh-CN" w:bidi="ar"/>
                    </w:rPr>
                    <w:t>/h</w:t>
                  </w:r>
                  <w:r>
                    <w:rPr>
                      <w:rFonts w:hint="eastAsia" w:cs="Times New Roman"/>
                      <w:color w:val="auto"/>
                      <w:spacing w:val="0"/>
                      <w:kern w:val="0"/>
                      <w:sz w:val="21"/>
                      <w:szCs w:val="21"/>
                      <w:highlight w:val="none"/>
                      <w:u w:val="none" w:color="auto"/>
                      <w:lang w:val="en-US" w:eastAsia="zh-CN"/>
                    </w:rPr>
                    <w:t>）</w:t>
                  </w:r>
                </w:p>
              </w:tc>
              <w:tc>
                <w:tcPr>
                  <w:tcW w:w="720" w:type="pct"/>
                  <w:tcBorders>
                    <w:tl2br w:val="nil"/>
                    <w:tr2bl w:val="nil"/>
                  </w:tcBorders>
                  <w:noWrap w:val="0"/>
                  <w:vAlign w:val="center"/>
                </w:tcPr>
                <w:p w14:paraId="1A7050D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设计风量</w:t>
                  </w:r>
                  <w:r>
                    <w:rPr>
                      <w:rFonts w:hint="eastAsia" w:cs="Times New Roman"/>
                      <w:color w:val="auto"/>
                      <w:spacing w:val="0"/>
                      <w:kern w:val="0"/>
                      <w:sz w:val="21"/>
                      <w:szCs w:val="21"/>
                      <w:highlight w:val="none"/>
                      <w:u w:val="none" w:color="auto"/>
                      <w:lang w:val="en-US" w:eastAsia="zh-CN"/>
                    </w:rPr>
                    <w:t>（</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m</w:t>
                  </w:r>
                  <w:r>
                    <w:rPr>
                      <w:rFonts w:hint="eastAsia" w:ascii="Times New Roman" w:hAnsi="Times New Roman" w:eastAsia="宋体" w:cs="Times New Roman"/>
                      <w:b w:val="0"/>
                      <w:bCs/>
                      <w:i w:val="0"/>
                      <w:iCs w:val="0"/>
                      <w:color w:val="auto"/>
                      <w:kern w:val="0"/>
                      <w:sz w:val="21"/>
                      <w:szCs w:val="21"/>
                      <w:highlight w:val="none"/>
                      <w:u w:val="none" w:color="auto"/>
                      <w:vertAlign w:val="superscript"/>
                      <w:lang w:val="en-US" w:eastAsia="zh-CN" w:bidi="ar"/>
                    </w:rPr>
                    <w:t>3</w:t>
                  </w:r>
                  <w:r>
                    <w:rPr>
                      <w:rFonts w:hint="eastAsia" w:cs="Times New Roman"/>
                      <w:b w:val="0"/>
                      <w:bCs/>
                      <w:i w:val="0"/>
                      <w:iCs w:val="0"/>
                      <w:color w:val="auto"/>
                      <w:kern w:val="0"/>
                      <w:sz w:val="21"/>
                      <w:szCs w:val="21"/>
                      <w:highlight w:val="none"/>
                      <w:u w:val="none" w:color="auto"/>
                      <w:vertAlign w:val="baseline"/>
                      <w:lang w:val="en-US" w:eastAsia="zh-CN" w:bidi="ar"/>
                    </w:rPr>
                    <w:t>/h</w:t>
                  </w:r>
                  <w:r>
                    <w:rPr>
                      <w:rFonts w:hint="eastAsia" w:cs="Times New Roman"/>
                      <w:color w:val="auto"/>
                      <w:spacing w:val="0"/>
                      <w:kern w:val="0"/>
                      <w:sz w:val="21"/>
                      <w:szCs w:val="21"/>
                      <w:highlight w:val="none"/>
                      <w:u w:val="none" w:color="auto"/>
                      <w:lang w:val="en-US" w:eastAsia="zh-CN"/>
                    </w:rPr>
                    <w:t>）</w:t>
                  </w:r>
                </w:p>
              </w:tc>
            </w:tr>
            <w:tr w14:paraId="00339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90" w:hRule="atLeast"/>
                <w:tblHeader/>
                <w:jc w:val="center"/>
              </w:trPr>
              <w:tc>
                <w:tcPr>
                  <w:tcW w:w="531" w:type="pct"/>
                  <w:vMerge w:val="restart"/>
                  <w:tcBorders>
                    <w:tl2br w:val="nil"/>
                    <w:tr2bl w:val="nil"/>
                  </w:tcBorders>
                  <w:noWrap w:val="0"/>
                  <w:tcMar>
                    <w:top w:w="15" w:type="dxa"/>
                    <w:left w:w="108" w:type="dxa"/>
                    <w:bottom w:w="15" w:type="dxa"/>
                    <w:right w:w="108" w:type="dxa"/>
                  </w:tcMar>
                  <w:vAlign w:val="center"/>
                </w:tcPr>
                <w:p w14:paraId="2073644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DA001</w:t>
                  </w:r>
                </w:p>
              </w:tc>
              <w:tc>
                <w:tcPr>
                  <w:tcW w:w="633" w:type="pct"/>
                  <w:vMerge w:val="restart"/>
                  <w:tcBorders>
                    <w:tl2br w:val="nil"/>
                    <w:tr2bl w:val="nil"/>
                  </w:tcBorders>
                  <w:noWrap w:val="0"/>
                  <w:vAlign w:val="center"/>
                </w:tcPr>
                <w:p w14:paraId="0FF4E0A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cs="Times New Roman"/>
                      <w:color w:val="auto"/>
                      <w:spacing w:val="0"/>
                      <w:kern w:val="0"/>
                      <w:sz w:val="21"/>
                      <w:szCs w:val="21"/>
                      <w:highlight w:val="none"/>
                      <w:u w:val="none" w:color="auto"/>
                      <w:lang w:val="en-US" w:eastAsia="zh-CN"/>
                    </w:rPr>
                    <w:t>高铁连接板</w:t>
                  </w:r>
                  <w:r>
                    <w:rPr>
                      <w:rFonts w:hint="eastAsia" w:ascii="Times New Roman" w:hAnsi="Times New Roman" w:eastAsia="宋体" w:cs="Times New Roman"/>
                      <w:color w:val="auto"/>
                      <w:spacing w:val="0"/>
                      <w:kern w:val="0"/>
                      <w:sz w:val="21"/>
                      <w:szCs w:val="21"/>
                      <w:highlight w:val="none"/>
                      <w:u w:val="none" w:color="auto"/>
                      <w:lang w:val="en-US" w:eastAsia="zh-CN"/>
                    </w:rPr>
                    <w:t>喷漆</w:t>
                  </w:r>
                </w:p>
              </w:tc>
              <w:tc>
                <w:tcPr>
                  <w:tcW w:w="753" w:type="pct"/>
                  <w:tcBorders>
                    <w:tl2br w:val="nil"/>
                    <w:tr2bl w:val="nil"/>
                  </w:tcBorders>
                  <w:shd w:val="clear" w:color="auto" w:fill="auto"/>
                  <w:noWrap w:val="0"/>
                  <w:vAlign w:val="center"/>
                </w:tcPr>
                <w:p w14:paraId="0C173C3B">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cs="Times New Roman"/>
                      <w:color w:val="auto"/>
                      <w:spacing w:val="0"/>
                      <w:kern w:val="0"/>
                      <w:sz w:val="21"/>
                      <w:szCs w:val="21"/>
                      <w:highlight w:val="none"/>
                      <w:u w:val="none" w:color="auto"/>
                      <w:lang w:val="en-US" w:eastAsia="zh-CN"/>
                    </w:rPr>
                    <w:t>高铁连接板</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喷漆房</w:t>
                  </w:r>
                </w:p>
              </w:tc>
              <w:tc>
                <w:tcPr>
                  <w:tcW w:w="700" w:type="pct"/>
                  <w:tcBorders>
                    <w:tl2br w:val="nil"/>
                    <w:tr2bl w:val="nil"/>
                  </w:tcBorders>
                  <w:shd w:val="clear" w:color="auto" w:fill="auto"/>
                  <w:noWrap w:val="0"/>
                  <w:vAlign w:val="center"/>
                </w:tcPr>
                <w:p w14:paraId="29B3E881">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2套，5m×3m×</w:t>
                  </w:r>
                  <w:r>
                    <w:rPr>
                      <w:rFonts w:hint="eastAsia" w:cs="Times New Roman"/>
                      <w:b w:val="0"/>
                      <w:bCs/>
                      <w:i w:val="0"/>
                      <w:iCs w:val="0"/>
                      <w:color w:val="auto"/>
                      <w:kern w:val="0"/>
                      <w:sz w:val="21"/>
                      <w:szCs w:val="21"/>
                      <w:highlight w:val="none"/>
                      <w:u w:val="none" w:color="auto"/>
                      <w:lang w:val="en-US" w:eastAsia="zh-CN" w:bidi="ar"/>
                    </w:rPr>
                    <w:t>2.5</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m</w:t>
                  </w:r>
                </w:p>
              </w:tc>
              <w:tc>
                <w:tcPr>
                  <w:tcW w:w="520" w:type="pct"/>
                  <w:tcBorders>
                    <w:tl2br w:val="nil"/>
                    <w:tr2bl w:val="nil"/>
                  </w:tcBorders>
                  <w:shd w:val="clear" w:color="auto" w:fill="auto"/>
                  <w:noWrap w:val="0"/>
                  <w:vAlign w:val="center"/>
                </w:tcPr>
                <w:p w14:paraId="45E88CD8">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vertAlign w:val="superscript"/>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75m</w:t>
                  </w:r>
                  <w:r>
                    <w:rPr>
                      <w:rFonts w:hint="eastAsia" w:ascii="Times New Roman" w:hAnsi="Times New Roman" w:eastAsia="宋体" w:cs="Times New Roman"/>
                      <w:b w:val="0"/>
                      <w:bCs/>
                      <w:i w:val="0"/>
                      <w:iCs w:val="0"/>
                      <w:color w:val="auto"/>
                      <w:kern w:val="0"/>
                      <w:sz w:val="21"/>
                      <w:szCs w:val="21"/>
                      <w:highlight w:val="none"/>
                      <w:u w:val="none" w:color="auto"/>
                      <w:vertAlign w:val="superscript"/>
                      <w:lang w:val="en-US" w:eastAsia="zh-CN" w:bidi="ar"/>
                    </w:rPr>
                    <w:t>3</w:t>
                  </w:r>
                </w:p>
              </w:tc>
              <w:tc>
                <w:tcPr>
                  <w:tcW w:w="547" w:type="pct"/>
                  <w:tcBorders>
                    <w:tl2br w:val="nil"/>
                    <w:tr2bl w:val="nil"/>
                  </w:tcBorders>
                  <w:shd w:val="clear" w:color="auto" w:fill="auto"/>
                  <w:noWrap w:val="0"/>
                  <w:vAlign w:val="center"/>
                </w:tcPr>
                <w:p w14:paraId="7050F0EC">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30次/h</w:t>
                  </w:r>
                </w:p>
              </w:tc>
              <w:tc>
                <w:tcPr>
                  <w:tcW w:w="592" w:type="pct"/>
                  <w:tcBorders>
                    <w:tl2br w:val="nil"/>
                    <w:tr2bl w:val="nil"/>
                  </w:tcBorders>
                  <w:noWrap w:val="0"/>
                  <w:vAlign w:val="center"/>
                </w:tcPr>
                <w:p w14:paraId="08B8848D">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2250</w:t>
                  </w:r>
                </w:p>
              </w:tc>
              <w:tc>
                <w:tcPr>
                  <w:tcW w:w="720" w:type="pct"/>
                  <w:vMerge w:val="restart"/>
                  <w:tcBorders>
                    <w:tl2br w:val="nil"/>
                    <w:tr2bl w:val="nil"/>
                  </w:tcBorders>
                  <w:noWrap w:val="0"/>
                  <w:vAlign w:val="center"/>
                </w:tcPr>
                <w:p w14:paraId="3E68E0B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cs="Times New Roman"/>
                      <w:color w:val="auto"/>
                      <w:spacing w:val="0"/>
                      <w:kern w:val="0"/>
                      <w:sz w:val="21"/>
                      <w:szCs w:val="21"/>
                      <w:highlight w:val="none"/>
                      <w:u w:val="none" w:color="auto"/>
                      <w:lang w:val="en-US" w:eastAsia="zh-CN"/>
                    </w:rPr>
                    <w:t>28000</w:t>
                  </w:r>
                </w:p>
              </w:tc>
            </w:tr>
            <w:tr w14:paraId="7DCAE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90" w:hRule="atLeast"/>
                <w:tblHeader/>
                <w:jc w:val="center"/>
              </w:trPr>
              <w:tc>
                <w:tcPr>
                  <w:tcW w:w="531" w:type="pct"/>
                  <w:vMerge w:val="continue"/>
                  <w:tcBorders>
                    <w:tl2br w:val="nil"/>
                    <w:tr2bl w:val="nil"/>
                  </w:tcBorders>
                  <w:noWrap w:val="0"/>
                  <w:tcMar>
                    <w:top w:w="15" w:type="dxa"/>
                    <w:left w:w="108" w:type="dxa"/>
                    <w:bottom w:w="15" w:type="dxa"/>
                    <w:right w:w="108" w:type="dxa"/>
                  </w:tcMar>
                  <w:vAlign w:val="center"/>
                </w:tcPr>
                <w:p w14:paraId="1EBDD60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p>
              </w:tc>
              <w:tc>
                <w:tcPr>
                  <w:tcW w:w="633" w:type="pct"/>
                  <w:vMerge w:val="continue"/>
                  <w:tcBorders>
                    <w:tl2br w:val="nil"/>
                    <w:tr2bl w:val="nil"/>
                  </w:tcBorders>
                  <w:noWrap w:val="0"/>
                  <w:vAlign w:val="center"/>
                </w:tcPr>
                <w:p w14:paraId="7D34625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p>
              </w:tc>
              <w:tc>
                <w:tcPr>
                  <w:tcW w:w="753" w:type="pct"/>
                  <w:tcBorders>
                    <w:tl2br w:val="nil"/>
                    <w:tr2bl w:val="nil"/>
                  </w:tcBorders>
                  <w:shd w:val="clear" w:color="auto" w:fill="auto"/>
                  <w:noWrap w:val="0"/>
                  <w:vAlign w:val="center"/>
                </w:tcPr>
                <w:p w14:paraId="4EF13478">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cs="Times New Roman"/>
                      <w:color w:val="auto"/>
                      <w:spacing w:val="0"/>
                      <w:kern w:val="0"/>
                      <w:sz w:val="21"/>
                      <w:szCs w:val="21"/>
                      <w:highlight w:val="none"/>
                      <w:u w:val="none" w:color="auto"/>
                      <w:lang w:val="en-US" w:eastAsia="zh-CN"/>
                    </w:rPr>
                    <w:t>高铁连接板</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喷漆房</w:t>
                  </w:r>
                </w:p>
              </w:tc>
              <w:tc>
                <w:tcPr>
                  <w:tcW w:w="700" w:type="pct"/>
                  <w:tcBorders>
                    <w:tl2br w:val="nil"/>
                    <w:tr2bl w:val="nil"/>
                  </w:tcBorders>
                  <w:shd w:val="clear" w:color="auto" w:fill="auto"/>
                  <w:noWrap w:val="0"/>
                  <w:vAlign w:val="center"/>
                </w:tcPr>
                <w:p w14:paraId="2DF6346A">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2.7m×3m×</w:t>
                  </w:r>
                  <w:r>
                    <w:rPr>
                      <w:rFonts w:hint="eastAsia" w:cs="Times New Roman"/>
                      <w:b w:val="0"/>
                      <w:bCs/>
                      <w:i w:val="0"/>
                      <w:iCs w:val="0"/>
                      <w:color w:val="auto"/>
                      <w:kern w:val="0"/>
                      <w:sz w:val="21"/>
                      <w:szCs w:val="21"/>
                      <w:highlight w:val="none"/>
                      <w:u w:val="none" w:color="auto"/>
                      <w:lang w:val="en-US" w:eastAsia="zh-CN" w:bidi="ar"/>
                    </w:rPr>
                    <w:t>2.5</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m</w:t>
                  </w:r>
                </w:p>
              </w:tc>
              <w:tc>
                <w:tcPr>
                  <w:tcW w:w="520" w:type="pct"/>
                  <w:tcBorders>
                    <w:tl2br w:val="nil"/>
                    <w:tr2bl w:val="nil"/>
                  </w:tcBorders>
                  <w:shd w:val="clear" w:color="auto" w:fill="auto"/>
                  <w:noWrap w:val="0"/>
                  <w:vAlign w:val="center"/>
                </w:tcPr>
                <w:p w14:paraId="2B79B348">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20.25m</w:t>
                  </w:r>
                  <w:r>
                    <w:rPr>
                      <w:rFonts w:hint="eastAsia" w:ascii="Times New Roman" w:hAnsi="Times New Roman" w:eastAsia="宋体" w:cs="Times New Roman"/>
                      <w:b w:val="0"/>
                      <w:bCs/>
                      <w:i w:val="0"/>
                      <w:iCs w:val="0"/>
                      <w:color w:val="auto"/>
                      <w:kern w:val="0"/>
                      <w:sz w:val="21"/>
                      <w:szCs w:val="21"/>
                      <w:highlight w:val="none"/>
                      <w:u w:val="none" w:color="auto"/>
                      <w:vertAlign w:val="superscript"/>
                      <w:lang w:val="en-US" w:eastAsia="zh-CN" w:bidi="ar"/>
                    </w:rPr>
                    <w:t>3</w:t>
                  </w:r>
                </w:p>
              </w:tc>
              <w:tc>
                <w:tcPr>
                  <w:tcW w:w="547" w:type="pct"/>
                  <w:tcBorders>
                    <w:tl2br w:val="nil"/>
                    <w:tr2bl w:val="nil"/>
                  </w:tcBorders>
                  <w:shd w:val="clear" w:color="auto" w:fill="auto"/>
                  <w:noWrap w:val="0"/>
                  <w:vAlign w:val="center"/>
                </w:tcPr>
                <w:p w14:paraId="1B511F3D">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30次/h</w:t>
                  </w:r>
                </w:p>
              </w:tc>
              <w:tc>
                <w:tcPr>
                  <w:tcW w:w="592" w:type="pct"/>
                  <w:tcBorders>
                    <w:tl2br w:val="nil"/>
                    <w:tr2bl w:val="nil"/>
                  </w:tcBorders>
                  <w:noWrap w:val="0"/>
                  <w:vAlign w:val="center"/>
                </w:tcPr>
                <w:p w14:paraId="27390898">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607.5</w:t>
                  </w:r>
                </w:p>
              </w:tc>
              <w:tc>
                <w:tcPr>
                  <w:tcW w:w="720" w:type="pct"/>
                  <w:vMerge w:val="continue"/>
                  <w:tcBorders>
                    <w:tl2br w:val="nil"/>
                    <w:tr2bl w:val="nil"/>
                  </w:tcBorders>
                  <w:noWrap w:val="0"/>
                  <w:vAlign w:val="center"/>
                </w:tcPr>
                <w:p w14:paraId="4AF39DA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p>
              </w:tc>
            </w:tr>
            <w:tr w14:paraId="0483B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blHeader/>
                <w:jc w:val="center"/>
              </w:trPr>
              <w:tc>
                <w:tcPr>
                  <w:tcW w:w="531" w:type="pct"/>
                  <w:vMerge w:val="continue"/>
                  <w:tcBorders>
                    <w:tl2br w:val="nil"/>
                    <w:tr2bl w:val="nil"/>
                  </w:tcBorders>
                  <w:noWrap w:val="0"/>
                  <w:tcMar>
                    <w:top w:w="15" w:type="dxa"/>
                    <w:left w:w="108" w:type="dxa"/>
                    <w:bottom w:w="15" w:type="dxa"/>
                    <w:right w:w="108" w:type="dxa"/>
                  </w:tcMar>
                  <w:vAlign w:val="center"/>
                </w:tcPr>
                <w:p w14:paraId="2C6E8E4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p>
              </w:tc>
              <w:tc>
                <w:tcPr>
                  <w:tcW w:w="633" w:type="pct"/>
                  <w:tcBorders>
                    <w:tl2br w:val="nil"/>
                    <w:tr2bl w:val="nil"/>
                  </w:tcBorders>
                  <w:noWrap w:val="0"/>
                  <w:vAlign w:val="center"/>
                </w:tcPr>
                <w:p w14:paraId="5823FB2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风扇、风罩喷漆、晾干</w:t>
                  </w:r>
                </w:p>
              </w:tc>
              <w:tc>
                <w:tcPr>
                  <w:tcW w:w="753" w:type="pct"/>
                  <w:tcBorders>
                    <w:tl2br w:val="nil"/>
                    <w:tr2bl w:val="nil"/>
                  </w:tcBorders>
                  <w:shd w:val="clear" w:color="auto" w:fill="auto"/>
                  <w:noWrap w:val="0"/>
                  <w:vAlign w:val="center"/>
                </w:tcPr>
                <w:p w14:paraId="1788316F">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color w:val="auto"/>
                      <w:spacing w:val="0"/>
                      <w:kern w:val="0"/>
                      <w:sz w:val="21"/>
                      <w:szCs w:val="21"/>
                      <w:highlight w:val="none"/>
                      <w:u w:val="none" w:color="auto"/>
                      <w:lang w:val="en-US" w:eastAsia="zh-CN"/>
                    </w:rPr>
                    <w:t>风扇、风罩喷漆</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房</w:t>
                  </w:r>
                </w:p>
              </w:tc>
              <w:tc>
                <w:tcPr>
                  <w:tcW w:w="700" w:type="pct"/>
                  <w:tcBorders>
                    <w:tl2br w:val="nil"/>
                    <w:tr2bl w:val="nil"/>
                  </w:tcBorders>
                  <w:shd w:val="clear" w:color="auto" w:fill="auto"/>
                  <w:noWrap w:val="0"/>
                  <w:vAlign w:val="center"/>
                </w:tcPr>
                <w:p w14:paraId="7B2C386D">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2套，4m×3m×</w:t>
                  </w:r>
                  <w:r>
                    <w:rPr>
                      <w:rFonts w:hint="eastAsia" w:cs="Times New Roman"/>
                      <w:b w:val="0"/>
                      <w:bCs/>
                      <w:i w:val="0"/>
                      <w:iCs w:val="0"/>
                      <w:color w:val="auto"/>
                      <w:kern w:val="0"/>
                      <w:sz w:val="21"/>
                      <w:szCs w:val="21"/>
                      <w:highlight w:val="none"/>
                      <w:u w:val="none" w:color="auto"/>
                      <w:lang w:val="en-US" w:eastAsia="zh-CN" w:bidi="ar"/>
                    </w:rPr>
                    <w:t>2.5</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m</w:t>
                  </w:r>
                </w:p>
              </w:tc>
              <w:tc>
                <w:tcPr>
                  <w:tcW w:w="520" w:type="pct"/>
                  <w:tcBorders>
                    <w:tl2br w:val="nil"/>
                    <w:tr2bl w:val="nil"/>
                  </w:tcBorders>
                  <w:shd w:val="clear" w:color="auto" w:fill="auto"/>
                  <w:noWrap w:val="0"/>
                  <w:vAlign w:val="center"/>
                </w:tcPr>
                <w:p w14:paraId="2A0CD645">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60m</w:t>
                  </w:r>
                  <w:r>
                    <w:rPr>
                      <w:rFonts w:hint="eastAsia" w:ascii="Times New Roman" w:hAnsi="Times New Roman" w:eastAsia="宋体" w:cs="Times New Roman"/>
                      <w:b w:val="0"/>
                      <w:bCs/>
                      <w:i w:val="0"/>
                      <w:iCs w:val="0"/>
                      <w:color w:val="auto"/>
                      <w:kern w:val="0"/>
                      <w:sz w:val="21"/>
                      <w:szCs w:val="21"/>
                      <w:highlight w:val="none"/>
                      <w:u w:val="none" w:color="auto"/>
                      <w:vertAlign w:val="superscript"/>
                      <w:lang w:val="en-US" w:eastAsia="zh-CN" w:bidi="ar"/>
                    </w:rPr>
                    <w:t>3</w:t>
                  </w:r>
                </w:p>
              </w:tc>
              <w:tc>
                <w:tcPr>
                  <w:tcW w:w="547" w:type="pct"/>
                  <w:tcBorders>
                    <w:tl2br w:val="nil"/>
                    <w:tr2bl w:val="nil"/>
                  </w:tcBorders>
                  <w:shd w:val="clear" w:color="auto" w:fill="auto"/>
                  <w:noWrap w:val="0"/>
                  <w:vAlign w:val="center"/>
                </w:tcPr>
                <w:p w14:paraId="6E307E3B">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30次/h</w:t>
                  </w:r>
                </w:p>
              </w:tc>
              <w:tc>
                <w:tcPr>
                  <w:tcW w:w="592" w:type="pct"/>
                  <w:tcBorders>
                    <w:tl2br w:val="nil"/>
                    <w:tr2bl w:val="nil"/>
                  </w:tcBorders>
                  <w:noWrap w:val="0"/>
                  <w:vAlign w:val="center"/>
                </w:tcPr>
                <w:p w14:paraId="5011C3D3">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1800</w:t>
                  </w:r>
                </w:p>
              </w:tc>
              <w:tc>
                <w:tcPr>
                  <w:tcW w:w="720" w:type="pct"/>
                  <w:vMerge w:val="continue"/>
                  <w:tcBorders>
                    <w:tl2br w:val="nil"/>
                    <w:tr2bl w:val="nil"/>
                  </w:tcBorders>
                  <w:noWrap w:val="0"/>
                  <w:vAlign w:val="center"/>
                </w:tcPr>
                <w:p w14:paraId="580AC11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p>
              </w:tc>
            </w:tr>
            <w:tr w14:paraId="69C01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90" w:hRule="atLeast"/>
                <w:tblHeader/>
                <w:jc w:val="center"/>
              </w:trPr>
              <w:tc>
                <w:tcPr>
                  <w:tcW w:w="531" w:type="pct"/>
                  <w:vMerge w:val="continue"/>
                  <w:tcBorders>
                    <w:tl2br w:val="nil"/>
                    <w:tr2bl w:val="nil"/>
                  </w:tcBorders>
                  <w:noWrap w:val="0"/>
                  <w:tcMar>
                    <w:top w:w="15" w:type="dxa"/>
                    <w:left w:w="108" w:type="dxa"/>
                    <w:bottom w:w="15" w:type="dxa"/>
                    <w:right w:w="108" w:type="dxa"/>
                  </w:tcMar>
                  <w:vAlign w:val="center"/>
                </w:tcPr>
                <w:p w14:paraId="1C20F1B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p>
              </w:tc>
              <w:tc>
                <w:tcPr>
                  <w:tcW w:w="633" w:type="pct"/>
                  <w:tcBorders>
                    <w:tl2br w:val="nil"/>
                    <w:tr2bl w:val="nil"/>
                  </w:tcBorders>
                  <w:noWrap w:val="0"/>
                  <w:vAlign w:val="center"/>
                </w:tcPr>
                <w:p w14:paraId="4088A1E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r>
                    <w:rPr>
                      <w:rFonts w:hint="eastAsia" w:cs="Times New Roman"/>
                      <w:color w:val="auto"/>
                      <w:spacing w:val="0"/>
                      <w:kern w:val="0"/>
                      <w:sz w:val="21"/>
                      <w:szCs w:val="21"/>
                      <w:highlight w:val="none"/>
                      <w:u w:val="none" w:color="auto"/>
                      <w:lang w:val="en-US" w:eastAsia="zh-CN"/>
                    </w:rPr>
                    <w:t>高铁连接板</w:t>
                  </w:r>
                  <w:r>
                    <w:rPr>
                      <w:rFonts w:hint="eastAsia" w:ascii="Times New Roman" w:hAnsi="Times New Roman" w:eastAsia="宋体" w:cs="Times New Roman"/>
                      <w:color w:val="auto"/>
                      <w:spacing w:val="0"/>
                      <w:kern w:val="0"/>
                      <w:sz w:val="21"/>
                      <w:szCs w:val="21"/>
                      <w:highlight w:val="none"/>
                      <w:u w:val="none" w:color="auto"/>
                      <w:lang w:val="en-US" w:eastAsia="zh-CN"/>
                    </w:rPr>
                    <w:t>烤漆</w:t>
                  </w:r>
                </w:p>
              </w:tc>
              <w:tc>
                <w:tcPr>
                  <w:tcW w:w="753" w:type="pct"/>
                  <w:tcBorders>
                    <w:tl2br w:val="nil"/>
                    <w:tr2bl w:val="nil"/>
                  </w:tcBorders>
                  <w:shd w:val="clear" w:color="auto" w:fill="auto"/>
                  <w:noWrap w:val="0"/>
                  <w:vAlign w:val="center"/>
                </w:tcPr>
                <w:p w14:paraId="3F078FBE">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cs="Times New Roman"/>
                      <w:color w:val="auto"/>
                      <w:spacing w:val="0"/>
                      <w:kern w:val="0"/>
                      <w:sz w:val="21"/>
                      <w:szCs w:val="21"/>
                      <w:highlight w:val="none"/>
                      <w:u w:val="none" w:color="auto"/>
                      <w:lang w:val="en-US" w:eastAsia="zh-CN"/>
                    </w:rPr>
                    <w:t>高铁连接板</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烤炉</w:t>
                  </w:r>
                </w:p>
              </w:tc>
              <w:tc>
                <w:tcPr>
                  <w:tcW w:w="700" w:type="pct"/>
                  <w:tcBorders>
                    <w:tl2br w:val="nil"/>
                    <w:tr2bl w:val="nil"/>
                  </w:tcBorders>
                  <w:shd w:val="clear" w:color="auto" w:fill="auto"/>
                  <w:noWrap w:val="0"/>
                  <w:vAlign w:val="center"/>
                </w:tcPr>
                <w:p w14:paraId="71F5F3AE">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3台，3.5m×4m×2.5m</w:t>
                  </w:r>
                </w:p>
              </w:tc>
              <w:tc>
                <w:tcPr>
                  <w:tcW w:w="520" w:type="pct"/>
                  <w:tcBorders>
                    <w:tl2br w:val="nil"/>
                    <w:tr2bl w:val="nil"/>
                  </w:tcBorders>
                  <w:shd w:val="clear" w:color="auto" w:fill="auto"/>
                  <w:noWrap w:val="0"/>
                  <w:vAlign w:val="center"/>
                </w:tcPr>
                <w:p w14:paraId="0AC1E2EA">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105m</w:t>
                  </w:r>
                  <w:r>
                    <w:rPr>
                      <w:rFonts w:hint="eastAsia" w:ascii="Times New Roman" w:hAnsi="Times New Roman" w:eastAsia="宋体" w:cs="Times New Roman"/>
                      <w:b w:val="0"/>
                      <w:bCs/>
                      <w:i w:val="0"/>
                      <w:iCs w:val="0"/>
                      <w:color w:val="auto"/>
                      <w:kern w:val="0"/>
                      <w:sz w:val="21"/>
                      <w:szCs w:val="21"/>
                      <w:highlight w:val="none"/>
                      <w:u w:val="none" w:color="auto"/>
                      <w:vertAlign w:val="superscript"/>
                      <w:lang w:val="en-US" w:eastAsia="zh-CN" w:bidi="ar"/>
                    </w:rPr>
                    <w:t>3</w:t>
                  </w:r>
                </w:p>
              </w:tc>
              <w:tc>
                <w:tcPr>
                  <w:tcW w:w="547" w:type="pct"/>
                  <w:tcBorders>
                    <w:tl2br w:val="nil"/>
                    <w:tr2bl w:val="nil"/>
                  </w:tcBorders>
                  <w:shd w:val="clear" w:color="auto" w:fill="auto"/>
                  <w:noWrap w:val="0"/>
                  <w:vAlign w:val="center"/>
                </w:tcPr>
                <w:p w14:paraId="4115719B">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30次/h</w:t>
                  </w:r>
                </w:p>
              </w:tc>
              <w:tc>
                <w:tcPr>
                  <w:tcW w:w="592" w:type="pct"/>
                  <w:tcBorders>
                    <w:tl2br w:val="nil"/>
                    <w:tr2bl w:val="nil"/>
                  </w:tcBorders>
                  <w:noWrap w:val="0"/>
                  <w:vAlign w:val="center"/>
                </w:tcPr>
                <w:p w14:paraId="35AA8AE2">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3150</w:t>
                  </w:r>
                </w:p>
              </w:tc>
              <w:tc>
                <w:tcPr>
                  <w:tcW w:w="720" w:type="pct"/>
                  <w:vMerge w:val="continue"/>
                  <w:tcBorders>
                    <w:tl2br w:val="nil"/>
                    <w:tr2bl w:val="nil"/>
                  </w:tcBorders>
                  <w:noWrap w:val="0"/>
                  <w:vAlign w:val="center"/>
                </w:tcPr>
                <w:p w14:paraId="522A6F9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p>
              </w:tc>
            </w:tr>
            <w:tr w14:paraId="7B4EE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90" w:hRule="atLeast"/>
                <w:tblHeader/>
                <w:jc w:val="center"/>
              </w:trPr>
              <w:tc>
                <w:tcPr>
                  <w:tcW w:w="531" w:type="pct"/>
                  <w:vMerge w:val="continue"/>
                  <w:tcBorders>
                    <w:tl2br w:val="nil"/>
                    <w:tr2bl w:val="nil"/>
                  </w:tcBorders>
                  <w:noWrap w:val="0"/>
                  <w:tcMar>
                    <w:top w:w="15" w:type="dxa"/>
                    <w:left w:w="108" w:type="dxa"/>
                    <w:bottom w:w="15" w:type="dxa"/>
                    <w:right w:w="108" w:type="dxa"/>
                  </w:tcMar>
                  <w:vAlign w:val="center"/>
                </w:tcPr>
                <w:p w14:paraId="22AF537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p>
              </w:tc>
              <w:tc>
                <w:tcPr>
                  <w:tcW w:w="3155" w:type="pct"/>
                  <w:gridSpan w:val="5"/>
                  <w:tcBorders>
                    <w:tl2br w:val="nil"/>
                    <w:tr2bl w:val="nil"/>
                  </w:tcBorders>
                  <w:noWrap w:val="0"/>
                  <w:vAlign w:val="center"/>
                </w:tcPr>
                <w:p w14:paraId="6FD74463">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合计</w:t>
                  </w:r>
                </w:p>
              </w:tc>
              <w:tc>
                <w:tcPr>
                  <w:tcW w:w="592" w:type="pct"/>
                  <w:tcBorders>
                    <w:tl2br w:val="nil"/>
                    <w:tr2bl w:val="nil"/>
                  </w:tcBorders>
                  <w:noWrap w:val="0"/>
                  <w:vAlign w:val="center"/>
                </w:tcPr>
                <w:p w14:paraId="2B349D21">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7807.5</w:t>
                  </w:r>
                </w:p>
              </w:tc>
              <w:tc>
                <w:tcPr>
                  <w:tcW w:w="720" w:type="pct"/>
                  <w:vMerge w:val="continue"/>
                  <w:tcBorders>
                    <w:tl2br w:val="nil"/>
                    <w:tr2bl w:val="nil"/>
                  </w:tcBorders>
                  <w:noWrap w:val="0"/>
                  <w:vAlign w:val="center"/>
                </w:tcPr>
                <w:p w14:paraId="3C311A4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pacing w:val="0"/>
                      <w:kern w:val="0"/>
                      <w:sz w:val="21"/>
                      <w:szCs w:val="21"/>
                      <w:highlight w:val="none"/>
                      <w:u w:val="none" w:color="auto"/>
                      <w:lang w:val="en-US" w:eastAsia="zh-CN"/>
                    </w:rPr>
                  </w:pPr>
                </w:p>
              </w:tc>
            </w:tr>
            <w:tr w14:paraId="4FDAA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90" w:hRule="atLeast"/>
                <w:tblHeader/>
                <w:jc w:val="center"/>
              </w:trPr>
              <w:tc>
                <w:tcPr>
                  <w:tcW w:w="531" w:type="pct"/>
                  <w:tcBorders>
                    <w:tl2br w:val="nil"/>
                    <w:tr2bl w:val="nil"/>
                  </w:tcBorders>
                  <w:noWrap w:val="0"/>
                  <w:tcMar>
                    <w:top w:w="15" w:type="dxa"/>
                    <w:left w:w="108" w:type="dxa"/>
                    <w:bottom w:w="15" w:type="dxa"/>
                    <w:right w:w="108" w:type="dxa"/>
                  </w:tcMar>
                  <w:vAlign w:val="center"/>
                </w:tcPr>
                <w:p w14:paraId="0A1498A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DA002</w:t>
                  </w:r>
                </w:p>
              </w:tc>
              <w:tc>
                <w:tcPr>
                  <w:tcW w:w="633" w:type="pct"/>
                  <w:tcBorders>
                    <w:tl2br w:val="nil"/>
                    <w:tr2bl w:val="nil"/>
                  </w:tcBorders>
                  <w:noWrap w:val="0"/>
                  <w:vAlign w:val="center"/>
                </w:tcPr>
                <w:p w14:paraId="7FFF176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eastAsia="宋体" w:cs="Times New Roman"/>
                      <w:color w:val="auto"/>
                      <w:spacing w:val="0"/>
                      <w:kern w:val="0"/>
                      <w:sz w:val="21"/>
                      <w:szCs w:val="21"/>
                      <w:highlight w:val="none"/>
                      <w:u w:val="none" w:color="auto"/>
                      <w:lang w:val="en-US" w:eastAsia="zh-CN"/>
                    </w:rPr>
                    <w:t>调漆、车间工艺废气</w:t>
                  </w:r>
                </w:p>
              </w:tc>
              <w:tc>
                <w:tcPr>
                  <w:tcW w:w="753" w:type="pct"/>
                  <w:tcBorders>
                    <w:tl2br w:val="nil"/>
                    <w:tr2bl w:val="nil"/>
                  </w:tcBorders>
                  <w:shd w:val="clear" w:color="auto" w:fill="auto"/>
                  <w:noWrap w:val="0"/>
                  <w:vAlign w:val="center"/>
                </w:tcPr>
                <w:p w14:paraId="7BA05438">
                  <w:pPr>
                    <w:keepNext w:val="0"/>
                    <w:keepLines w:val="0"/>
                    <w:widowControl/>
                    <w:suppressLineNumbers w:val="0"/>
                    <w:jc w:val="center"/>
                    <w:textAlignment w:val="center"/>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ascii="Times New Roman" w:hAnsi="Times New Roman" w:cs="Times New Roman"/>
                      <w:color w:val="auto"/>
                      <w:szCs w:val="21"/>
                      <w:highlight w:val="none"/>
                      <w:u w:val="none" w:color="auto"/>
                      <w:lang w:val="en-US" w:eastAsia="zh-CN"/>
                    </w:rPr>
                    <w:t>车间二密闭车间</w:t>
                  </w:r>
                </w:p>
              </w:tc>
              <w:tc>
                <w:tcPr>
                  <w:tcW w:w="700" w:type="pct"/>
                  <w:tcBorders>
                    <w:tl2br w:val="nil"/>
                    <w:tr2bl w:val="nil"/>
                  </w:tcBorders>
                  <w:shd w:val="clear" w:color="auto" w:fill="auto"/>
                  <w:noWrap w:val="0"/>
                  <w:vAlign w:val="center"/>
                </w:tcPr>
                <w:p w14:paraId="51F85EE8">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8m×20m×2.5m</w:t>
                  </w:r>
                </w:p>
              </w:tc>
              <w:tc>
                <w:tcPr>
                  <w:tcW w:w="520" w:type="pct"/>
                  <w:tcBorders>
                    <w:tl2br w:val="nil"/>
                    <w:tr2bl w:val="nil"/>
                  </w:tcBorders>
                  <w:shd w:val="clear" w:color="auto" w:fill="auto"/>
                  <w:noWrap w:val="0"/>
                  <w:vAlign w:val="center"/>
                </w:tcPr>
                <w:p w14:paraId="344F3BAD">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cs="Times New Roman"/>
                      <w:b w:val="0"/>
                      <w:bCs/>
                      <w:i w:val="0"/>
                      <w:iCs w:val="0"/>
                      <w:color w:val="auto"/>
                      <w:kern w:val="0"/>
                      <w:sz w:val="21"/>
                      <w:szCs w:val="21"/>
                      <w:highlight w:val="none"/>
                      <w:u w:val="none" w:color="auto"/>
                      <w:lang w:val="en-US" w:eastAsia="zh-CN" w:bidi="ar"/>
                    </w:rPr>
                    <w:t>400</w:t>
                  </w: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m</w:t>
                  </w:r>
                  <w:r>
                    <w:rPr>
                      <w:rFonts w:hint="eastAsia" w:ascii="Times New Roman" w:hAnsi="Times New Roman" w:eastAsia="宋体" w:cs="Times New Roman"/>
                      <w:b w:val="0"/>
                      <w:bCs/>
                      <w:i w:val="0"/>
                      <w:iCs w:val="0"/>
                      <w:color w:val="auto"/>
                      <w:kern w:val="0"/>
                      <w:sz w:val="21"/>
                      <w:szCs w:val="21"/>
                      <w:highlight w:val="none"/>
                      <w:u w:val="none" w:color="auto"/>
                      <w:vertAlign w:val="superscript"/>
                      <w:lang w:val="en-US" w:eastAsia="zh-CN" w:bidi="ar"/>
                    </w:rPr>
                    <w:t>3</w:t>
                  </w:r>
                </w:p>
              </w:tc>
              <w:tc>
                <w:tcPr>
                  <w:tcW w:w="547" w:type="pct"/>
                  <w:tcBorders>
                    <w:tl2br w:val="nil"/>
                    <w:tr2bl w:val="nil"/>
                  </w:tcBorders>
                  <w:shd w:val="clear" w:color="auto" w:fill="auto"/>
                  <w:noWrap w:val="0"/>
                  <w:vAlign w:val="center"/>
                </w:tcPr>
                <w:p w14:paraId="53F0F17E">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6次/h</w:t>
                  </w:r>
                </w:p>
              </w:tc>
              <w:tc>
                <w:tcPr>
                  <w:tcW w:w="592" w:type="pct"/>
                  <w:tcBorders>
                    <w:tl2br w:val="nil"/>
                    <w:tr2bl w:val="nil"/>
                  </w:tcBorders>
                  <w:noWrap w:val="0"/>
                  <w:vAlign w:val="center"/>
                </w:tcPr>
                <w:p w14:paraId="6422E100">
                  <w:pPr>
                    <w:keepNext w:val="0"/>
                    <w:keepLines w:val="0"/>
                    <w:widowControl/>
                    <w:suppressLineNumbers w:val="0"/>
                    <w:jc w:val="center"/>
                    <w:textAlignment w:val="cente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pPr>
                  <w:r>
                    <w:rPr>
                      <w:rFonts w:hint="eastAsia" w:ascii="Times New Roman" w:hAnsi="Times New Roman" w:eastAsia="宋体" w:cs="Times New Roman"/>
                      <w:b w:val="0"/>
                      <w:bCs/>
                      <w:i w:val="0"/>
                      <w:iCs w:val="0"/>
                      <w:color w:val="auto"/>
                      <w:kern w:val="0"/>
                      <w:sz w:val="21"/>
                      <w:szCs w:val="21"/>
                      <w:highlight w:val="none"/>
                      <w:u w:val="none" w:color="auto"/>
                      <w:lang w:val="en-US" w:eastAsia="zh-CN" w:bidi="ar"/>
                    </w:rPr>
                    <w:t>2400</w:t>
                  </w:r>
                </w:p>
              </w:tc>
              <w:tc>
                <w:tcPr>
                  <w:tcW w:w="720" w:type="pct"/>
                  <w:tcBorders>
                    <w:tl2br w:val="nil"/>
                    <w:tr2bl w:val="nil"/>
                  </w:tcBorders>
                  <w:noWrap w:val="0"/>
                  <w:vAlign w:val="center"/>
                </w:tcPr>
                <w:p w14:paraId="031F2BA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pacing w:val="0"/>
                      <w:kern w:val="0"/>
                      <w:sz w:val="21"/>
                      <w:szCs w:val="21"/>
                      <w:highlight w:val="none"/>
                      <w:u w:val="none" w:color="auto"/>
                      <w:lang w:val="en-US" w:eastAsia="zh-CN"/>
                    </w:rPr>
                  </w:pPr>
                  <w:r>
                    <w:rPr>
                      <w:rFonts w:hint="eastAsia" w:cs="Times New Roman"/>
                      <w:color w:val="auto"/>
                      <w:spacing w:val="0"/>
                      <w:kern w:val="0"/>
                      <w:sz w:val="21"/>
                      <w:szCs w:val="21"/>
                      <w:highlight w:val="none"/>
                      <w:u w:val="none" w:color="auto"/>
                      <w:lang w:val="en-US" w:eastAsia="zh-CN"/>
                    </w:rPr>
                    <w:t>10000</w:t>
                  </w:r>
                </w:p>
              </w:tc>
            </w:tr>
          </w:tbl>
          <w:p w14:paraId="1C4B1AF4">
            <w:pPr>
              <w:keepNext w:val="0"/>
              <w:keepLines w:val="0"/>
              <w:pageBreakBefore w:val="0"/>
              <w:widowControl/>
              <w:kinsoku/>
              <w:wordWrap/>
              <w:overflowPunct/>
              <w:topLinePunct w:val="0"/>
              <w:autoSpaceDE/>
              <w:autoSpaceDN/>
              <w:bidi w:val="0"/>
              <w:adjustRightInd/>
              <w:snapToGrid w:val="0"/>
              <w:spacing w:before="0" w:after="0" w:line="240" w:lineRule="auto"/>
              <w:ind w:left="0" w:leftChars="0" w:right="113" w:firstLine="0" w:firstLineChars="0"/>
              <w:jc w:val="center"/>
              <w:textAlignment w:val="auto"/>
              <w:rPr>
                <w:rFonts w:hint="eastAsia" w:ascii="Times New Roman" w:hAnsi="Times New Roman" w:eastAsia="宋体" w:cs="Times New Roman"/>
                <w:b/>
                <w:bCs/>
                <w:color w:val="auto"/>
                <w:spacing w:val="-6"/>
                <w:kern w:val="2"/>
                <w:sz w:val="21"/>
                <w:szCs w:val="21"/>
                <w:highlight w:val="none"/>
                <w:u w:val="none" w:color="auto"/>
                <w:lang w:val="en-US" w:eastAsia="zh-CN" w:bidi="ar-SA"/>
              </w:rPr>
            </w:pPr>
          </w:p>
          <w:p w14:paraId="33ED65EF">
            <w:pPr>
              <w:keepNext w:val="0"/>
              <w:keepLines w:val="0"/>
              <w:pageBreakBefore w:val="0"/>
              <w:widowControl/>
              <w:kinsoku/>
              <w:wordWrap/>
              <w:overflowPunct/>
              <w:topLinePunct w:val="0"/>
              <w:autoSpaceDE/>
              <w:autoSpaceDN/>
              <w:bidi w:val="0"/>
              <w:adjustRightInd/>
              <w:snapToGrid w:val="0"/>
              <w:spacing w:before="0" w:after="0" w:line="240" w:lineRule="auto"/>
              <w:ind w:left="0" w:leftChars="0" w:right="113" w:firstLine="0" w:firstLineChars="0"/>
              <w:jc w:val="center"/>
              <w:textAlignment w:val="auto"/>
              <w:rPr>
                <w:rFonts w:hint="default" w:ascii="Times New Roman" w:hAnsi="Times New Roman" w:eastAsia="宋体" w:cs="Times New Roman"/>
                <w:b/>
                <w:bCs/>
                <w:color w:val="auto"/>
                <w:spacing w:val="-6"/>
                <w:kern w:val="2"/>
                <w:sz w:val="21"/>
                <w:szCs w:val="21"/>
                <w:highlight w:val="none"/>
                <w:u w:val="none" w:color="auto"/>
                <w:lang w:val="en-US" w:eastAsia="zh-CN" w:bidi="ar-SA"/>
              </w:rPr>
            </w:pPr>
            <w:r>
              <w:drawing>
                <wp:anchor distT="0" distB="0" distL="114300" distR="114300" simplePos="0" relativeHeight="251660288" behindDoc="0" locked="0" layoutInCell="1" allowOverlap="1">
                  <wp:simplePos x="0" y="0"/>
                  <wp:positionH relativeFrom="column">
                    <wp:posOffset>-34290</wp:posOffset>
                  </wp:positionH>
                  <wp:positionV relativeFrom="paragraph">
                    <wp:posOffset>133985</wp:posOffset>
                  </wp:positionV>
                  <wp:extent cx="5340985" cy="4190365"/>
                  <wp:effectExtent l="0" t="0" r="12065" b="635"/>
                  <wp:wrapTopAndBottom/>
                  <wp:docPr id="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
                          <pic:cNvPicPr>
                            <a:picLocks noChangeAspect="1"/>
                          </pic:cNvPicPr>
                        </pic:nvPicPr>
                        <pic:blipFill>
                          <a:blip r:embed="rId9"/>
                          <a:stretch>
                            <a:fillRect/>
                          </a:stretch>
                        </pic:blipFill>
                        <pic:spPr>
                          <a:xfrm>
                            <a:off x="0" y="0"/>
                            <a:ext cx="5340985" cy="4190365"/>
                          </a:xfrm>
                          <a:prstGeom prst="rect">
                            <a:avLst/>
                          </a:prstGeom>
                          <a:noFill/>
                          <a:ln>
                            <a:noFill/>
                          </a:ln>
                        </pic:spPr>
                      </pic:pic>
                    </a:graphicData>
                  </a:graphic>
                </wp:anchor>
              </w:drawing>
            </w:r>
            <w:r>
              <w:rPr>
                <w:rFonts w:hint="eastAsia" w:cs="Times New Roman"/>
                <w:b/>
                <w:bCs/>
                <w:color w:val="auto"/>
                <w:spacing w:val="-6"/>
                <w:kern w:val="2"/>
                <w:sz w:val="21"/>
                <w:szCs w:val="21"/>
                <w:highlight w:val="none"/>
                <w:u w:val="none" w:color="auto"/>
                <w:lang w:val="en-US" w:eastAsia="zh-CN" w:bidi="ar-SA"/>
              </w:rPr>
              <w:t xml:space="preserve">      </w:t>
            </w:r>
          </w:p>
          <w:p w14:paraId="30E2AC73">
            <w:pPr>
              <w:keepNext w:val="0"/>
              <w:keepLines w:val="0"/>
              <w:pageBreakBefore w:val="0"/>
              <w:widowControl/>
              <w:kinsoku/>
              <w:wordWrap/>
              <w:overflowPunct/>
              <w:topLinePunct w:val="0"/>
              <w:autoSpaceDE/>
              <w:autoSpaceDN/>
              <w:bidi w:val="0"/>
              <w:adjustRightInd/>
              <w:snapToGrid w:val="0"/>
              <w:spacing w:before="0" w:after="0" w:line="240" w:lineRule="auto"/>
              <w:ind w:left="0" w:leftChars="0" w:right="113" w:firstLine="0" w:firstLineChars="0"/>
              <w:jc w:val="center"/>
              <w:textAlignment w:val="auto"/>
              <w:rPr>
                <w:rFonts w:hint="default" w:ascii="Times New Roman" w:hAnsi="Times New Roman" w:eastAsia="宋体" w:cs="Times New Roman"/>
                <w:b/>
                <w:bCs/>
                <w:color w:val="auto"/>
                <w:spacing w:val="-6"/>
                <w:kern w:val="2"/>
                <w:sz w:val="21"/>
                <w:szCs w:val="21"/>
                <w:highlight w:val="none"/>
                <w:u w:val="none" w:color="auto"/>
                <w:lang w:val="en-US" w:eastAsia="zh-CN" w:bidi="ar-SA"/>
              </w:rPr>
            </w:pPr>
            <w:r>
              <w:rPr>
                <w:rFonts w:hint="eastAsia" w:ascii="Times New Roman" w:hAnsi="Times New Roman" w:eastAsia="宋体" w:cs="Times New Roman"/>
                <w:b/>
                <w:bCs/>
                <w:color w:val="auto"/>
                <w:spacing w:val="-6"/>
                <w:kern w:val="2"/>
                <w:sz w:val="21"/>
                <w:szCs w:val="21"/>
                <w:highlight w:val="none"/>
                <w:u w:val="none" w:color="auto"/>
                <w:lang w:val="en-US" w:eastAsia="zh-CN" w:bidi="ar-SA"/>
              </w:rPr>
              <w:t>图</w:t>
            </w:r>
            <w:r>
              <w:rPr>
                <w:rFonts w:hint="eastAsia" w:cs="Times New Roman"/>
                <w:b/>
                <w:bCs/>
                <w:color w:val="auto"/>
                <w:spacing w:val="-6"/>
                <w:kern w:val="2"/>
                <w:sz w:val="21"/>
                <w:szCs w:val="21"/>
                <w:highlight w:val="none"/>
                <w:u w:val="none" w:color="auto"/>
                <w:lang w:val="en-US" w:eastAsia="zh-CN" w:bidi="ar-SA"/>
              </w:rPr>
              <w:t>4</w:t>
            </w:r>
            <w:r>
              <w:rPr>
                <w:rFonts w:hint="eastAsia" w:ascii="Times New Roman" w:hAnsi="Times New Roman" w:eastAsia="宋体" w:cs="Times New Roman"/>
                <w:b/>
                <w:bCs/>
                <w:color w:val="auto"/>
                <w:spacing w:val="-6"/>
                <w:kern w:val="2"/>
                <w:sz w:val="21"/>
                <w:szCs w:val="21"/>
                <w:highlight w:val="none"/>
                <w:u w:val="none" w:color="auto"/>
                <w:lang w:val="en-US" w:eastAsia="zh-CN" w:bidi="ar-SA"/>
              </w:rPr>
              <w:t>-1 集气措施分布</w:t>
            </w:r>
            <w:r>
              <w:rPr>
                <w:rFonts w:hint="eastAsia" w:cs="Times New Roman"/>
                <w:b/>
                <w:bCs/>
                <w:color w:val="auto"/>
                <w:spacing w:val="-6"/>
                <w:kern w:val="2"/>
                <w:sz w:val="21"/>
                <w:szCs w:val="21"/>
                <w:highlight w:val="none"/>
                <w:u w:val="none" w:color="auto"/>
                <w:lang w:val="en-US" w:eastAsia="zh-CN" w:bidi="ar-SA"/>
              </w:rPr>
              <w:t>图</w:t>
            </w:r>
          </w:p>
          <w:p w14:paraId="2BC7714A">
            <w:pPr>
              <w:pStyle w:val="39"/>
              <w:keepNext w:val="0"/>
              <w:keepLines w:val="0"/>
              <w:pageBreakBefore w:val="0"/>
              <w:widowControl w:val="0"/>
              <w:kinsoku/>
              <w:wordWrap/>
              <w:overflowPunct/>
              <w:topLinePunct w:val="0"/>
              <w:bidi w:val="0"/>
              <w:snapToGrid/>
              <w:spacing w:line="410" w:lineRule="exact"/>
              <w:ind w:firstLine="480" w:firstLineChars="200"/>
              <w:textAlignment w:val="auto"/>
              <w:rPr>
                <w:rFonts w:hint="eastAsia" w:ascii="Times New Roman" w:hAnsi="Times New Roman" w:cs="Times New Roman"/>
                <w:color w:val="auto"/>
                <w:szCs w:val="21"/>
                <w:highlight w:val="none"/>
                <w:u w:val="none" w:color="auto"/>
                <w:lang w:val="en-US" w:eastAsia="zh-CN"/>
              </w:rPr>
            </w:pPr>
            <w:r>
              <w:rPr>
                <w:rFonts w:hint="eastAsia" w:ascii="Times New Roman" w:hAnsi="Times New Roman" w:cs="Times New Roman"/>
                <w:color w:val="auto"/>
                <w:szCs w:val="21"/>
                <w:highlight w:val="none"/>
                <w:u w:val="none" w:color="auto"/>
                <w:lang w:val="en-US" w:eastAsia="zh-CN"/>
              </w:rPr>
              <w:t>由上表可知，设计风量大于换气风量理论计算值，因此本项目设计风量符合设计要求。</w:t>
            </w:r>
          </w:p>
          <w:p w14:paraId="744E2DE8">
            <w:pPr>
              <w:pStyle w:val="39"/>
              <w:keepNext w:val="0"/>
              <w:keepLines w:val="0"/>
              <w:pageBreakBefore w:val="0"/>
              <w:widowControl w:val="0"/>
              <w:kinsoku/>
              <w:wordWrap/>
              <w:overflowPunct/>
              <w:topLinePunct w:val="0"/>
              <w:bidi w:val="0"/>
              <w:snapToGrid/>
              <w:spacing w:line="410" w:lineRule="exact"/>
              <w:ind w:firstLine="480" w:firstLineChars="200"/>
              <w:textAlignment w:val="auto"/>
              <w:rPr>
                <w:rFonts w:hint="eastAsia" w:ascii="Times New Roman" w:hAnsi="Times New Roman" w:eastAsia="宋体" w:cs="Times New Roman"/>
                <w:color w:val="auto"/>
                <w:szCs w:val="21"/>
                <w:highlight w:val="none"/>
                <w:u w:val="single" w:color="auto"/>
                <w:lang w:val="en-US" w:eastAsia="zh-CN"/>
              </w:rPr>
            </w:pPr>
            <w:r>
              <w:rPr>
                <w:rFonts w:hint="eastAsia" w:ascii="Times New Roman" w:hAnsi="Times New Roman" w:cs="Times New Roman"/>
                <w:color w:val="auto"/>
                <w:szCs w:val="21"/>
                <w:highlight w:val="none"/>
                <w:u w:val="single" w:color="auto"/>
                <w:lang w:val="en-US" w:eastAsia="zh-CN"/>
              </w:rPr>
              <w:t>（3）</w:t>
            </w:r>
            <w:r>
              <w:rPr>
                <w:rFonts w:hint="eastAsia" w:ascii="Times New Roman" w:hAnsi="Times New Roman" w:eastAsia="宋体" w:cs="Times New Roman"/>
                <w:color w:val="auto"/>
                <w:szCs w:val="21"/>
                <w:highlight w:val="none"/>
                <w:u w:val="single" w:color="auto"/>
                <w:lang w:val="en-US" w:eastAsia="zh-CN"/>
              </w:rPr>
              <w:t>排气筒数量、高度合理性分析</w:t>
            </w:r>
          </w:p>
          <w:p w14:paraId="4833BD82">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single" w:color="auto"/>
                <w:lang w:val="en-US" w:eastAsia="zh-CN"/>
              </w:rPr>
            </w:pPr>
            <w:r>
              <w:rPr>
                <w:rFonts w:hint="default" w:ascii="Times New Roman" w:hAnsi="Times New Roman" w:eastAsia="宋体" w:cs="Times New Roman"/>
                <w:color w:val="auto"/>
                <w:sz w:val="24"/>
                <w:szCs w:val="24"/>
                <w:highlight w:val="none"/>
                <w:u w:val="single" w:color="auto"/>
                <w:lang w:val="en-US" w:eastAsia="zh-CN"/>
              </w:rPr>
              <w:t>本工程</w:t>
            </w:r>
            <w:r>
              <w:rPr>
                <w:rFonts w:hint="eastAsia" w:cs="Times New Roman"/>
                <w:color w:val="auto"/>
                <w:sz w:val="24"/>
                <w:szCs w:val="24"/>
                <w:highlight w:val="none"/>
                <w:u w:val="single" w:color="auto"/>
                <w:lang w:val="en-US" w:eastAsia="zh-CN"/>
              </w:rPr>
              <w:t>设置了两个有组织排气筒</w:t>
            </w:r>
            <w:r>
              <w:rPr>
                <w:rFonts w:hint="default" w:ascii="Times New Roman" w:hAnsi="Times New Roman" w:eastAsia="宋体" w:cs="Times New Roman"/>
                <w:color w:val="auto"/>
                <w:sz w:val="24"/>
                <w:szCs w:val="24"/>
                <w:highlight w:val="none"/>
                <w:u w:val="single" w:color="auto"/>
              </w:rPr>
              <w:t>，</w:t>
            </w:r>
            <w:r>
              <w:rPr>
                <w:rFonts w:hint="eastAsia" w:cs="Times New Roman"/>
                <w:color w:val="auto"/>
                <w:sz w:val="24"/>
                <w:szCs w:val="24"/>
                <w:highlight w:val="none"/>
                <w:u w:val="single" w:color="auto"/>
                <w:lang w:val="en-US" w:eastAsia="zh-CN"/>
              </w:rPr>
              <w:t>生产过程中产生的</w:t>
            </w:r>
            <w:r>
              <w:rPr>
                <w:rFonts w:hint="default" w:ascii="Times New Roman" w:hAnsi="Times New Roman" w:eastAsia="宋体" w:cs="Times New Roman"/>
                <w:color w:val="auto"/>
                <w:sz w:val="24"/>
                <w:szCs w:val="24"/>
                <w:highlight w:val="none"/>
                <w:u w:val="single" w:color="auto"/>
                <w:lang w:val="en-US" w:eastAsia="zh-CN"/>
              </w:rPr>
              <w:t>有机</w:t>
            </w:r>
            <w:r>
              <w:rPr>
                <w:rFonts w:hint="default" w:ascii="Times New Roman" w:hAnsi="Times New Roman" w:eastAsia="宋体" w:cs="Times New Roman"/>
                <w:color w:val="auto"/>
                <w:sz w:val="24"/>
                <w:szCs w:val="24"/>
                <w:highlight w:val="none"/>
                <w:u w:val="single" w:color="auto"/>
              </w:rPr>
              <w:t>废气</w:t>
            </w:r>
            <w:r>
              <w:rPr>
                <w:rFonts w:hint="default" w:ascii="Times New Roman" w:hAnsi="Times New Roman" w:eastAsia="宋体" w:cs="Times New Roman"/>
                <w:color w:val="auto"/>
                <w:sz w:val="24"/>
                <w:szCs w:val="24"/>
                <w:highlight w:val="none"/>
                <w:u w:val="single" w:color="auto"/>
                <w:lang w:val="en-US" w:eastAsia="zh-CN"/>
              </w:rPr>
              <w:t>处理后集中通过</w:t>
            </w:r>
            <w:r>
              <w:rPr>
                <w:rFonts w:hint="eastAsia" w:cs="Times New Roman"/>
                <w:color w:val="auto"/>
                <w:sz w:val="24"/>
                <w:szCs w:val="24"/>
                <w:highlight w:val="none"/>
                <w:u w:val="single" w:color="auto"/>
                <w:lang w:val="en-US" w:eastAsia="zh-CN"/>
              </w:rPr>
              <w:t>2</w:t>
            </w:r>
            <w:r>
              <w:rPr>
                <w:rFonts w:hint="default" w:ascii="Times New Roman" w:hAnsi="Times New Roman" w:eastAsia="宋体" w:cs="Times New Roman"/>
                <w:color w:val="auto"/>
                <w:sz w:val="24"/>
                <w:szCs w:val="24"/>
                <w:highlight w:val="none"/>
                <w:u w:val="single" w:color="auto"/>
                <w:lang w:val="en-US" w:eastAsia="zh-CN"/>
              </w:rPr>
              <w:t>根</w:t>
            </w:r>
            <w:r>
              <w:rPr>
                <w:rFonts w:hint="default" w:ascii="Times New Roman" w:hAnsi="Times New Roman" w:eastAsia="宋体" w:cs="Times New Roman"/>
                <w:color w:val="auto"/>
                <w:sz w:val="24"/>
                <w:szCs w:val="24"/>
                <w:highlight w:val="none"/>
                <w:u w:val="single" w:color="auto"/>
                <w:lang w:eastAsia="zh-CN"/>
              </w:rPr>
              <w:t>排气筒排放，排气筒高度为</w:t>
            </w:r>
            <w:r>
              <w:rPr>
                <w:rFonts w:hint="default" w:ascii="Times New Roman" w:hAnsi="Times New Roman" w:eastAsia="宋体" w:cs="Times New Roman"/>
                <w:color w:val="auto"/>
                <w:sz w:val="24"/>
                <w:szCs w:val="24"/>
                <w:highlight w:val="none"/>
                <w:u w:val="single" w:color="auto"/>
                <w:lang w:val="en-US" w:eastAsia="zh-CN"/>
              </w:rPr>
              <w:t>15m，</w:t>
            </w:r>
            <w:r>
              <w:rPr>
                <w:rFonts w:hint="eastAsia" w:cs="Times New Roman"/>
                <w:color w:val="auto"/>
                <w:sz w:val="24"/>
                <w:szCs w:val="24"/>
                <w:highlight w:val="none"/>
                <w:u w:val="single" w:color="auto"/>
                <w:lang w:val="en-US" w:eastAsia="zh-CN"/>
              </w:rPr>
              <w:t>高于周边200内建筑物5米，且</w:t>
            </w:r>
            <w:r>
              <w:rPr>
                <w:rFonts w:hint="default" w:ascii="Times New Roman" w:hAnsi="Times New Roman" w:eastAsia="宋体" w:cs="Times New Roman"/>
                <w:color w:val="auto"/>
                <w:sz w:val="24"/>
                <w:szCs w:val="24"/>
                <w:highlight w:val="none"/>
                <w:u w:val="single" w:color="auto"/>
                <w:lang w:val="en-US" w:eastAsia="zh-CN"/>
              </w:rPr>
              <w:t>满足湖南省地方标准《表面涂装（汽车制造及维修）挥发性有机物、镍排放标准》（DB43/1356-2017）中的“排气筒高度不应低于15m”的要求</w:t>
            </w:r>
            <w:r>
              <w:rPr>
                <w:rFonts w:hint="eastAsia" w:cs="Times New Roman"/>
                <w:color w:val="auto"/>
                <w:sz w:val="24"/>
                <w:szCs w:val="24"/>
                <w:highlight w:val="none"/>
                <w:u w:val="single" w:color="auto"/>
                <w:lang w:val="en-US" w:eastAsia="zh-CN"/>
              </w:rPr>
              <w:t>。</w:t>
            </w:r>
            <w:r>
              <w:rPr>
                <w:rFonts w:hint="default" w:ascii="Times New Roman" w:hAnsi="Times New Roman" w:eastAsia="宋体" w:cs="Times New Roman"/>
                <w:color w:val="auto"/>
                <w:sz w:val="24"/>
                <w:szCs w:val="24"/>
                <w:highlight w:val="none"/>
                <w:u w:val="single" w:color="auto"/>
                <w:lang w:val="en-US" w:eastAsia="zh-CN"/>
              </w:rPr>
              <w:t>本项目喷涂废气排气筒数量及高度均合理。</w:t>
            </w:r>
          </w:p>
          <w:p w14:paraId="114D5F98">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single" w:color="auto"/>
              </w:rPr>
            </w:pPr>
            <w:r>
              <w:rPr>
                <w:rFonts w:hint="default" w:ascii="Times New Roman" w:hAnsi="Times New Roman" w:eastAsia="宋体" w:cs="Times New Roman"/>
                <w:color w:val="auto"/>
                <w:sz w:val="24"/>
                <w:szCs w:val="24"/>
                <w:highlight w:val="none"/>
                <w:u w:val="single" w:color="auto"/>
              </w:rPr>
              <w:t>综上，本项目拟采取的废气治理设施可行。</w:t>
            </w:r>
          </w:p>
          <w:p w14:paraId="6454AD1B">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5</w:t>
            </w:r>
            <w:r>
              <w:rPr>
                <w:rFonts w:hint="default" w:ascii="Times New Roman" w:hAnsi="Times New Roman" w:eastAsia="宋体" w:cs="Times New Roman"/>
                <w:b/>
                <w:bCs/>
                <w:color w:val="auto"/>
                <w:sz w:val="24"/>
                <w:szCs w:val="24"/>
                <w:highlight w:val="none"/>
                <w:u w:val="none" w:color="auto"/>
                <w:lang w:val="en-US" w:eastAsia="zh-CN"/>
              </w:rPr>
              <w:t>、</w:t>
            </w:r>
            <w:r>
              <w:rPr>
                <w:rFonts w:hint="default" w:ascii="Times New Roman" w:hAnsi="Times New Roman" w:eastAsia="宋体" w:cs="Times New Roman"/>
                <w:b/>
                <w:color w:val="auto"/>
                <w:sz w:val="24"/>
                <w:u w:val="none" w:color="auto"/>
              </w:rPr>
              <w:t>废气排放的环境影响</w:t>
            </w:r>
          </w:p>
          <w:p w14:paraId="4BC89F50">
            <w:pPr>
              <w:keepNext w:val="0"/>
              <w:keepLines w:val="0"/>
              <w:pageBreakBefore w:val="0"/>
              <w:widowControl w:val="0"/>
              <w:kinsoku/>
              <w:wordWrap/>
              <w:overflowPunct/>
              <w:topLinePunct w:val="0"/>
              <w:bidi w:val="0"/>
              <w:snapToGrid/>
              <w:spacing w:line="410" w:lineRule="exact"/>
              <w:ind w:firstLine="480" w:firstLineChars="200"/>
              <w:textAlignment w:val="auto"/>
              <w:rPr>
                <w:rFonts w:hint="default" w:ascii="Times New Roman" w:hAnsi="Times New Roman" w:eastAsia="宋体" w:cs="Times New Roman"/>
                <w:color w:val="auto"/>
                <w:sz w:val="24"/>
                <w:highlight w:val="none"/>
                <w:u w:val="none" w:color="auto"/>
              </w:rPr>
            </w:pPr>
            <w:r>
              <w:rPr>
                <w:rFonts w:hint="default" w:ascii="Times New Roman" w:hAnsi="Times New Roman" w:eastAsia="宋体" w:cs="Times New Roman"/>
                <w:color w:val="auto"/>
                <w:sz w:val="24"/>
                <w:highlight w:val="none"/>
                <w:u w:val="none" w:color="auto"/>
              </w:rPr>
              <w:t>本项目</w:t>
            </w:r>
            <w:r>
              <w:rPr>
                <w:rFonts w:hint="eastAsia" w:ascii="Times New Roman" w:hAnsi="Times New Roman" w:eastAsia="宋体" w:cs="Times New Roman"/>
                <w:color w:val="auto"/>
                <w:kern w:val="0"/>
                <w:sz w:val="24"/>
                <w:highlight w:val="none"/>
                <w:u w:val="none" w:color="auto"/>
                <w:lang w:val="en-US" w:eastAsia="zh-CN"/>
              </w:rPr>
              <w:t>切割</w:t>
            </w:r>
            <w:r>
              <w:rPr>
                <w:rFonts w:hint="default" w:ascii="Times New Roman" w:hAnsi="Times New Roman" w:eastAsia="宋体" w:cs="Times New Roman"/>
                <w:color w:val="auto"/>
                <w:kern w:val="0"/>
                <w:sz w:val="24"/>
                <w:highlight w:val="none"/>
                <w:u w:val="none" w:color="auto"/>
              </w:rPr>
              <w:t>工序粉尘</w:t>
            </w:r>
            <w:r>
              <w:rPr>
                <w:rFonts w:hint="eastAsia" w:cs="Times New Roman"/>
                <w:color w:val="auto"/>
                <w:kern w:val="0"/>
                <w:sz w:val="24"/>
                <w:highlight w:val="none"/>
                <w:u w:val="none" w:color="auto"/>
                <w:lang w:eastAsia="zh-CN"/>
              </w:rPr>
              <w:t>、</w:t>
            </w:r>
            <w:r>
              <w:rPr>
                <w:rFonts w:hint="eastAsia" w:ascii="Times New Roman" w:hAnsi="Times New Roman" w:eastAsia="宋体" w:cs="Times New Roman"/>
                <w:color w:val="auto"/>
                <w:kern w:val="0"/>
                <w:sz w:val="24"/>
                <w:highlight w:val="none"/>
                <w:u w:val="none" w:color="auto"/>
                <w:lang w:val="en-US" w:eastAsia="zh-CN"/>
              </w:rPr>
              <w:t>焊接烟尘</w:t>
            </w:r>
            <w:r>
              <w:rPr>
                <w:rFonts w:hint="eastAsia" w:cs="Times New Roman"/>
                <w:color w:val="auto"/>
                <w:kern w:val="0"/>
                <w:sz w:val="24"/>
                <w:highlight w:val="none"/>
                <w:u w:val="none" w:color="auto"/>
                <w:lang w:val="en-US" w:eastAsia="zh-CN"/>
              </w:rPr>
              <w:t>、打磨粉尘</w:t>
            </w:r>
            <w:r>
              <w:rPr>
                <w:rFonts w:hint="default" w:ascii="Times New Roman" w:hAnsi="Times New Roman" w:eastAsia="宋体" w:cs="Times New Roman"/>
                <w:color w:val="auto"/>
                <w:kern w:val="0"/>
                <w:sz w:val="24"/>
                <w:highlight w:val="none"/>
                <w:u w:val="none" w:color="auto"/>
              </w:rPr>
              <w:t>经移动式</w:t>
            </w:r>
            <w:r>
              <w:rPr>
                <w:rFonts w:hint="default" w:ascii="Times New Roman" w:hAnsi="Times New Roman" w:eastAsia="宋体" w:cs="Times New Roman"/>
                <w:color w:val="auto"/>
                <w:kern w:val="0"/>
                <w:sz w:val="24"/>
                <w:highlight w:val="none"/>
                <w:u w:val="none" w:color="auto"/>
                <w:lang w:val="en-US" w:eastAsia="zh-CN"/>
              </w:rPr>
              <w:t>粉尘</w:t>
            </w:r>
            <w:r>
              <w:rPr>
                <w:rFonts w:hint="default" w:ascii="Times New Roman" w:hAnsi="Times New Roman" w:eastAsia="宋体" w:cs="Times New Roman"/>
                <w:color w:val="auto"/>
                <w:kern w:val="0"/>
                <w:sz w:val="24"/>
                <w:highlight w:val="none"/>
                <w:u w:val="none" w:color="auto"/>
              </w:rPr>
              <w:t>净化器处理后</w:t>
            </w:r>
            <w:r>
              <w:rPr>
                <w:rFonts w:hint="eastAsia" w:ascii="Times New Roman" w:hAnsi="Times New Roman" w:eastAsia="宋体" w:cs="Times New Roman"/>
                <w:color w:val="auto"/>
                <w:kern w:val="0"/>
                <w:sz w:val="24"/>
                <w:highlight w:val="none"/>
                <w:u w:val="none" w:color="auto"/>
                <w:lang w:val="en-US" w:eastAsia="zh-CN"/>
              </w:rPr>
              <w:t>无组织外排</w:t>
            </w:r>
            <w:r>
              <w:rPr>
                <w:rFonts w:hint="eastAsia" w:ascii="Times New Roman" w:hAnsi="Times New Roman" w:eastAsia="宋体" w:cs="Times New Roman"/>
                <w:color w:val="auto"/>
                <w:sz w:val="24"/>
                <w:highlight w:val="none"/>
                <w:u w:val="none" w:color="auto"/>
                <w:lang w:eastAsia="zh-CN"/>
              </w:rPr>
              <w:t>。</w:t>
            </w:r>
            <w:r>
              <w:rPr>
                <w:rFonts w:hint="eastAsia" w:ascii="Times New Roman" w:hAnsi="Times New Roman" w:eastAsia="宋体" w:cs="Times New Roman"/>
                <w:color w:val="auto"/>
                <w:sz w:val="24"/>
                <w:szCs w:val="24"/>
                <w:highlight w:val="none"/>
                <w:u w:val="none"/>
                <w:lang w:val="en-US" w:eastAsia="zh-CN"/>
              </w:rPr>
              <w:t>项目</w:t>
            </w:r>
            <w:r>
              <w:rPr>
                <w:rFonts w:hint="eastAsia" w:eastAsia="宋体" w:cs="Times New Roman"/>
                <w:color w:val="auto"/>
                <w:sz w:val="24"/>
                <w:szCs w:val="24"/>
                <w:highlight w:val="none"/>
                <w:u w:val="none"/>
                <w:lang w:val="en-US" w:eastAsia="zh-CN"/>
              </w:rPr>
              <w:t>调漆、喷漆、</w:t>
            </w:r>
            <w:r>
              <w:rPr>
                <w:rFonts w:hint="eastAsia" w:cs="Times New Roman"/>
                <w:color w:val="auto"/>
                <w:sz w:val="24"/>
                <w:szCs w:val="24"/>
                <w:highlight w:val="none"/>
                <w:u w:val="none"/>
                <w:lang w:val="en-US" w:eastAsia="zh-CN"/>
              </w:rPr>
              <w:t>晾干</w:t>
            </w:r>
            <w:r>
              <w:rPr>
                <w:rFonts w:hint="eastAsia" w:eastAsia="宋体" w:cs="Times New Roman"/>
                <w:color w:val="auto"/>
                <w:sz w:val="24"/>
                <w:szCs w:val="24"/>
                <w:highlight w:val="none"/>
                <w:u w:val="none"/>
                <w:lang w:val="en-US" w:eastAsia="zh-CN"/>
              </w:rPr>
              <w:t>、烤漆</w:t>
            </w:r>
            <w:r>
              <w:rPr>
                <w:rFonts w:hint="eastAsia" w:ascii="Times New Roman" w:hAnsi="Times New Roman" w:eastAsia="宋体" w:cs="Times New Roman"/>
                <w:color w:val="auto"/>
                <w:sz w:val="24"/>
                <w:szCs w:val="24"/>
                <w:highlight w:val="none"/>
                <w:u w:val="none"/>
                <w:lang w:val="en-US" w:eastAsia="zh-CN"/>
              </w:rPr>
              <w:t>过程中会产生有机废气。项目喷漆工序均在密闭负压喷漆房中进行。</w:t>
            </w:r>
            <w:r>
              <w:rPr>
                <w:rFonts w:hint="eastAsia" w:cs="Times New Roman"/>
                <w:color w:val="auto"/>
                <w:sz w:val="24"/>
                <w:szCs w:val="24"/>
                <w:highlight w:val="none"/>
                <w:u w:val="none"/>
                <w:lang w:val="en-US" w:eastAsia="zh-CN"/>
              </w:rPr>
              <w:t>高铁连接板</w:t>
            </w:r>
            <w:r>
              <w:rPr>
                <w:rFonts w:hint="eastAsia" w:ascii="Times New Roman" w:hAnsi="Times New Roman" w:eastAsia="宋体" w:cs="Times New Roman"/>
                <w:color w:val="auto"/>
                <w:sz w:val="24"/>
                <w:szCs w:val="24"/>
                <w:highlight w:val="none"/>
                <w:u w:val="none"/>
                <w:lang w:val="en-US" w:eastAsia="zh-CN"/>
              </w:rPr>
              <w:t>喷漆、风扇、风罩喷漆以及晾干工序产生的废气经水帘除尘+干式过滤除去颗粒物（漆雾）后，与烤漆废气经活性炭吸附+催化燃烧设施（TA001）处理后通过15m排气筒（DA001）排放；用于</w:t>
            </w:r>
            <w:r>
              <w:rPr>
                <w:rFonts w:hint="eastAsia" w:cs="Times New Roman"/>
                <w:color w:val="auto"/>
                <w:sz w:val="24"/>
                <w:szCs w:val="24"/>
                <w:highlight w:val="none"/>
                <w:u w:val="none"/>
                <w:lang w:val="en-US" w:eastAsia="zh-CN"/>
              </w:rPr>
              <w:t>高铁连接板</w:t>
            </w:r>
            <w:r>
              <w:rPr>
                <w:rFonts w:hint="eastAsia" w:ascii="Times New Roman" w:hAnsi="Times New Roman" w:eastAsia="宋体" w:cs="Times New Roman"/>
                <w:color w:val="auto"/>
                <w:sz w:val="24"/>
                <w:szCs w:val="24"/>
                <w:highlight w:val="none"/>
                <w:u w:val="none"/>
                <w:lang w:val="en-US" w:eastAsia="zh-CN"/>
              </w:rPr>
              <w:t>喷涂的喷漆房与烤漆房位于车间二中的密闭负压车间，</w:t>
            </w:r>
            <w:r>
              <w:rPr>
                <w:rFonts w:hint="eastAsia" w:cs="Times New Roman"/>
                <w:color w:val="auto"/>
                <w:sz w:val="24"/>
                <w:szCs w:val="24"/>
                <w:highlight w:val="none"/>
                <w:u w:val="none"/>
                <w:lang w:val="en-US" w:eastAsia="zh-CN"/>
              </w:rPr>
              <w:t>高铁连接板</w:t>
            </w:r>
            <w:r>
              <w:rPr>
                <w:rFonts w:hint="eastAsia" w:ascii="Times New Roman" w:hAnsi="Times New Roman" w:eastAsia="宋体" w:cs="Times New Roman"/>
                <w:color w:val="auto"/>
                <w:sz w:val="24"/>
                <w:szCs w:val="24"/>
                <w:highlight w:val="none"/>
                <w:u w:val="none"/>
                <w:lang w:val="en-US" w:eastAsia="zh-CN"/>
              </w:rPr>
              <w:t>喷涂的喷漆房与烤漆房未收集的有机废气经密闭车间负压收集后再经二级活性炭吸附设施（TA002）处理后通过15m排气筒（DA002）排放。调漆区于车间二中的密闭负压车间中进行，产生的有机废气经密闭车间负压收集后经二级活性炭吸附设施（TA002）处理后通过15m排气筒（DA002）排放。</w:t>
            </w:r>
            <w:r>
              <w:rPr>
                <w:rFonts w:hint="eastAsia" w:ascii="Times New Roman" w:hAnsi="Times New Roman" w:eastAsia="宋体" w:cs="Times New Roman"/>
                <w:color w:val="auto"/>
                <w:sz w:val="24"/>
                <w:highlight w:val="none"/>
                <w:u w:val="none" w:color="auto"/>
                <w:lang w:val="en-US" w:eastAsia="zh-CN"/>
              </w:rPr>
              <w:t>项目高铁连接板火焰软化定型液化石油气燃烧废气在车间内无组织排放；烤漆、催化燃烧液化石油气燃烧废气经管道收集后经排气筒（DA001）排出。</w:t>
            </w:r>
            <w:r>
              <w:rPr>
                <w:rFonts w:hint="eastAsia" w:cs="Times New Roman"/>
                <w:color w:val="auto"/>
                <w:sz w:val="24"/>
                <w:highlight w:val="none"/>
                <w:u w:val="none" w:color="auto"/>
                <w:lang w:val="en-US" w:eastAsia="zh-CN"/>
              </w:rPr>
              <w:t>废气经处理后，有组织</w:t>
            </w:r>
            <w:r>
              <w:rPr>
                <w:rFonts w:hint="eastAsia" w:ascii="Times New Roman" w:hAnsi="Times New Roman" w:eastAsia="宋体" w:cs="Times New Roman"/>
                <w:color w:val="auto"/>
                <w:sz w:val="24"/>
                <w:highlight w:val="none"/>
                <w:u w:val="none" w:color="auto"/>
                <w:lang w:val="en-US" w:eastAsia="zh-CN"/>
              </w:rPr>
              <w:t>二甲苯、甲苯、挥发性有机物排放</w:t>
            </w:r>
            <w:r>
              <w:rPr>
                <w:rFonts w:hint="eastAsia" w:cs="Times New Roman"/>
                <w:color w:val="auto"/>
                <w:sz w:val="24"/>
                <w:highlight w:val="none"/>
                <w:u w:val="none" w:color="auto"/>
                <w:lang w:val="en-US" w:eastAsia="zh-CN"/>
              </w:rPr>
              <w:t>能够达到</w:t>
            </w:r>
            <w:r>
              <w:rPr>
                <w:rFonts w:hint="eastAsia" w:ascii="Times New Roman" w:hAnsi="Times New Roman" w:eastAsia="宋体" w:cs="Times New Roman"/>
                <w:color w:val="auto"/>
                <w:sz w:val="24"/>
                <w:highlight w:val="none"/>
                <w:u w:val="none" w:color="auto"/>
                <w:lang w:val="en-US" w:eastAsia="zh-CN"/>
              </w:rPr>
              <w:t>湖南省地方标准《表面涂装（汽车制造及维修）挥发性有机物、镍排放标准》（DB43/1356-2017）表1中排放标准</w:t>
            </w:r>
            <w:r>
              <w:rPr>
                <w:rFonts w:hint="eastAsia" w:cs="Times New Roman"/>
                <w:color w:val="auto"/>
                <w:sz w:val="24"/>
                <w:highlight w:val="none"/>
                <w:u w:val="none" w:color="auto"/>
                <w:lang w:val="en-US" w:eastAsia="zh-CN"/>
              </w:rPr>
              <w:t>，DA001排气筒中</w:t>
            </w:r>
            <w:r>
              <w:rPr>
                <w:rFonts w:hint="eastAsia" w:ascii="Times New Roman" w:hAnsi="Times New Roman" w:eastAsia="宋体" w:cs="Times New Roman"/>
                <w:color w:val="auto"/>
                <w:sz w:val="24"/>
                <w:highlight w:val="none"/>
                <w:u w:val="none" w:color="auto"/>
                <w:lang w:val="en-US" w:eastAsia="zh-CN"/>
              </w:rPr>
              <w:t>颗粒物、二氧化硫、氮氧化物</w:t>
            </w:r>
            <w:r>
              <w:rPr>
                <w:rFonts w:hint="eastAsia" w:cs="Times New Roman"/>
                <w:color w:val="auto"/>
                <w:sz w:val="24"/>
                <w:highlight w:val="none"/>
                <w:u w:val="none" w:color="auto"/>
                <w:lang w:val="en-US" w:eastAsia="zh-CN"/>
              </w:rPr>
              <w:t>能够达到</w:t>
            </w:r>
            <w:r>
              <w:rPr>
                <w:rFonts w:hint="default" w:ascii="Times New Roman" w:hAnsi="Times New Roman" w:eastAsia="宋体"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fldChar w:fldCharType="begin"/>
            </w:r>
            <w:r>
              <w:rPr>
                <w:rFonts w:hint="default" w:ascii="Times New Roman" w:hAnsi="Times New Roman" w:eastAsia="宋体" w:cs="Times New Roman"/>
                <w:color w:val="auto"/>
                <w:sz w:val="24"/>
                <w:szCs w:val="24"/>
                <w:highlight w:val="none"/>
                <w:u w:val="none" w:color="auto"/>
                <w:lang w:val="en-US" w:eastAsia="zh-CN"/>
              </w:rPr>
              <w:instrText xml:space="preserve"> HYPERLINK "https://www.so.com/link?m=uw3yJF+xPh8N0ci4NRmDz37M5GnDJers+WT0X9NSL3g46v8vcLt0Pqh/4zB2vxVir2UoPeYvf/VDDkAELAA9mg4YWmeX7TnVzyHrv4HeFFMbohsYPSNrzd7bVLFbDGZReZPdFk9vdQ3qnfqX6JvTHGEqQd/QVdNMu5YwF9Ji3pwREO0JqIxByRu74S9vIw7e3gn9hx8z2peCaiYDsxpSCQURyYkP1JtRA2kNKLD+2d+crb2JiPFMqQRo8256S9RKJP5QcB0Grx4Djf2KtFMj1mSUdbWconPHWWncLll3yQM/hNWDySGFdRgcmXG1fTXZsskA4xm+Oibv370hSxFPu8NgkC9zVYOzm819WC6IHOIZFSrrHI3baBaylKSW3RlEwlMv4VqvsbhYhL66nWDYmGY75mq+RXKcK7vYBkUGRmqDQHmol" \t "https://www.so.com/_blank" </w:instrText>
            </w:r>
            <w:r>
              <w:rPr>
                <w:rFonts w:hint="default" w:ascii="Times New Roman" w:hAnsi="Times New Roman" w:eastAsia="宋体" w:cs="Times New Roman"/>
                <w:color w:val="auto"/>
                <w:sz w:val="24"/>
                <w:szCs w:val="24"/>
                <w:highlight w:val="none"/>
                <w:u w:val="none" w:color="auto"/>
                <w:lang w:val="en-US" w:eastAsia="zh-CN"/>
              </w:rPr>
              <w:fldChar w:fldCharType="separate"/>
            </w:r>
            <w:r>
              <w:rPr>
                <w:rFonts w:hint="default" w:ascii="Times New Roman" w:hAnsi="Times New Roman" w:eastAsia="宋体" w:cs="Times New Roman"/>
                <w:color w:val="auto"/>
                <w:sz w:val="24"/>
                <w:szCs w:val="24"/>
                <w:highlight w:val="none"/>
                <w:u w:val="none" w:color="auto"/>
                <w:lang w:val="en-US" w:eastAsia="zh-CN"/>
              </w:rPr>
              <w:t>湖南省工业炉窑大气污染综合治理实施方案》（湘环发〔2020〕6号）</w:t>
            </w:r>
            <w:r>
              <w:rPr>
                <w:rFonts w:hint="default" w:ascii="Times New Roman" w:hAnsi="Times New Roman" w:eastAsia="宋体" w:cs="Times New Roman"/>
                <w:color w:val="auto"/>
                <w:sz w:val="24"/>
                <w:szCs w:val="24"/>
                <w:highlight w:val="none"/>
                <w:u w:val="none" w:color="auto"/>
                <w:lang w:val="en-US" w:eastAsia="zh-CN"/>
              </w:rPr>
              <w:fldChar w:fldCharType="end"/>
            </w:r>
            <w:r>
              <w:rPr>
                <w:rFonts w:hint="eastAsia" w:cs="Times New Roman"/>
                <w:color w:val="auto"/>
                <w:sz w:val="24"/>
                <w:szCs w:val="24"/>
                <w:highlight w:val="none"/>
                <w:u w:val="none" w:color="auto"/>
                <w:lang w:val="en-US" w:eastAsia="zh-CN"/>
              </w:rPr>
              <w:t>中标准限值要求</w:t>
            </w:r>
            <w:r>
              <w:rPr>
                <w:rFonts w:hint="eastAsia" w:cs="Times New Roman"/>
                <w:color w:val="auto"/>
                <w:sz w:val="24"/>
                <w:highlight w:val="none"/>
                <w:u w:val="none" w:color="auto"/>
                <w:lang w:val="en-US" w:eastAsia="zh-CN"/>
              </w:rPr>
              <w:t>；DA002排气筒中</w:t>
            </w:r>
            <w:r>
              <w:rPr>
                <w:rFonts w:hint="eastAsia" w:ascii="Times New Roman" w:hAnsi="Times New Roman" w:eastAsia="宋体" w:cs="Times New Roman"/>
                <w:color w:val="auto"/>
                <w:sz w:val="24"/>
                <w:highlight w:val="none"/>
                <w:u w:val="none" w:color="auto"/>
                <w:lang w:val="en-US" w:eastAsia="zh-CN"/>
              </w:rPr>
              <w:t>颗粒物</w:t>
            </w:r>
            <w:r>
              <w:rPr>
                <w:rFonts w:hint="eastAsia" w:cs="Times New Roman"/>
                <w:color w:val="auto"/>
                <w:sz w:val="24"/>
                <w:highlight w:val="none"/>
                <w:u w:val="none" w:color="auto"/>
                <w:lang w:val="en-US" w:eastAsia="zh-CN"/>
              </w:rPr>
              <w:t>能够达到《大气污染物综合排放标准》（GB16297-1996）表2排放浓度限值要求；无组织挥发性有机物能够达到湖南省地方标准《表面涂装（汽车制造及维修）挥发性有机物、镍排放标准》（DB43/1356-2017）表3中排放标准，甲苯、二甲苯、颗粒物、二氧化硫、氮氧化物能够达到《大气污染物综合排放标准》（GB16297-1996）无组织排放监控浓度限值。</w:t>
            </w:r>
            <w:r>
              <w:rPr>
                <w:rFonts w:hint="default" w:ascii="Times New Roman" w:hAnsi="Times New Roman" w:eastAsia="宋体" w:cs="Times New Roman"/>
                <w:color w:val="auto"/>
                <w:sz w:val="24"/>
                <w:highlight w:val="none"/>
                <w:u w:val="none" w:color="auto"/>
              </w:rPr>
              <w:t>因此，项目废气经采取措施处理后达标排放，对项目周边环境点影响较小。</w:t>
            </w:r>
          </w:p>
          <w:p w14:paraId="76F80385">
            <w:pPr>
              <w:keepNext w:val="0"/>
              <w:keepLines w:val="0"/>
              <w:pageBreakBefore w:val="0"/>
              <w:widowControl w:val="0"/>
              <w:kinsoku/>
              <w:wordWrap/>
              <w:overflowPunct/>
              <w:topLinePunct w:val="0"/>
              <w:bidi w:val="0"/>
              <w:snapToGrid/>
              <w:spacing w:line="410" w:lineRule="exact"/>
              <w:ind w:firstLine="480" w:firstLineChars="200"/>
              <w:textAlignment w:val="auto"/>
              <w:rPr>
                <w:rFonts w:hint="eastAsia" w:ascii="Times New Roman" w:hAnsi="Times New Roman" w:eastAsia="宋体" w:cs="Times New Roman"/>
                <w:color w:val="auto"/>
                <w:sz w:val="24"/>
                <w:highlight w:val="none"/>
                <w:u w:val="single" w:color="auto"/>
                <w:lang w:val="en-US" w:eastAsia="zh-CN"/>
              </w:rPr>
            </w:pPr>
            <w:r>
              <w:rPr>
                <w:rFonts w:hint="eastAsia" w:ascii="Times New Roman" w:hAnsi="Times New Roman" w:eastAsia="宋体" w:cs="Times New Roman"/>
                <w:color w:val="auto"/>
                <w:sz w:val="24"/>
                <w:highlight w:val="none"/>
                <w:u w:val="single" w:color="auto"/>
                <w:lang w:val="en-US" w:eastAsia="zh-CN"/>
              </w:rPr>
              <w:t>本项目废气排污总量较少，生产过程中废气均能得到有效收集和处理后达标排放</w:t>
            </w:r>
            <w:r>
              <w:rPr>
                <w:rFonts w:hint="eastAsia" w:cs="Times New Roman"/>
                <w:color w:val="auto"/>
                <w:sz w:val="24"/>
                <w:highlight w:val="none"/>
                <w:u w:val="single" w:color="auto"/>
                <w:lang w:val="en-US" w:eastAsia="zh-CN"/>
              </w:rPr>
              <w:t>。</w:t>
            </w:r>
            <w:r>
              <w:rPr>
                <w:rFonts w:hint="eastAsia" w:ascii="Times New Roman" w:hAnsi="Times New Roman" w:eastAsia="宋体" w:cs="Times New Roman"/>
                <w:color w:val="auto"/>
                <w:sz w:val="24"/>
                <w:highlight w:val="none"/>
                <w:u w:val="single" w:color="auto"/>
                <w:lang w:val="en-US" w:eastAsia="zh-CN"/>
              </w:rPr>
              <w:t>离项目较近的居民点位于本项目</w:t>
            </w:r>
            <w:r>
              <w:rPr>
                <w:rFonts w:hint="eastAsia" w:cs="Times New Roman"/>
                <w:color w:val="auto"/>
                <w:sz w:val="24"/>
                <w:highlight w:val="none"/>
                <w:u w:val="single" w:color="auto"/>
                <w:lang w:val="en-US" w:eastAsia="zh-CN"/>
              </w:rPr>
              <w:t>南侧、东南</w:t>
            </w:r>
            <w:r>
              <w:rPr>
                <w:rFonts w:hint="eastAsia" w:ascii="Times New Roman" w:hAnsi="Times New Roman" w:eastAsia="宋体" w:cs="Times New Roman"/>
                <w:color w:val="auto"/>
                <w:sz w:val="24"/>
                <w:highlight w:val="none"/>
                <w:u w:val="single" w:color="auto"/>
                <w:lang w:val="en-US" w:eastAsia="zh-CN"/>
              </w:rPr>
              <w:t>侧，本项目的</w:t>
            </w:r>
            <w:r>
              <w:rPr>
                <w:rFonts w:hint="eastAsia" w:cs="Times New Roman"/>
                <w:color w:val="auto"/>
                <w:sz w:val="24"/>
                <w:highlight w:val="none"/>
                <w:u w:val="single" w:color="auto"/>
                <w:lang w:val="en-US" w:eastAsia="zh-CN"/>
              </w:rPr>
              <w:t>生产区主要位于厂区北部</w:t>
            </w:r>
            <w:r>
              <w:rPr>
                <w:rFonts w:hint="eastAsia" w:ascii="Times New Roman" w:hAnsi="Times New Roman" w:eastAsia="宋体" w:cs="Times New Roman"/>
                <w:color w:val="auto"/>
                <w:sz w:val="24"/>
                <w:highlight w:val="none"/>
                <w:u w:val="single" w:color="auto"/>
                <w:lang w:val="en-US" w:eastAsia="zh-CN"/>
              </w:rPr>
              <w:t>，</w:t>
            </w:r>
            <w:r>
              <w:rPr>
                <w:rFonts w:hint="eastAsia" w:cs="Times New Roman"/>
                <w:color w:val="auto"/>
                <w:sz w:val="24"/>
                <w:highlight w:val="none"/>
                <w:u w:val="single" w:color="auto"/>
                <w:lang w:val="en-US" w:eastAsia="zh-CN"/>
              </w:rPr>
              <w:t>项目机加工序均在厂房内收集处理，喷涂工序均在密闭负压空间进行，厂无组织废气产生量较少。两根废气排气筒位于厂区最北部，远离周边居民区，</w:t>
            </w:r>
            <w:r>
              <w:rPr>
                <w:rFonts w:hint="eastAsia" w:ascii="Times New Roman" w:hAnsi="Times New Roman" w:eastAsia="宋体" w:cs="Times New Roman"/>
                <w:color w:val="auto"/>
                <w:sz w:val="24"/>
                <w:highlight w:val="none"/>
                <w:u w:val="single" w:color="auto"/>
                <w:lang w:val="en-US" w:eastAsia="zh-CN"/>
              </w:rPr>
              <w:t>项目污染物</w:t>
            </w:r>
            <w:r>
              <w:rPr>
                <w:rFonts w:hint="eastAsia" w:cs="Times New Roman"/>
                <w:color w:val="auto"/>
                <w:sz w:val="24"/>
                <w:highlight w:val="none"/>
                <w:u w:val="single" w:color="auto"/>
                <w:lang w:val="en-US" w:eastAsia="zh-CN"/>
              </w:rPr>
              <w:t>达标排放的情况下，</w:t>
            </w:r>
            <w:r>
              <w:rPr>
                <w:rFonts w:hint="eastAsia" w:ascii="Times New Roman" w:hAnsi="Times New Roman" w:eastAsia="宋体" w:cs="Times New Roman"/>
                <w:color w:val="auto"/>
                <w:sz w:val="24"/>
                <w:highlight w:val="none"/>
                <w:u w:val="single" w:color="auto"/>
                <w:lang w:val="en-US" w:eastAsia="zh-CN"/>
              </w:rPr>
              <w:t>对周边居民点影响较小。</w:t>
            </w:r>
          </w:p>
          <w:p w14:paraId="0B976336">
            <w:pPr>
              <w:keepNext w:val="0"/>
              <w:keepLines w:val="0"/>
              <w:pageBreakBefore w:val="0"/>
              <w:widowControl w:val="0"/>
              <w:kinsoku/>
              <w:wordWrap/>
              <w:overflowPunct/>
              <w:topLinePunct w:val="0"/>
              <w:bidi w:val="0"/>
              <w:snapToGrid/>
              <w:spacing w:line="410" w:lineRule="exact"/>
              <w:ind w:firstLine="480" w:firstLineChars="200"/>
              <w:textAlignment w:val="auto"/>
              <w:rPr>
                <w:rFonts w:hint="default" w:ascii="Times New Roman" w:hAnsi="Times New Roman" w:eastAsia="宋体" w:cs="Times New Roman"/>
                <w:color w:val="auto"/>
                <w:sz w:val="24"/>
                <w:highlight w:val="none"/>
                <w:u w:val="none" w:color="auto"/>
                <w:lang w:eastAsia="zh-CN"/>
              </w:rPr>
            </w:pPr>
            <w:r>
              <w:rPr>
                <w:rFonts w:hint="default" w:ascii="Times New Roman" w:hAnsi="Times New Roman" w:eastAsia="宋体" w:cs="Times New Roman"/>
                <w:color w:val="auto"/>
                <w:sz w:val="24"/>
                <w:highlight w:val="none"/>
                <w:u w:val="none" w:color="auto"/>
              </w:rPr>
              <w:t>根据《挥发性有机物无组织排放控制标准》（GB37822-2019）相关内容和《湖南省VOCs污染防治攻坚三年行动计划（2018</w:t>
            </w:r>
            <w:r>
              <w:rPr>
                <w:rFonts w:hint="eastAsia" w:cs="Times New Roman"/>
                <w:color w:val="auto"/>
                <w:sz w:val="24"/>
                <w:highlight w:val="none"/>
                <w:u w:val="none" w:color="auto"/>
                <w:lang w:eastAsia="zh-CN"/>
              </w:rPr>
              <w:t>—</w:t>
            </w:r>
            <w:r>
              <w:rPr>
                <w:rFonts w:hint="default" w:ascii="Times New Roman" w:hAnsi="Times New Roman" w:eastAsia="宋体" w:cs="Times New Roman"/>
                <w:color w:val="auto"/>
                <w:sz w:val="24"/>
                <w:highlight w:val="none"/>
                <w:u w:val="none" w:color="auto"/>
              </w:rPr>
              <w:t>2020年）》的要求，本次环评建议企业在后续运营过程中应严格遵守以下要求</w:t>
            </w:r>
            <w:r>
              <w:rPr>
                <w:rFonts w:hint="default" w:ascii="Times New Roman" w:hAnsi="Times New Roman" w:eastAsia="宋体" w:cs="Times New Roman"/>
                <w:color w:val="auto"/>
                <w:sz w:val="24"/>
                <w:highlight w:val="none"/>
                <w:u w:val="none" w:color="auto"/>
                <w:lang w:eastAsia="zh-CN"/>
              </w:rPr>
              <w:t>：</w:t>
            </w:r>
          </w:p>
          <w:p w14:paraId="544FC219">
            <w:pPr>
              <w:keepNext w:val="0"/>
              <w:keepLines w:val="0"/>
              <w:pageBreakBefore w:val="0"/>
              <w:widowControl w:val="0"/>
              <w:kinsoku/>
              <w:wordWrap/>
              <w:overflowPunct/>
              <w:topLinePunct w:val="0"/>
              <w:bidi w:val="0"/>
              <w:snapToGrid/>
              <w:spacing w:line="410" w:lineRule="exact"/>
              <w:ind w:firstLine="480" w:firstLineChars="200"/>
              <w:textAlignment w:val="auto"/>
              <w:rPr>
                <w:rFonts w:hint="default" w:ascii="Times New Roman" w:hAnsi="Times New Roman" w:eastAsia="宋体" w:cs="Times New Roman"/>
                <w:color w:val="auto"/>
                <w:sz w:val="24"/>
                <w:highlight w:val="none"/>
                <w:u w:val="none" w:color="auto"/>
              </w:rPr>
            </w:pPr>
            <w:r>
              <w:rPr>
                <w:rFonts w:hint="default" w:ascii="Times New Roman" w:hAnsi="Times New Roman" w:eastAsia="宋体" w:cs="Times New Roman"/>
                <w:color w:val="auto"/>
                <w:sz w:val="24"/>
                <w:highlight w:val="none"/>
                <w:u w:val="none" w:color="auto"/>
              </w:rPr>
              <w:t>①加强废气处理装置的日常维护和检修，同时保证活性炭定期更换。企业应建立台账，记录废气收集系统、VOCs处理设施的主要运行和维护信息，如运行时间、废气处理量、操作温度、停留时间、吸附剂更换周期和更换量等关键运行参数。</w:t>
            </w:r>
          </w:p>
          <w:p w14:paraId="00BDF890">
            <w:pPr>
              <w:keepNext w:val="0"/>
              <w:keepLines w:val="0"/>
              <w:pageBreakBefore w:val="0"/>
              <w:widowControl w:val="0"/>
              <w:kinsoku/>
              <w:wordWrap/>
              <w:overflowPunct/>
              <w:topLinePunct w:val="0"/>
              <w:bidi w:val="0"/>
              <w:snapToGrid/>
              <w:spacing w:line="410" w:lineRule="exact"/>
              <w:ind w:firstLine="480" w:firstLineChars="200"/>
              <w:textAlignment w:val="auto"/>
              <w:rPr>
                <w:rFonts w:hint="default" w:ascii="Times New Roman" w:hAnsi="Times New Roman" w:eastAsia="宋体" w:cs="Times New Roman"/>
                <w:color w:val="auto"/>
                <w:sz w:val="24"/>
                <w:highlight w:val="none"/>
                <w:u w:val="none" w:color="auto"/>
              </w:rPr>
            </w:pPr>
            <w:r>
              <w:rPr>
                <w:rFonts w:hint="default" w:ascii="Times New Roman" w:hAnsi="Times New Roman" w:eastAsia="宋体" w:cs="Times New Roman"/>
                <w:color w:val="auto"/>
                <w:sz w:val="24"/>
                <w:highlight w:val="none"/>
                <w:u w:val="none" w:color="auto"/>
              </w:rPr>
              <w:t>②VOCs废气收集处理系统应先于生产工艺设备启动，并同步运行，滞后关闭。VOCs废气收集处理系统发生故障或检修时，对应的生产工艺设备应停止运行，待检修完毕后同步投入使用，生产工艺设备不能停止运行或不能及时停止运行的，应设置废气应急处理设施或采取其他替代措施。</w:t>
            </w:r>
          </w:p>
          <w:p w14:paraId="77E72E5B">
            <w:pPr>
              <w:keepNext w:val="0"/>
              <w:keepLines w:val="0"/>
              <w:pageBreakBefore w:val="0"/>
              <w:widowControl w:val="0"/>
              <w:kinsoku/>
              <w:wordWrap/>
              <w:overflowPunct/>
              <w:topLinePunct w:val="0"/>
              <w:bidi w:val="0"/>
              <w:snapToGrid/>
              <w:spacing w:line="410" w:lineRule="exact"/>
              <w:ind w:firstLine="480" w:firstLineChars="200"/>
              <w:textAlignment w:val="auto"/>
              <w:rPr>
                <w:rFonts w:hint="default" w:ascii="Times New Roman" w:hAnsi="Times New Roman" w:eastAsia="宋体" w:cs="Times New Roman"/>
                <w:color w:val="auto"/>
                <w:sz w:val="24"/>
                <w:highlight w:val="none"/>
                <w:u w:val="none" w:color="auto"/>
              </w:rPr>
            </w:pPr>
            <w:r>
              <w:rPr>
                <w:rFonts w:hint="default" w:ascii="Times New Roman" w:hAnsi="Times New Roman" w:eastAsia="宋体" w:cs="Times New Roman"/>
                <w:color w:val="auto"/>
                <w:sz w:val="24"/>
                <w:highlight w:val="none"/>
                <w:u w:val="none" w:color="auto"/>
              </w:rPr>
              <w:t>③投产后，在能满足产品要求的条件下，建议企业后期逐步将溶剂型涂料改为更环保的水性涂料代替。</w:t>
            </w:r>
          </w:p>
          <w:p w14:paraId="00286997">
            <w:pPr>
              <w:keepNext w:val="0"/>
              <w:keepLines w:val="0"/>
              <w:pageBreakBefore w:val="0"/>
              <w:widowControl w:val="0"/>
              <w:kinsoku/>
              <w:wordWrap/>
              <w:overflowPunct/>
              <w:topLinePunct w:val="0"/>
              <w:bidi w:val="0"/>
              <w:snapToGrid/>
              <w:spacing w:line="410" w:lineRule="exact"/>
              <w:ind w:firstLine="480" w:firstLineChars="200"/>
              <w:textAlignment w:val="auto"/>
              <w:rPr>
                <w:rFonts w:hint="default" w:ascii="Times New Roman" w:hAnsi="Times New Roman" w:eastAsia="宋体" w:cs="Times New Roman"/>
                <w:color w:val="auto"/>
                <w:sz w:val="24"/>
                <w:highlight w:val="none"/>
                <w:u w:val="none" w:color="auto"/>
              </w:rPr>
            </w:pPr>
            <w:r>
              <w:rPr>
                <w:rFonts w:hint="default" w:ascii="Times New Roman" w:hAnsi="Times New Roman" w:eastAsia="宋体" w:cs="Times New Roman"/>
                <w:color w:val="auto"/>
                <w:sz w:val="24"/>
                <w:highlight w:val="none"/>
                <w:u w:val="none" w:color="auto"/>
              </w:rPr>
              <w:t>④企业应建立台账，记录含VOCs原辅材料和含VOCs产品的名称、使用量、回收量、废弃量、去向以及VOCs含量等信息。</w:t>
            </w:r>
          </w:p>
          <w:p w14:paraId="3AEB8F5F">
            <w:pPr>
              <w:keepNext w:val="0"/>
              <w:keepLines w:val="0"/>
              <w:pageBreakBefore w:val="0"/>
              <w:widowControl w:val="0"/>
              <w:kinsoku/>
              <w:wordWrap/>
              <w:overflowPunct/>
              <w:topLinePunct w:val="0"/>
              <w:bidi w:val="0"/>
              <w:snapToGrid/>
              <w:spacing w:line="410" w:lineRule="exact"/>
              <w:ind w:firstLine="480" w:firstLineChars="200"/>
              <w:textAlignment w:val="auto"/>
              <w:rPr>
                <w:rFonts w:hint="default" w:ascii="Times New Roman" w:hAnsi="Times New Roman" w:eastAsia="宋体" w:cs="Times New Roman"/>
                <w:color w:val="auto"/>
                <w:sz w:val="24"/>
                <w:highlight w:val="none"/>
                <w:u w:val="none" w:color="auto"/>
              </w:rPr>
            </w:pPr>
            <w:r>
              <w:rPr>
                <w:rFonts w:hint="default" w:ascii="Times New Roman" w:hAnsi="Times New Roman" w:eastAsia="宋体" w:cs="Times New Roman"/>
                <w:color w:val="auto"/>
                <w:sz w:val="24"/>
                <w:highlight w:val="none"/>
                <w:u w:val="none" w:color="auto"/>
              </w:rPr>
              <w:t>⑤通风生产设备、操作工位、车间厂房等应在符合安全生产、职业卫生相关规定的前提下，根据行业作业规程与标准、工业建筑及洁净厂房通风设计规范等的要求，采用合理的通风量。</w:t>
            </w:r>
          </w:p>
          <w:p w14:paraId="5864DFF9">
            <w:pPr>
              <w:keepNext w:val="0"/>
              <w:keepLines w:val="0"/>
              <w:pageBreakBefore w:val="0"/>
              <w:widowControl w:val="0"/>
              <w:kinsoku/>
              <w:wordWrap/>
              <w:overflowPunct/>
              <w:topLinePunct w:val="0"/>
              <w:bidi w:val="0"/>
              <w:snapToGrid/>
              <w:spacing w:line="410" w:lineRule="exact"/>
              <w:ind w:firstLine="480" w:firstLineChars="200"/>
              <w:textAlignment w:val="auto"/>
              <w:rPr>
                <w:rFonts w:hint="default" w:ascii="Times New Roman" w:hAnsi="Times New Roman" w:eastAsia="宋体" w:cs="Times New Roman"/>
                <w:color w:val="auto"/>
                <w:sz w:val="24"/>
                <w:highlight w:val="none"/>
                <w:u w:val="none" w:color="auto"/>
              </w:rPr>
            </w:pPr>
            <w:r>
              <w:rPr>
                <w:rFonts w:hint="default" w:ascii="Times New Roman" w:hAnsi="Times New Roman" w:eastAsia="宋体" w:cs="Times New Roman"/>
                <w:color w:val="auto"/>
                <w:sz w:val="24"/>
                <w:highlight w:val="none"/>
                <w:u w:val="none" w:color="auto"/>
              </w:rPr>
              <w:t>⑥载有VOCs物料的设备及其管道在开停工（车）、检维修时，应在退料阶段将残存物料退净，并用密闭容器盛装，退料过程废气应排至VOCs废气收集处理系统。</w:t>
            </w:r>
          </w:p>
          <w:p w14:paraId="1229D0CA">
            <w:pPr>
              <w:keepNext w:val="0"/>
              <w:keepLines w:val="0"/>
              <w:pageBreakBefore w:val="0"/>
              <w:widowControl w:val="0"/>
              <w:kinsoku/>
              <w:wordWrap/>
              <w:overflowPunct/>
              <w:topLinePunct w:val="0"/>
              <w:bidi w:val="0"/>
              <w:snapToGrid/>
              <w:spacing w:line="410" w:lineRule="exact"/>
              <w:ind w:firstLine="480" w:firstLineChars="200"/>
              <w:textAlignment w:val="auto"/>
              <w:rPr>
                <w:rFonts w:hint="default" w:ascii="Times New Roman" w:hAnsi="Times New Roman" w:eastAsia="宋体" w:cs="Times New Roman"/>
                <w:color w:val="auto"/>
                <w:sz w:val="24"/>
                <w:highlight w:val="none"/>
                <w:u w:val="none" w:color="auto"/>
              </w:rPr>
            </w:pPr>
            <w:r>
              <w:rPr>
                <w:rFonts w:hint="default" w:ascii="Times New Roman" w:hAnsi="Times New Roman" w:eastAsia="宋体" w:cs="Times New Roman"/>
                <w:color w:val="auto"/>
                <w:sz w:val="24"/>
                <w:highlight w:val="none"/>
                <w:u w:val="none" w:color="auto"/>
              </w:rPr>
              <w:t>⑦油漆、</w:t>
            </w:r>
            <w:r>
              <w:rPr>
                <w:rFonts w:hint="eastAsia" w:cs="Times New Roman"/>
                <w:color w:val="auto"/>
                <w:sz w:val="24"/>
                <w:highlight w:val="none"/>
                <w:u w:val="none" w:color="auto"/>
                <w:lang w:val="en-US" w:eastAsia="zh-CN"/>
              </w:rPr>
              <w:t>固化剂</w:t>
            </w:r>
            <w:r>
              <w:rPr>
                <w:rFonts w:hint="eastAsia" w:cs="Times New Roman"/>
                <w:color w:val="auto"/>
                <w:sz w:val="24"/>
                <w:highlight w:val="none"/>
                <w:u w:val="none" w:color="auto"/>
                <w:lang w:eastAsia="zh-CN"/>
              </w:rPr>
              <w:t>、</w:t>
            </w:r>
            <w:r>
              <w:rPr>
                <w:rFonts w:hint="default" w:ascii="Times New Roman" w:hAnsi="Times New Roman" w:eastAsia="宋体" w:cs="Times New Roman"/>
                <w:color w:val="auto"/>
                <w:sz w:val="24"/>
                <w:highlight w:val="none"/>
                <w:u w:val="none" w:color="auto"/>
              </w:rPr>
              <w:t>稀释剂等含挥发性有机物的原辅材料在储存和输送过程中应保持密闭，使用过程中随取随开，用后应及时密闭，以减少挥发。</w:t>
            </w:r>
          </w:p>
          <w:p w14:paraId="2CD390F5">
            <w:pPr>
              <w:keepNext w:val="0"/>
              <w:keepLines w:val="0"/>
              <w:pageBreakBefore w:val="0"/>
              <w:widowControl w:val="0"/>
              <w:kinsoku/>
              <w:wordWrap/>
              <w:overflowPunct/>
              <w:topLinePunct w:val="0"/>
              <w:bidi w:val="0"/>
              <w:snapToGrid/>
              <w:spacing w:line="410" w:lineRule="exact"/>
              <w:ind w:firstLine="480" w:firstLineChars="200"/>
              <w:textAlignment w:val="auto"/>
              <w:rPr>
                <w:rFonts w:hint="default" w:ascii="Times New Roman" w:hAnsi="Times New Roman" w:eastAsia="宋体" w:cs="Times New Roman"/>
                <w:color w:val="auto"/>
                <w:sz w:val="24"/>
                <w:highlight w:val="none"/>
                <w:u w:val="none" w:color="auto"/>
              </w:rPr>
            </w:pPr>
            <w:r>
              <w:rPr>
                <w:rFonts w:hint="default" w:ascii="Times New Roman" w:hAnsi="Times New Roman" w:eastAsia="宋体" w:cs="Times New Roman"/>
                <w:color w:val="auto"/>
                <w:sz w:val="24"/>
                <w:highlight w:val="none"/>
                <w:u w:val="none" w:color="auto"/>
              </w:rPr>
              <w:t>综上所述，项目运营期产生的各项废气在采取相应防治措施后可实现达标排放，通过加强管理，均能得到有效的控制和缓减，对周边大气环境影响较小。</w:t>
            </w:r>
          </w:p>
          <w:p w14:paraId="5401D1DE">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default" w:ascii="Times New Roman" w:hAnsi="Times New Roman" w:eastAsia="宋体" w:cs="Times New Roman"/>
                <w:b/>
                <w:bCs/>
                <w:color w:val="auto"/>
                <w:sz w:val="24"/>
                <w:szCs w:val="24"/>
                <w:highlight w:val="none"/>
                <w:u w:val="none" w:color="auto"/>
                <w:lang w:val="en-US" w:eastAsia="zh-CN"/>
              </w:rPr>
              <w:t>4.2地表水环境影响分析</w:t>
            </w:r>
          </w:p>
          <w:p w14:paraId="11F953D4">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1、废水污染物源强分析</w:t>
            </w:r>
          </w:p>
          <w:p w14:paraId="107E1D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cs="Times New Roman"/>
                <w:color w:val="auto"/>
                <w:sz w:val="24"/>
                <w:szCs w:val="24"/>
                <w:u w:val="none" w:color="auto"/>
                <w:lang w:val="en-US" w:eastAsia="zh-CN"/>
              </w:rPr>
            </w:pPr>
            <w:r>
              <w:rPr>
                <w:rFonts w:hint="eastAsia" w:ascii="Times New Roman" w:hAnsi="Times New Roman" w:cs="Times New Roman"/>
                <w:color w:val="auto"/>
                <w:sz w:val="24"/>
                <w:szCs w:val="24"/>
                <w:u w:val="none" w:color="auto"/>
                <w:lang w:val="en-US" w:eastAsia="zh-CN"/>
              </w:rPr>
              <w:t>（1）生活污水</w:t>
            </w:r>
          </w:p>
          <w:p w14:paraId="1A7FDE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color w:val="auto"/>
                <w:sz w:val="24"/>
                <w:szCs w:val="24"/>
                <w:u w:val="none" w:color="auto"/>
                <w:lang w:val="en-US" w:eastAsia="zh-CN"/>
              </w:rPr>
            </w:pPr>
            <w:r>
              <w:rPr>
                <w:rFonts w:hint="default" w:ascii="Times New Roman" w:hAnsi="Times New Roman" w:cs="Times New Roman"/>
                <w:color w:val="auto"/>
                <w:sz w:val="24"/>
                <w:szCs w:val="24"/>
                <w:u w:val="none" w:color="auto"/>
                <w:lang w:val="en-US" w:eastAsia="zh-CN"/>
              </w:rPr>
              <w:t>本项目劳动定员</w:t>
            </w:r>
            <w:r>
              <w:rPr>
                <w:rFonts w:hint="eastAsia" w:cs="Times New Roman"/>
                <w:color w:val="auto"/>
                <w:sz w:val="24"/>
                <w:szCs w:val="24"/>
                <w:u w:val="none" w:color="auto"/>
                <w:lang w:val="en-US" w:eastAsia="zh-CN"/>
              </w:rPr>
              <w:t>25</w:t>
            </w:r>
            <w:r>
              <w:rPr>
                <w:rFonts w:hint="default" w:ascii="Times New Roman" w:hAnsi="Times New Roman" w:cs="Times New Roman"/>
                <w:color w:val="auto"/>
                <w:sz w:val="24"/>
                <w:szCs w:val="24"/>
                <w:u w:val="none" w:color="auto"/>
                <w:lang w:val="en-US" w:eastAsia="zh-CN"/>
              </w:rPr>
              <w:t>人，均</w:t>
            </w:r>
            <w:r>
              <w:rPr>
                <w:rFonts w:hint="eastAsia" w:cs="Times New Roman"/>
                <w:color w:val="auto"/>
                <w:sz w:val="24"/>
                <w:szCs w:val="24"/>
                <w:u w:val="none" w:color="auto"/>
                <w:lang w:val="en-US" w:eastAsia="zh-CN"/>
              </w:rPr>
              <w:t>不</w:t>
            </w:r>
            <w:r>
              <w:rPr>
                <w:rFonts w:hint="default" w:ascii="Times New Roman" w:hAnsi="Times New Roman" w:cs="Times New Roman"/>
                <w:color w:val="auto"/>
                <w:sz w:val="24"/>
                <w:szCs w:val="24"/>
                <w:u w:val="none" w:color="auto"/>
                <w:lang w:val="en-US" w:eastAsia="zh-CN"/>
              </w:rPr>
              <w:t>在厂区内食宿，年工作</w:t>
            </w:r>
            <w:r>
              <w:rPr>
                <w:rFonts w:hint="eastAsia" w:cs="Times New Roman"/>
                <w:color w:val="auto"/>
                <w:sz w:val="24"/>
                <w:szCs w:val="24"/>
                <w:u w:val="none" w:color="auto"/>
                <w:lang w:val="en-US" w:eastAsia="zh-CN"/>
              </w:rPr>
              <w:t>300</w:t>
            </w:r>
            <w:r>
              <w:rPr>
                <w:rFonts w:hint="default" w:ascii="Times New Roman" w:hAnsi="Times New Roman" w:cs="Times New Roman"/>
                <w:color w:val="auto"/>
                <w:sz w:val="24"/>
                <w:szCs w:val="24"/>
                <w:u w:val="none" w:color="auto"/>
                <w:lang w:val="en-US" w:eastAsia="zh-CN"/>
              </w:rPr>
              <w:t>天，</w:t>
            </w:r>
            <w:r>
              <w:rPr>
                <w:rFonts w:hint="eastAsia" w:ascii="Times New Roman" w:hAnsi="Times New Roman" w:cs="Times New Roman"/>
                <w:color w:val="auto"/>
                <w:spacing w:val="6"/>
                <w:sz w:val="24"/>
                <w:u w:val="none" w:color="auto"/>
                <w:lang w:val="en-US" w:eastAsia="zh-CN"/>
              </w:rPr>
              <w:t>因此</w:t>
            </w:r>
            <w:r>
              <w:rPr>
                <w:rFonts w:hint="default" w:ascii="Times New Roman" w:hAnsi="Times New Roman" w:cs="Times New Roman"/>
                <w:color w:val="auto"/>
                <w:spacing w:val="6"/>
                <w:sz w:val="24"/>
                <w:u w:val="none" w:color="auto"/>
                <w:lang w:val="en-US" w:eastAsia="zh-CN"/>
              </w:rPr>
              <w:t>根据《湖南省用水定额》</w:t>
            </w:r>
            <w:r>
              <w:rPr>
                <w:rFonts w:hint="default" w:ascii="Times New Roman" w:hAnsi="Times New Roman" w:cs="Times New Roman"/>
                <w:color w:val="auto"/>
                <w:spacing w:val="6"/>
                <w:sz w:val="24"/>
                <w:u w:val="none" w:color="auto"/>
              </w:rPr>
              <w:t>（DB43/T388-2020），</w:t>
            </w:r>
            <w:r>
              <w:rPr>
                <w:rFonts w:hint="eastAsia" w:ascii="Times New Roman" w:hAnsi="Times New Roman" w:cs="Times New Roman"/>
                <w:color w:val="auto"/>
                <w:spacing w:val="6"/>
                <w:sz w:val="24"/>
                <w:u w:val="none" w:color="auto"/>
                <w:lang w:eastAsia="zh-CN"/>
              </w:rPr>
              <w:t>不在厂内食宿人员用水量</w:t>
            </w:r>
            <w:r>
              <w:rPr>
                <w:rFonts w:hint="default" w:ascii="Times New Roman" w:hAnsi="Times New Roman" w:cs="Times New Roman"/>
                <w:color w:val="auto"/>
                <w:spacing w:val="6"/>
                <w:sz w:val="24"/>
                <w:u w:val="none" w:color="auto"/>
              </w:rPr>
              <w:t>按</w:t>
            </w:r>
            <w:r>
              <w:rPr>
                <w:rFonts w:hint="eastAsia" w:cs="Times New Roman"/>
                <w:color w:val="auto"/>
                <w:spacing w:val="6"/>
                <w:sz w:val="24"/>
                <w:u w:val="none" w:color="auto"/>
                <w:lang w:val="en-US" w:eastAsia="zh-CN"/>
              </w:rPr>
              <w:t>38m</w:t>
            </w:r>
            <w:r>
              <w:rPr>
                <w:rFonts w:hint="eastAsia" w:cs="Times New Roman"/>
                <w:color w:val="auto"/>
                <w:spacing w:val="6"/>
                <w:sz w:val="24"/>
                <w:u w:val="none" w:color="auto"/>
                <w:vertAlign w:val="superscript"/>
                <w:lang w:val="en-US" w:eastAsia="zh-CN"/>
              </w:rPr>
              <w:t>3</w:t>
            </w:r>
            <w:r>
              <w:rPr>
                <w:rFonts w:hint="default" w:ascii="Times New Roman" w:hAnsi="Times New Roman" w:cs="Times New Roman"/>
                <w:color w:val="auto"/>
                <w:spacing w:val="6"/>
                <w:sz w:val="24"/>
                <w:u w:val="none" w:color="auto"/>
              </w:rPr>
              <w:t>/人·</w:t>
            </w:r>
            <w:r>
              <w:rPr>
                <w:rFonts w:hint="eastAsia" w:cs="Times New Roman"/>
                <w:color w:val="auto"/>
                <w:spacing w:val="6"/>
                <w:sz w:val="24"/>
                <w:u w:val="none" w:color="auto"/>
                <w:lang w:val="en-US" w:eastAsia="zh-CN"/>
              </w:rPr>
              <w:t>a</w:t>
            </w:r>
            <w:r>
              <w:rPr>
                <w:rFonts w:hint="default" w:ascii="Times New Roman" w:hAnsi="Times New Roman" w:cs="Times New Roman"/>
                <w:color w:val="auto"/>
                <w:spacing w:val="6"/>
                <w:sz w:val="24"/>
                <w:u w:val="none" w:color="auto"/>
              </w:rPr>
              <w:t>计，项目生活用水量为</w:t>
            </w:r>
            <w:r>
              <w:rPr>
                <w:rFonts w:hint="eastAsia" w:ascii="Times New Roman" w:hAnsi="Times New Roman" w:cs="Times New Roman"/>
                <w:color w:val="auto"/>
                <w:spacing w:val="6"/>
                <w:sz w:val="24"/>
                <w:u w:val="none" w:color="auto"/>
                <w:lang w:val="en-US" w:eastAsia="zh-CN"/>
              </w:rPr>
              <w:t>950t</w:t>
            </w:r>
            <w:r>
              <w:rPr>
                <w:rFonts w:hint="default" w:ascii="Times New Roman" w:hAnsi="Times New Roman" w:cs="Times New Roman"/>
                <w:color w:val="auto"/>
                <w:spacing w:val="6"/>
                <w:sz w:val="24"/>
                <w:u w:val="none" w:color="auto"/>
                <w:lang w:val="en-US" w:eastAsia="zh-CN"/>
              </w:rPr>
              <w:t>/a（</w:t>
            </w:r>
            <w:r>
              <w:rPr>
                <w:rFonts w:hint="eastAsia" w:cs="Times New Roman"/>
                <w:color w:val="auto"/>
                <w:spacing w:val="6"/>
                <w:sz w:val="24"/>
                <w:u w:val="none" w:color="auto"/>
                <w:lang w:val="en-US" w:eastAsia="zh-CN"/>
              </w:rPr>
              <w:t>3.17</w:t>
            </w:r>
            <w:r>
              <w:rPr>
                <w:rFonts w:hint="eastAsia" w:ascii="Times New Roman" w:hAnsi="Times New Roman" w:cs="Times New Roman"/>
                <w:color w:val="auto"/>
                <w:spacing w:val="6"/>
                <w:sz w:val="24"/>
                <w:u w:val="none" w:color="auto"/>
                <w:lang w:val="en-US" w:eastAsia="zh-CN"/>
              </w:rPr>
              <w:t>t</w:t>
            </w:r>
            <w:r>
              <w:rPr>
                <w:rFonts w:hint="default" w:ascii="Times New Roman" w:hAnsi="Times New Roman" w:cs="Times New Roman"/>
                <w:color w:val="auto"/>
                <w:spacing w:val="6"/>
                <w:sz w:val="24"/>
                <w:u w:val="none" w:color="auto"/>
                <w:lang w:val="en-US" w:eastAsia="zh-CN"/>
              </w:rPr>
              <w:t>/d）</w:t>
            </w:r>
            <w:r>
              <w:rPr>
                <w:rFonts w:hint="eastAsia" w:ascii="Times New Roman" w:hAnsi="Times New Roman" w:cs="Times New Roman"/>
                <w:color w:val="auto"/>
                <w:sz w:val="24"/>
                <w:szCs w:val="24"/>
                <w:u w:val="none" w:color="auto"/>
                <w:lang w:val="en-US" w:eastAsia="zh-CN"/>
              </w:rPr>
              <w:t>，</w:t>
            </w:r>
            <w:r>
              <w:rPr>
                <w:rFonts w:hint="eastAsia" w:ascii="Times New Roman" w:hAnsi="Times New Roman" w:cs="Times New Roman"/>
                <w:color w:val="auto"/>
                <w:spacing w:val="6"/>
                <w:sz w:val="24"/>
                <w:u w:val="none" w:color="auto"/>
                <w:lang w:eastAsia="zh-CN"/>
              </w:rPr>
              <w:t>排污系数按</w:t>
            </w:r>
            <w:r>
              <w:rPr>
                <w:rFonts w:hint="eastAsia" w:ascii="Times New Roman" w:hAnsi="Times New Roman" w:cs="Times New Roman"/>
                <w:color w:val="auto"/>
                <w:spacing w:val="6"/>
                <w:sz w:val="24"/>
                <w:u w:val="none" w:color="auto"/>
                <w:lang w:val="en-US" w:eastAsia="zh-CN"/>
              </w:rPr>
              <w:t>0.8计，则</w:t>
            </w:r>
            <w:r>
              <w:rPr>
                <w:rFonts w:hint="default" w:ascii="Times New Roman" w:hAnsi="Times New Roman" w:cs="Times New Roman"/>
                <w:color w:val="auto"/>
                <w:spacing w:val="6"/>
                <w:sz w:val="24"/>
                <w:szCs w:val="24"/>
                <w:u w:val="none" w:color="auto"/>
                <w:lang w:val="en-US" w:eastAsia="zh-CN"/>
              </w:rPr>
              <w:t>生活污水</w:t>
            </w:r>
            <w:r>
              <w:rPr>
                <w:rFonts w:hint="eastAsia" w:cs="Times New Roman"/>
                <w:color w:val="auto"/>
                <w:spacing w:val="6"/>
                <w:sz w:val="24"/>
                <w:szCs w:val="24"/>
                <w:u w:val="none" w:color="auto"/>
                <w:lang w:val="en-US" w:eastAsia="zh-CN"/>
              </w:rPr>
              <w:t>产生</w:t>
            </w:r>
            <w:r>
              <w:rPr>
                <w:rFonts w:hint="default" w:ascii="Times New Roman" w:hAnsi="Times New Roman" w:cs="Times New Roman"/>
                <w:color w:val="auto"/>
                <w:spacing w:val="6"/>
                <w:sz w:val="24"/>
                <w:szCs w:val="24"/>
                <w:u w:val="none" w:color="auto"/>
                <w:lang w:val="en-US" w:eastAsia="zh-CN"/>
              </w:rPr>
              <w:t>量为</w:t>
            </w:r>
            <w:r>
              <w:rPr>
                <w:rFonts w:hint="eastAsia" w:cs="Times New Roman"/>
                <w:color w:val="auto"/>
                <w:spacing w:val="6"/>
                <w:sz w:val="24"/>
                <w:szCs w:val="24"/>
                <w:u w:val="none" w:color="auto"/>
                <w:lang w:val="en-US" w:eastAsia="zh-CN"/>
              </w:rPr>
              <w:t>760</w:t>
            </w:r>
            <w:r>
              <w:rPr>
                <w:rFonts w:hint="eastAsia" w:cs="Times New Roman"/>
                <w:bCs/>
                <w:color w:val="auto"/>
                <w:sz w:val="24"/>
                <w:szCs w:val="24"/>
                <w:u w:val="none" w:color="auto"/>
                <w:lang w:val="en-US" w:eastAsia="zh-CN"/>
              </w:rPr>
              <w:t>t/a</w:t>
            </w:r>
            <w:r>
              <w:rPr>
                <w:rFonts w:hint="default" w:ascii="Times New Roman" w:hAnsi="Times New Roman" w:cs="Times New Roman"/>
                <w:color w:val="auto"/>
                <w:spacing w:val="6"/>
                <w:sz w:val="24"/>
                <w:u w:val="none" w:color="auto"/>
                <w:lang w:val="en-US" w:eastAsia="zh-CN"/>
              </w:rPr>
              <w:t>（</w:t>
            </w:r>
            <w:r>
              <w:rPr>
                <w:rFonts w:hint="eastAsia" w:cs="Times New Roman"/>
                <w:color w:val="auto"/>
                <w:spacing w:val="6"/>
                <w:sz w:val="24"/>
                <w:u w:val="none" w:color="auto"/>
                <w:lang w:val="en-US" w:eastAsia="zh-CN"/>
              </w:rPr>
              <w:t>2.53</w:t>
            </w:r>
            <w:r>
              <w:rPr>
                <w:rFonts w:hint="eastAsia" w:ascii="Times New Roman" w:hAnsi="Times New Roman" w:cs="Times New Roman"/>
                <w:color w:val="auto"/>
                <w:spacing w:val="6"/>
                <w:sz w:val="24"/>
                <w:u w:val="none" w:color="auto"/>
                <w:lang w:val="en-US" w:eastAsia="zh-CN"/>
              </w:rPr>
              <w:t>t</w:t>
            </w:r>
            <w:r>
              <w:rPr>
                <w:rFonts w:hint="default" w:ascii="Times New Roman" w:hAnsi="Times New Roman" w:cs="Times New Roman"/>
                <w:color w:val="auto"/>
                <w:spacing w:val="6"/>
                <w:sz w:val="24"/>
                <w:u w:val="none" w:color="auto"/>
                <w:lang w:val="en-US" w:eastAsia="zh-CN"/>
              </w:rPr>
              <w:t>/d）</w:t>
            </w:r>
            <w:r>
              <w:rPr>
                <w:rFonts w:hint="eastAsia" w:cs="Times New Roman"/>
                <w:color w:val="auto"/>
                <w:spacing w:val="6"/>
                <w:sz w:val="24"/>
                <w:u w:val="none" w:color="auto"/>
                <w:lang w:val="en-US" w:eastAsia="zh-CN"/>
              </w:rPr>
              <w:t>。</w:t>
            </w:r>
            <w:r>
              <w:rPr>
                <w:rFonts w:hint="eastAsia" w:cs="Times New Roman"/>
                <w:color w:val="auto"/>
                <w:sz w:val="24"/>
                <w:szCs w:val="24"/>
                <w:u w:val="none" w:color="auto"/>
                <w:lang w:val="en-US" w:eastAsia="zh-CN"/>
              </w:rPr>
              <w:t>生活污水经化粪池处理后用于周边林地浇灌，不外排</w:t>
            </w:r>
            <w:r>
              <w:rPr>
                <w:rFonts w:hint="default" w:ascii="Times New Roman" w:hAnsi="Times New Roman" w:cs="Times New Roman"/>
                <w:color w:val="auto"/>
                <w:sz w:val="24"/>
                <w:szCs w:val="24"/>
                <w:u w:val="none" w:color="auto"/>
                <w:lang w:val="en-US" w:eastAsia="zh-CN"/>
              </w:rPr>
              <w:t>。</w:t>
            </w:r>
          </w:p>
          <w:p w14:paraId="000013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color w:val="auto"/>
                <w:sz w:val="24"/>
                <w:szCs w:val="24"/>
                <w:u w:val="none" w:color="auto"/>
                <w:lang w:val="en-US" w:eastAsia="zh-CN"/>
              </w:rPr>
            </w:pPr>
            <w:r>
              <w:rPr>
                <w:rFonts w:hint="eastAsia" w:ascii="Times New Roman" w:hAnsi="Times New Roman" w:cs="Times New Roman"/>
                <w:color w:val="auto"/>
                <w:sz w:val="24"/>
                <w:szCs w:val="24"/>
                <w:u w:val="none" w:color="auto"/>
                <w:lang w:val="en-US" w:eastAsia="zh-CN"/>
              </w:rPr>
              <w:t>（2）水帘废水</w:t>
            </w:r>
          </w:p>
          <w:p w14:paraId="619FF8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color w:val="auto"/>
                <w:sz w:val="24"/>
                <w:szCs w:val="24"/>
                <w:u w:val="none" w:color="auto"/>
                <w:lang w:val="en-US" w:eastAsia="zh-CN"/>
              </w:rPr>
            </w:pPr>
            <w:r>
              <w:rPr>
                <w:rFonts w:hint="eastAsia" w:ascii="Times New Roman" w:hAnsi="Times New Roman" w:cs="Times New Roman"/>
                <w:color w:val="auto"/>
                <w:sz w:val="24"/>
                <w:szCs w:val="24"/>
                <w:u w:val="none" w:color="auto"/>
                <w:lang w:val="en-US" w:eastAsia="zh-CN"/>
              </w:rPr>
              <w:t>项目喷漆采用水帘除去漆雾，项目共设置4套喷漆房，水帘水槽体积为4m×4m×0.5m共3个，水帘水槽体积为2.5m×2.5m×0.5m共1个，水槽有效水深为 0.3m，除漆雾循环水定期补充，半年更换一次，一次更换水量为16.275m</w:t>
            </w:r>
            <w:r>
              <w:rPr>
                <w:rFonts w:hint="eastAsia" w:ascii="Times New Roman" w:hAnsi="Times New Roman" w:cs="Times New Roman"/>
                <w:color w:val="auto"/>
                <w:sz w:val="24"/>
                <w:szCs w:val="24"/>
                <w:u w:val="none" w:color="auto"/>
                <w:vertAlign w:val="superscript"/>
                <w:lang w:val="en-US" w:eastAsia="zh-CN"/>
              </w:rPr>
              <w:t>3</w:t>
            </w:r>
            <w:r>
              <w:rPr>
                <w:rFonts w:hint="eastAsia" w:ascii="Times New Roman" w:hAnsi="Times New Roman" w:cs="Times New Roman"/>
                <w:color w:val="auto"/>
                <w:sz w:val="24"/>
                <w:szCs w:val="24"/>
                <w:u w:val="none" w:color="auto"/>
                <w:lang w:val="en-US" w:eastAsia="zh-CN"/>
              </w:rPr>
              <w:t>，水帘废水产生量</w:t>
            </w:r>
            <w:r>
              <w:rPr>
                <w:rFonts w:hint="eastAsia" w:cs="Times New Roman"/>
                <w:color w:val="auto"/>
                <w:sz w:val="24"/>
                <w:szCs w:val="24"/>
                <w:u w:val="none" w:color="auto"/>
                <w:lang w:val="en-US" w:eastAsia="zh-CN"/>
              </w:rPr>
              <w:t>21.7</w:t>
            </w:r>
            <w:r>
              <w:rPr>
                <w:rFonts w:hint="eastAsia" w:ascii="Times New Roman" w:hAnsi="Times New Roman" w:cs="Times New Roman"/>
                <w:color w:val="auto"/>
                <w:sz w:val="24"/>
                <w:szCs w:val="24"/>
                <w:u w:val="none" w:color="auto"/>
                <w:lang w:val="en-US" w:eastAsia="zh-CN"/>
              </w:rPr>
              <w:t>t/a。根据建设单位提供资料，年补充水量0.5t/a。水帘废水作为危险废物处置，委托有资质单位外运处置，不外排。</w:t>
            </w:r>
          </w:p>
          <w:p w14:paraId="419E6D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color w:val="auto"/>
                <w:sz w:val="24"/>
                <w:szCs w:val="24"/>
                <w:u w:val="none" w:color="auto"/>
                <w:lang w:val="en-US" w:eastAsia="zh-CN"/>
              </w:rPr>
            </w:pPr>
            <w:r>
              <w:rPr>
                <w:rFonts w:hint="default" w:ascii="Times New Roman" w:hAnsi="Times New Roman" w:cs="Times New Roman"/>
                <w:color w:val="auto"/>
                <w:sz w:val="24"/>
                <w:szCs w:val="24"/>
                <w:u w:val="none" w:color="auto"/>
                <w:lang w:val="en-US" w:eastAsia="zh-CN"/>
              </w:rPr>
              <w:t>项目生活污水污染物产排情况见下表。</w:t>
            </w:r>
          </w:p>
          <w:p w14:paraId="3210C44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b/>
                <w:bCs/>
                <w:color w:val="auto"/>
                <w:sz w:val="21"/>
                <w:szCs w:val="21"/>
                <w:highlight w:val="none"/>
                <w:u w:val="none" w:color="auto"/>
                <w:lang w:val="en-GB" w:eastAsia="zh-CN"/>
              </w:rPr>
            </w:pPr>
            <w:r>
              <w:rPr>
                <w:rFonts w:hint="eastAsia" w:ascii="Times New Roman" w:hAnsi="Times New Roman" w:eastAsia="宋体" w:cs="Times New Roman"/>
                <w:b/>
                <w:bCs/>
                <w:color w:val="auto"/>
                <w:sz w:val="21"/>
                <w:szCs w:val="21"/>
                <w:highlight w:val="none"/>
                <w:u w:val="none" w:color="auto"/>
                <w:lang w:val="en-US" w:eastAsia="zh-CN"/>
              </w:rPr>
              <w:t>表4-</w:t>
            </w:r>
            <w:r>
              <w:rPr>
                <w:rFonts w:hint="eastAsia" w:cs="Times New Roman"/>
                <w:b/>
                <w:bCs/>
                <w:color w:val="auto"/>
                <w:sz w:val="21"/>
                <w:szCs w:val="21"/>
                <w:highlight w:val="none"/>
                <w:u w:val="none" w:color="auto"/>
                <w:lang w:val="en-US" w:eastAsia="zh-CN"/>
              </w:rPr>
              <w:t>11</w:t>
            </w:r>
            <w:r>
              <w:rPr>
                <w:rFonts w:hint="eastAsia" w:ascii="Times New Roman" w:hAnsi="Times New Roman" w:eastAsia="宋体" w:cs="Times New Roman"/>
                <w:b/>
                <w:bCs/>
                <w:color w:val="auto"/>
                <w:sz w:val="21"/>
                <w:szCs w:val="21"/>
                <w:highlight w:val="none"/>
                <w:u w:val="none" w:color="auto"/>
                <w:lang w:val="en-US" w:eastAsia="zh-CN"/>
              </w:rPr>
              <w:t xml:space="preserve">  </w:t>
            </w:r>
            <w:r>
              <w:rPr>
                <w:rFonts w:hint="eastAsia" w:ascii="Times New Roman" w:hAnsi="Times New Roman" w:eastAsia="宋体" w:cs="Times New Roman"/>
                <w:b/>
                <w:bCs/>
                <w:color w:val="auto"/>
                <w:sz w:val="21"/>
                <w:szCs w:val="21"/>
                <w:highlight w:val="none"/>
                <w:u w:val="none" w:color="auto"/>
                <w:lang w:val="en-GB" w:eastAsia="zh-CN"/>
              </w:rPr>
              <w:t>废水污染物信息表</w:t>
            </w:r>
          </w:p>
          <w:tbl>
            <w:tblPr>
              <w:tblStyle w:val="31"/>
              <w:tblW w:w="811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28"/>
              <w:gridCol w:w="1280"/>
              <w:gridCol w:w="1106"/>
              <w:gridCol w:w="1026"/>
              <w:gridCol w:w="1537"/>
              <w:gridCol w:w="1638"/>
            </w:tblGrid>
            <w:tr w14:paraId="67CFC7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28" w:type="dxa"/>
                  <w:tcBorders>
                    <w:tl2br w:val="nil"/>
                    <w:tr2bl w:val="nil"/>
                  </w:tcBorders>
                  <w:noWrap w:val="0"/>
                  <w:vAlign w:val="center"/>
                </w:tcPr>
                <w:p w14:paraId="7A69D2D0">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21"/>
                      <w:szCs w:val="21"/>
                      <w:u w:val="none" w:color="auto"/>
                    </w:rPr>
                  </w:pPr>
                  <w:r>
                    <w:rPr>
                      <w:rFonts w:hint="eastAsia" w:ascii="Times New Roman" w:hAnsi="Times New Roman" w:cs="Times New Roman"/>
                      <w:b w:val="0"/>
                      <w:bCs w:val="0"/>
                      <w:color w:val="auto"/>
                      <w:sz w:val="21"/>
                      <w:szCs w:val="21"/>
                      <w:u w:val="none" w:color="auto"/>
                    </w:rPr>
                    <w:t>类别</w:t>
                  </w:r>
                </w:p>
              </w:tc>
              <w:tc>
                <w:tcPr>
                  <w:tcW w:w="1280" w:type="dxa"/>
                  <w:tcBorders>
                    <w:tl2br w:val="nil"/>
                    <w:tr2bl w:val="nil"/>
                  </w:tcBorders>
                  <w:noWrap w:val="0"/>
                  <w:vAlign w:val="center"/>
                </w:tcPr>
                <w:p w14:paraId="7CF0F508">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21"/>
                      <w:szCs w:val="21"/>
                      <w:u w:val="none" w:color="auto"/>
                    </w:rPr>
                  </w:pPr>
                  <w:r>
                    <w:rPr>
                      <w:rFonts w:hint="eastAsia" w:ascii="Times New Roman" w:hAnsi="Times New Roman" w:cs="Times New Roman"/>
                      <w:b w:val="0"/>
                      <w:bCs w:val="0"/>
                      <w:color w:val="auto"/>
                      <w:sz w:val="21"/>
                      <w:szCs w:val="21"/>
                      <w:u w:val="none" w:color="auto"/>
                    </w:rPr>
                    <w:t>污染物种类</w:t>
                  </w:r>
                </w:p>
              </w:tc>
              <w:tc>
                <w:tcPr>
                  <w:tcW w:w="1106" w:type="dxa"/>
                  <w:tcBorders>
                    <w:tl2br w:val="nil"/>
                    <w:tr2bl w:val="nil"/>
                  </w:tcBorders>
                  <w:noWrap w:val="0"/>
                  <w:vAlign w:val="center"/>
                </w:tcPr>
                <w:p w14:paraId="1DC9F002">
                  <w:pPr>
                    <w:keepNext w:val="0"/>
                    <w:keepLines w:val="0"/>
                    <w:suppressLineNumbers w:val="0"/>
                    <w:spacing w:before="0" w:beforeAutospacing="0" w:after="0" w:afterAutospacing="0"/>
                    <w:ind w:left="0" w:right="0"/>
                    <w:jc w:val="center"/>
                    <w:rPr>
                      <w:rFonts w:hint="eastAsia" w:ascii="Times New Roman" w:hAnsi="Times New Roman" w:cs="Times New Roman"/>
                      <w:b w:val="0"/>
                      <w:bCs w:val="0"/>
                      <w:color w:val="auto"/>
                      <w:sz w:val="21"/>
                      <w:szCs w:val="21"/>
                      <w:u w:val="none" w:color="auto"/>
                      <w:lang w:val="en-US" w:eastAsia="zh-CN"/>
                    </w:rPr>
                  </w:pPr>
                  <w:r>
                    <w:rPr>
                      <w:rFonts w:hint="eastAsia" w:ascii="Times New Roman" w:hAnsi="Times New Roman" w:cs="Times New Roman"/>
                      <w:b w:val="0"/>
                      <w:bCs w:val="0"/>
                      <w:color w:val="auto"/>
                      <w:sz w:val="21"/>
                      <w:szCs w:val="21"/>
                      <w:u w:val="none" w:color="auto"/>
                      <w:lang w:val="en-US" w:eastAsia="zh-CN"/>
                    </w:rPr>
                    <w:t>产生</w:t>
                  </w:r>
                  <w:r>
                    <w:rPr>
                      <w:rFonts w:hint="eastAsia" w:ascii="Times New Roman" w:hAnsi="Times New Roman" w:cs="Times New Roman"/>
                      <w:b w:val="0"/>
                      <w:bCs w:val="0"/>
                      <w:color w:val="auto"/>
                      <w:sz w:val="21"/>
                      <w:szCs w:val="21"/>
                      <w:u w:val="none" w:color="auto"/>
                    </w:rPr>
                    <w:t>浓度mg/</w:t>
                  </w:r>
                  <w:r>
                    <w:rPr>
                      <w:rFonts w:hint="eastAsia" w:ascii="Times New Roman" w:hAnsi="Times New Roman" w:cs="Times New Roman"/>
                      <w:b w:val="0"/>
                      <w:bCs w:val="0"/>
                      <w:color w:val="auto"/>
                      <w:sz w:val="21"/>
                      <w:szCs w:val="21"/>
                      <w:u w:val="none" w:color="auto"/>
                      <w:lang w:val="en-US" w:eastAsia="zh-CN"/>
                    </w:rPr>
                    <w:t>L</w:t>
                  </w:r>
                </w:p>
              </w:tc>
              <w:tc>
                <w:tcPr>
                  <w:tcW w:w="1026" w:type="dxa"/>
                  <w:tcBorders>
                    <w:tl2br w:val="nil"/>
                    <w:tr2bl w:val="nil"/>
                  </w:tcBorders>
                  <w:noWrap w:val="0"/>
                  <w:vAlign w:val="center"/>
                </w:tcPr>
                <w:p w14:paraId="4DF38098">
                  <w:pPr>
                    <w:keepNext w:val="0"/>
                    <w:keepLines w:val="0"/>
                    <w:suppressLineNumbers w:val="0"/>
                    <w:spacing w:before="0" w:beforeAutospacing="0" w:after="0" w:afterAutospacing="0"/>
                    <w:ind w:left="0" w:right="0"/>
                    <w:jc w:val="center"/>
                    <w:rPr>
                      <w:rFonts w:hint="eastAsia" w:ascii="Times New Roman" w:hAnsi="Times New Roman" w:cs="Times New Roman"/>
                      <w:b w:val="0"/>
                      <w:bCs w:val="0"/>
                      <w:color w:val="auto"/>
                      <w:sz w:val="21"/>
                      <w:szCs w:val="21"/>
                      <w:u w:val="none" w:color="auto"/>
                    </w:rPr>
                  </w:pPr>
                  <w:r>
                    <w:rPr>
                      <w:rFonts w:hint="eastAsia" w:ascii="Times New Roman" w:hAnsi="Times New Roman" w:cs="Times New Roman"/>
                      <w:b w:val="0"/>
                      <w:bCs w:val="0"/>
                      <w:color w:val="auto"/>
                      <w:sz w:val="21"/>
                      <w:szCs w:val="21"/>
                      <w:u w:val="none" w:color="auto"/>
                    </w:rPr>
                    <w:t>产生量</w:t>
                  </w:r>
                </w:p>
                <w:p w14:paraId="2B064682">
                  <w:pPr>
                    <w:keepNext w:val="0"/>
                    <w:keepLines w:val="0"/>
                    <w:suppressLineNumbers w:val="0"/>
                    <w:spacing w:before="0" w:beforeAutospacing="0" w:after="0" w:afterAutospacing="0"/>
                    <w:ind w:left="0" w:right="0"/>
                    <w:jc w:val="center"/>
                    <w:rPr>
                      <w:rFonts w:hint="eastAsia" w:ascii="Times New Roman" w:hAnsi="Times New Roman" w:cs="Times New Roman"/>
                      <w:b w:val="0"/>
                      <w:bCs w:val="0"/>
                      <w:color w:val="auto"/>
                      <w:sz w:val="21"/>
                      <w:szCs w:val="21"/>
                      <w:u w:val="none" w:color="auto"/>
                      <w:lang w:val="en-US" w:eastAsia="zh-CN"/>
                    </w:rPr>
                  </w:pPr>
                  <w:r>
                    <w:rPr>
                      <w:rFonts w:hint="eastAsia" w:ascii="Times New Roman" w:hAnsi="Times New Roman" w:cs="Times New Roman"/>
                      <w:b w:val="0"/>
                      <w:bCs w:val="0"/>
                      <w:color w:val="auto"/>
                      <w:sz w:val="21"/>
                      <w:szCs w:val="21"/>
                      <w:u w:val="none" w:color="auto"/>
                    </w:rPr>
                    <w:t>t/a</w:t>
                  </w:r>
                </w:p>
              </w:tc>
              <w:tc>
                <w:tcPr>
                  <w:tcW w:w="1537" w:type="dxa"/>
                  <w:tcBorders>
                    <w:tl2br w:val="nil"/>
                    <w:tr2bl w:val="nil"/>
                  </w:tcBorders>
                  <w:noWrap w:val="0"/>
                  <w:vAlign w:val="center"/>
                </w:tcPr>
                <w:p w14:paraId="39D317A2">
                  <w:pPr>
                    <w:keepNext w:val="0"/>
                    <w:keepLines w:val="0"/>
                    <w:suppressLineNumbers w:val="0"/>
                    <w:spacing w:before="0" w:beforeAutospacing="0" w:after="0" w:afterAutospacing="0"/>
                    <w:ind w:left="0" w:right="0"/>
                    <w:jc w:val="center"/>
                    <w:rPr>
                      <w:rFonts w:hint="eastAsia" w:ascii="Times New Roman" w:hAnsi="Times New Roman" w:cs="Times New Roman"/>
                      <w:b w:val="0"/>
                      <w:bCs w:val="0"/>
                      <w:color w:val="auto"/>
                      <w:sz w:val="21"/>
                      <w:szCs w:val="21"/>
                      <w:u w:val="none" w:color="auto"/>
                    </w:rPr>
                  </w:pPr>
                  <w:r>
                    <w:rPr>
                      <w:rFonts w:hint="eastAsia" w:ascii="Times New Roman" w:hAnsi="Times New Roman" w:cs="Times New Roman"/>
                      <w:b w:val="0"/>
                      <w:bCs w:val="0"/>
                      <w:color w:val="auto"/>
                      <w:sz w:val="21"/>
                      <w:szCs w:val="21"/>
                      <w:u w:val="none" w:color="auto"/>
                    </w:rPr>
                    <w:t>污染治理</w:t>
                  </w:r>
                </w:p>
                <w:p w14:paraId="1A1F7ACA">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21"/>
                      <w:szCs w:val="21"/>
                      <w:u w:val="none" w:color="auto"/>
                    </w:rPr>
                  </w:pPr>
                  <w:r>
                    <w:rPr>
                      <w:rFonts w:hint="eastAsia" w:ascii="Times New Roman" w:hAnsi="Times New Roman" w:cs="Times New Roman"/>
                      <w:b w:val="0"/>
                      <w:bCs w:val="0"/>
                      <w:color w:val="auto"/>
                      <w:sz w:val="21"/>
                      <w:szCs w:val="21"/>
                      <w:u w:val="none" w:color="auto"/>
                    </w:rPr>
                    <w:t>设施名称</w:t>
                  </w:r>
                </w:p>
              </w:tc>
              <w:tc>
                <w:tcPr>
                  <w:tcW w:w="1638" w:type="dxa"/>
                  <w:tcBorders>
                    <w:tl2br w:val="nil"/>
                    <w:tr2bl w:val="nil"/>
                  </w:tcBorders>
                  <w:noWrap w:val="0"/>
                  <w:vAlign w:val="center"/>
                </w:tcPr>
                <w:p w14:paraId="54917748">
                  <w:pPr>
                    <w:keepNext w:val="0"/>
                    <w:keepLines w:val="0"/>
                    <w:suppressLineNumbers w:val="0"/>
                    <w:spacing w:before="0" w:beforeAutospacing="0" w:after="0" w:afterAutospacing="0"/>
                    <w:ind w:left="0" w:right="0"/>
                    <w:jc w:val="center"/>
                    <w:rPr>
                      <w:rFonts w:hint="eastAsia" w:ascii="Times New Roman" w:hAnsi="Times New Roman" w:cs="Times New Roman"/>
                      <w:b w:val="0"/>
                      <w:bCs w:val="0"/>
                      <w:color w:val="auto"/>
                      <w:sz w:val="21"/>
                      <w:szCs w:val="21"/>
                      <w:u w:val="none" w:color="auto"/>
                      <w:lang w:eastAsia="zh-CN"/>
                    </w:rPr>
                  </w:pPr>
                  <w:r>
                    <w:rPr>
                      <w:rFonts w:hint="eastAsia" w:ascii="Times New Roman" w:hAnsi="Times New Roman" w:cs="Times New Roman"/>
                      <w:b w:val="0"/>
                      <w:bCs w:val="0"/>
                      <w:color w:val="auto"/>
                      <w:sz w:val="21"/>
                      <w:szCs w:val="21"/>
                      <w:u w:val="none" w:color="auto"/>
                      <w:lang w:val="en-US" w:eastAsia="zh-CN"/>
                    </w:rPr>
                    <w:t>废水去向</w:t>
                  </w:r>
                </w:p>
              </w:tc>
            </w:tr>
            <w:tr w14:paraId="5A58CE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28" w:type="dxa"/>
                  <w:vMerge w:val="restart"/>
                  <w:tcBorders>
                    <w:tl2br w:val="nil"/>
                    <w:tr2bl w:val="nil"/>
                  </w:tcBorders>
                  <w:noWrap w:val="0"/>
                  <w:vAlign w:val="center"/>
                </w:tcPr>
                <w:p w14:paraId="65CB7997">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21"/>
                      <w:szCs w:val="21"/>
                      <w:u w:val="none" w:color="auto"/>
                      <w:lang w:val="en-US" w:eastAsia="zh-CN"/>
                    </w:rPr>
                  </w:pPr>
                  <w:r>
                    <w:rPr>
                      <w:rFonts w:hint="eastAsia" w:ascii="Times New Roman" w:hAnsi="Times New Roman" w:cs="Times New Roman"/>
                      <w:b w:val="0"/>
                      <w:bCs w:val="0"/>
                      <w:color w:val="auto"/>
                      <w:sz w:val="21"/>
                      <w:szCs w:val="21"/>
                      <w:u w:val="none" w:color="auto"/>
                      <w:lang w:val="en-US" w:eastAsia="zh-CN"/>
                    </w:rPr>
                    <w:t>生活污水</w:t>
                  </w:r>
                </w:p>
              </w:tc>
              <w:tc>
                <w:tcPr>
                  <w:tcW w:w="1280" w:type="dxa"/>
                  <w:tcBorders>
                    <w:tl2br w:val="nil"/>
                    <w:tr2bl w:val="nil"/>
                  </w:tcBorders>
                  <w:noWrap w:val="0"/>
                  <w:vAlign w:val="center"/>
                </w:tcPr>
                <w:p w14:paraId="090833FB">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21"/>
                      <w:szCs w:val="21"/>
                      <w:u w:val="none" w:color="auto"/>
                      <w:lang w:val="en-US" w:eastAsia="zh-CN"/>
                    </w:rPr>
                  </w:pPr>
                  <w:r>
                    <w:rPr>
                      <w:rFonts w:hint="eastAsia" w:ascii="Times New Roman" w:hAnsi="Times New Roman" w:cs="Times New Roman"/>
                      <w:b w:val="0"/>
                      <w:bCs w:val="0"/>
                      <w:color w:val="auto"/>
                      <w:sz w:val="21"/>
                      <w:szCs w:val="21"/>
                      <w:u w:val="none" w:color="auto"/>
                      <w:lang w:val="en-US" w:eastAsia="zh-CN"/>
                    </w:rPr>
                    <w:t>CODcr</w:t>
                  </w:r>
                </w:p>
              </w:tc>
              <w:tc>
                <w:tcPr>
                  <w:tcW w:w="1106" w:type="dxa"/>
                  <w:tcBorders>
                    <w:tl2br w:val="nil"/>
                    <w:tr2bl w:val="nil"/>
                  </w:tcBorders>
                  <w:noWrap w:val="0"/>
                  <w:vAlign w:val="center"/>
                </w:tcPr>
                <w:p w14:paraId="0DB923A3">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21"/>
                      <w:szCs w:val="21"/>
                      <w:u w:val="none" w:color="auto"/>
                      <w:lang w:val="en-US" w:eastAsia="zh-CN"/>
                    </w:rPr>
                  </w:pPr>
                  <w:r>
                    <w:rPr>
                      <w:rFonts w:hint="eastAsia" w:ascii="Times New Roman" w:hAnsi="Times New Roman" w:cs="Times New Roman"/>
                      <w:b w:val="0"/>
                      <w:bCs w:val="0"/>
                      <w:color w:val="auto"/>
                      <w:sz w:val="21"/>
                      <w:szCs w:val="21"/>
                      <w:u w:val="none" w:color="auto"/>
                      <w:lang w:val="en-US" w:eastAsia="zh-CN"/>
                    </w:rPr>
                    <w:t>300</w:t>
                  </w:r>
                </w:p>
              </w:tc>
              <w:tc>
                <w:tcPr>
                  <w:tcW w:w="1026" w:type="dxa"/>
                  <w:tcBorders>
                    <w:tl2br w:val="nil"/>
                    <w:tr2bl w:val="nil"/>
                  </w:tcBorders>
                  <w:noWrap w:val="0"/>
                  <w:vAlign w:val="center"/>
                </w:tcPr>
                <w:p w14:paraId="169D28CA">
                  <w:pPr>
                    <w:keepNext w:val="0"/>
                    <w:keepLines w:val="0"/>
                    <w:widowControl/>
                    <w:suppressLineNumbers w:val="0"/>
                    <w:jc w:val="center"/>
                    <w:textAlignment w:val="center"/>
                    <w:rPr>
                      <w:rFonts w:hint="default" w:ascii="Times New Roman" w:hAnsi="Times New Roman" w:cs="Times New Roman"/>
                      <w:b w:val="0"/>
                      <w:bCs w:val="0"/>
                      <w:color w:val="auto"/>
                      <w:sz w:val="21"/>
                      <w:szCs w:val="21"/>
                      <w:u w:val="none" w:color="auto"/>
                      <w:lang w:val="en-US" w:eastAsia="zh-CN"/>
                    </w:rPr>
                  </w:pPr>
                  <w:r>
                    <w:rPr>
                      <w:rFonts w:hint="default" w:ascii="Times New Roman" w:hAnsi="Times New Roman" w:eastAsia="宋体" w:cs="Times New Roman"/>
                      <w:i w:val="0"/>
                      <w:iCs w:val="0"/>
                      <w:color w:val="auto"/>
                      <w:kern w:val="0"/>
                      <w:sz w:val="21"/>
                      <w:szCs w:val="21"/>
                      <w:u w:val="none" w:color="auto"/>
                      <w:lang w:val="en-US" w:eastAsia="zh-CN" w:bidi="ar"/>
                    </w:rPr>
                    <w:t>0.228</w:t>
                  </w:r>
                </w:p>
              </w:tc>
              <w:tc>
                <w:tcPr>
                  <w:tcW w:w="1537" w:type="dxa"/>
                  <w:vMerge w:val="restart"/>
                  <w:tcBorders>
                    <w:tl2br w:val="nil"/>
                    <w:tr2bl w:val="nil"/>
                  </w:tcBorders>
                  <w:noWrap w:val="0"/>
                  <w:vAlign w:val="center"/>
                </w:tcPr>
                <w:p w14:paraId="2E26C390">
                  <w:pPr>
                    <w:keepNext w:val="0"/>
                    <w:keepLines w:val="0"/>
                    <w:suppressLineNumbers w:val="0"/>
                    <w:spacing w:before="0" w:beforeAutospacing="0" w:after="0" w:afterAutospacing="0"/>
                    <w:ind w:left="0" w:right="0"/>
                    <w:jc w:val="center"/>
                    <w:rPr>
                      <w:rFonts w:hint="eastAsia" w:ascii="Times New Roman" w:hAnsi="Times New Roman" w:cs="Times New Roman"/>
                      <w:b w:val="0"/>
                      <w:bCs w:val="0"/>
                      <w:color w:val="auto"/>
                      <w:sz w:val="21"/>
                      <w:szCs w:val="21"/>
                      <w:u w:val="none" w:color="auto"/>
                      <w:lang w:val="en-US" w:eastAsia="zh-CN"/>
                    </w:rPr>
                  </w:pPr>
                  <w:r>
                    <w:rPr>
                      <w:rFonts w:hint="eastAsia" w:ascii="Times New Roman" w:hAnsi="Times New Roman" w:cs="Times New Roman"/>
                      <w:b w:val="0"/>
                      <w:bCs w:val="0"/>
                      <w:color w:val="auto"/>
                      <w:sz w:val="21"/>
                      <w:szCs w:val="21"/>
                      <w:u w:val="none" w:color="auto"/>
                      <w:lang w:val="en-US" w:eastAsia="zh-CN"/>
                    </w:rPr>
                    <w:t>化粪池</w:t>
                  </w:r>
                </w:p>
              </w:tc>
              <w:tc>
                <w:tcPr>
                  <w:tcW w:w="1638" w:type="dxa"/>
                  <w:vMerge w:val="restart"/>
                  <w:tcBorders>
                    <w:tl2br w:val="nil"/>
                    <w:tr2bl w:val="nil"/>
                  </w:tcBorders>
                  <w:noWrap w:val="0"/>
                  <w:vAlign w:val="center"/>
                </w:tcPr>
                <w:p w14:paraId="2DBED1EB">
                  <w:pPr>
                    <w:keepNext w:val="0"/>
                    <w:keepLines w:val="0"/>
                    <w:suppressLineNumbers w:val="0"/>
                    <w:spacing w:before="0" w:beforeAutospacing="0" w:after="0" w:afterAutospacing="0"/>
                    <w:ind w:left="0" w:right="0"/>
                    <w:jc w:val="center"/>
                    <w:rPr>
                      <w:rFonts w:hint="eastAsia" w:ascii="Times New Roman" w:hAnsi="Times New Roman" w:cs="Times New Roman"/>
                      <w:b w:val="0"/>
                      <w:bCs w:val="0"/>
                      <w:color w:val="auto"/>
                      <w:sz w:val="21"/>
                      <w:szCs w:val="21"/>
                      <w:u w:val="none" w:color="auto"/>
                    </w:rPr>
                  </w:pPr>
                  <w:r>
                    <w:rPr>
                      <w:rFonts w:hint="eastAsia" w:ascii="Times New Roman" w:hAnsi="Times New Roman" w:cs="Times New Roman"/>
                      <w:b w:val="0"/>
                      <w:bCs w:val="0"/>
                      <w:color w:val="auto"/>
                      <w:sz w:val="21"/>
                      <w:szCs w:val="21"/>
                      <w:u w:val="none" w:color="auto"/>
                      <w:lang w:val="en-US" w:eastAsia="zh-CN"/>
                    </w:rPr>
                    <w:t>用于周边林地浇灌，不外排</w:t>
                  </w:r>
                </w:p>
              </w:tc>
            </w:tr>
            <w:tr w14:paraId="39ABE4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28" w:type="dxa"/>
                  <w:vMerge w:val="continue"/>
                  <w:tcBorders>
                    <w:tl2br w:val="nil"/>
                    <w:tr2bl w:val="nil"/>
                  </w:tcBorders>
                  <w:noWrap w:val="0"/>
                  <w:vAlign w:val="center"/>
                </w:tcPr>
                <w:p w14:paraId="55909A30">
                  <w:pPr>
                    <w:keepNext w:val="0"/>
                    <w:keepLines w:val="0"/>
                    <w:widowControl/>
                    <w:suppressLineNumbers w:val="0"/>
                    <w:jc w:val="center"/>
                    <w:textAlignment w:val="center"/>
                    <w:rPr>
                      <w:color w:val="auto"/>
                      <w:u w:val="none" w:color="auto"/>
                    </w:rPr>
                  </w:pPr>
                </w:p>
              </w:tc>
              <w:tc>
                <w:tcPr>
                  <w:tcW w:w="1280" w:type="dxa"/>
                  <w:tcBorders>
                    <w:tl2br w:val="nil"/>
                    <w:tr2bl w:val="nil"/>
                  </w:tcBorders>
                  <w:noWrap w:val="0"/>
                  <w:vAlign w:val="center"/>
                </w:tcPr>
                <w:p w14:paraId="019EB4A4">
                  <w:pPr>
                    <w:keepNext w:val="0"/>
                    <w:keepLines w:val="0"/>
                    <w:widowControl/>
                    <w:suppressLineNumbers w:val="0"/>
                    <w:jc w:val="center"/>
                    <w:textAlignment w:val="center"/>
                    <w:rPr>
                      <w:rFonts w:hint="default"/>
                      <w:color w:val="auto"/>
                      <w:sz w:val="21"/>
                      <w:szCs w:val="21"/>
                      <w:u w:val="none" w:color="auto"/>
                      <w:lang w:val="en-US" w:eastAsia="zh-CN"/>
                    </w:rPr>
                  </w:pPr>
                  <w:r>
                    <w:rPr>
                      <w:rFonts w:hint="eastAsia" w:ascii="Calibri" w:eastAsia="宋体"/>
                      <w:color w:val="auto"/>
                      <w:sz w:val="21"/>
                      <w:szCs w:val="21"/>
                      <w:u w:val="none" w:color="auto"/>
                      <w:lang w:val="en-US" w:eastAsia="zh-CN"/>
                    </w:rPr>
                    <w:t>BOD</w:t>
                  </w:r>
                  <w:r>
                    <w:rPr>
                      <w:rFonts w:hint="eastAsia" w:ascii="Calibri" w:eastAsia="宋体"/>
                      <w:color w:val="auto"/>
                      <w:sz w:val="21"/>
                      <w:szCs w:val="21"/>
                      <w:u w:val="none" w:color="auto"/>
                      <w:vertAlign w:val="subscript"/>
                      <w:lang w:val="en-US" w:eastAsia="zh-CN"/>
                    </w:rPr>
                    <w:t>5</w:t>
                  </w:r>
                </w:p>
              </w:tc>
              <w:tc>
                <w:tcPr>
                  <w:tcW w:w="1106" w:type="dxa"/>
                  <w:tcBorders>
                    <w:tl2br w:val="nil"/>
                    <w:tr2bl w:val="nil"/>
                  </w:tcBorders>
                  <w:noWrap w:val="0"/>
                  <w:vAlign w:val="center"/>
                </w:tcPr>
                <w:p w14:paraId="29AC5910">
                  <w:pPr>
                    <w:keepNext w:val="0"/>
                    <w:keepLines w:val="0"/>
                    <w:widowControl/>
                    <w:suppressLineNumbers w:val="0"/>
                    <w:jc w:val="center"/>
                    <w:textAlignment w:val="center"/>
                    <w:rPr>
                      <w:rFonts w:hint="default"/>
                      <w:color w:val="auto"/>
                      <w:sz w:val="21"/>
                      <w:szCs w:val="21"/>
                      <w:u w:val="none" w:color="auto"/>
                      <w:lang w:val="en-US" w:eastAsia="zh-CN"/>
                    </w:rPr>
                  </w:pPr>
                  <w:r>
                    <w:rPr>
                      <w:rFonts w:hint="eastAsia" w:ascii="Calibri" w:eastAsia="宋体"/>
                      <w:color w:val="auto"/>
                      <w:sz w:val="21"/>
                      <w:szCs w:val="21"/>
                      <w:u w:val="none" w:color="auto"/>
                      <w:lang w:val="en-US" w:eastAsia="zh-CN"/>
                    </w:rPr>
                    <w:t>150</w:t>
                  </w:r>
                </w:p>
              </w:tc>
              <w:tc>
                <w:tcPr>
                  <w:tcW w:w="1026" w:type="dxa"/>
                  <w:tcBorders>
                    <w:tl2br w:val="nil"/>
                    <w:tr2bl w:val="nil"/>
                  </w:tcBorders>
                  <w:noWrap w:val="0"/>
                  <w:vAlign w:val="center"/>
                </w:tcPr>
                <w:p w14:paraId="68AC34AF">
                  <w:pPr>
                    <w:keepNext w:val="0"/>
                    <w:keepLines w:val="0"/>
                    <w:widowControl/>
                    <w:suppressLineNumbers w:val="0"/>
                    <w:jc w:val="center"/>
                    <w:textAlignment w:val="center"/>
                    <w:rPr>
                      <w:rFonts w:hint="eastAsia"/>
                      <w:color w:val="auto"/>
                      <w:sz w:val="21"/>
                      <w:szCs w:val="21"/>
                      <w:u w:val="none" w:color="auto"/>
                      <w:lang w:val="en-US" w:eastAsia="zh-CN"/>
                    </w:rPr>
                  </w:pPr>
                  <w:r>
                    <w:rPr>
                      <w:rFonts w:hint="default" w:ascii="Times New Roman" w:hAnsi="Times New Roman" w:eastAsia="宋体" w:cs="Times New Roman"/>
                      <w:i w:val="0"/>
                      <w:iCs w:val="0"/>
                      <w:color w:val="auto"/>
                      <w:kern w:val="0"/>
                      <w:sz w:val="21"/>
                      <w:szCs w:val="21"/>
                      <w:u w:val="none" w:color="auto"/>
                      <w:lang w:val="en-US" w:eastAsia="zh-CN" w:bidi="ar"/>
                    </w:rPr>
                    <w:t>0.114</w:t>
                  </w:r>
                </w:p>
              </w:tc>
              <w:tc>
                <w:tcPr>
                  <w:tcW w:w="1537" w:type="dxa"/>
                  <w:vMerge w:val="continue"/>
                  <w:tcBorders>
                    <w:tl2br w:val="nil"/>
                    <w:tr2bl w:val="nil"/>
                  </w:tcBorders>
                  <w:noWrap w:val="0"/>
                  <w:vAlign w:val="center"/>
                </w:tcPr>
                <w:p w14:paraId="393F95AD">
                  <w:pPr>
                    <w:keepNext w:val="0"/>
                    <w:keepLines w:val="0"/>
                    <w:widowControl/>
                    <w:suppressLineNumbers w:val="0"/>
                    <w:jc w:val="center"/>
                    <w:textAlignment w:val="center"/>
                    <w:rPr>
                      <w:rFonts w:hint="eastAsia"/>
                      <w:color w:val="auto"/>
                      <w:sz w:val="21"/>
                      <w:szCs w:val="21"/>
                      <w:u w:val="none" w:color="auto"/>
                      <w:lang w:val="en-US" w:eastAsia="zh-CN"/>
                    </w:rPr>
                  </w:pPr>
                </w:p>
              </w:tc>
              <w:tc>
                <w:tcPr>
                  <w:tcW w:w="1638" w:type="dxa"/>
                  <w:vMerge w:val="continue"/>
                  <w:tcBorders>
                    <w:tl2br w:val="nil"/>
                    <w:tr2bl w:val="nil"/>
                  </w:tcBorders>
                  <w:noWrap w:val="0"/>
                  <w:vAlign w:val="center"/>
                </w:tcPr>
                <w:p w14:paraId="52F296A2">
                  <w:pPr>
                    <w:keepNext w:val="0"/>
                    <w:keepLines w:val="0"/>
                    <w:widowControl/>
                    <w:suppressLineNumbers w:val="0"/>
                    <w:jc w:val="center"/>
                    <w:textAlignment w:val="center"/>
                    <w:rPr>
                      <w:rFonts w:hint="eastAsia"/>
                      <w:color w:val="auto"/>
                      <w:sz w:val="21"/>
                      <w:szCs w:val="21"/>
                      <w:u w:val="none" w:color="auto"/>
                      <w:lang w:val="en-US" w:eastAsia="zh-CN"/>
                    </w:rPr>
                  </w:pPr>
                </w:p>
              </w:tc>
            </w:tr>
            <w:tr w14:paraId="06C891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28" w:type="dxa"/>
                  <w:vMerge w:val="continue"/>
                  <w:tcBorders>
                    <w:tl2br w:val="nil"/>
                    <w:tr2bl w:val="nil"/>
                  </w:tcBorders>
                  <w:noWrap w:val="0"/>
                  <w:vAlign w:val="center"/>
                </w:tcPr>
                <w:p w14:paraId="2CF3D44C">
                  <w:pPr>
                    <w:adjustRightInd w:val="0"/>
                    <w:snapToGrid w:val="0"/>
                    <w:spacing w:line="240" w:lineRule="auto"/>
                    <w:jc w:val="center"/>
                    <w:rPr>
                      <w:rFonts w:hint="eastAsia"/>
                      <w:color w:val="auto"/>
                      <w:sz w:val="21"/>
                      <w:szCs w:val="21"/>
                      <w:u w:val="none" w:color="auto"/>
                    </w:rPr>
                  </w:pPr>
                </w:p>
              </w:tc>
              <w:tc>
                <w:tcPr>
                  <w:tcW w:w="1280" w:type="dxa"/>
                  <w:tcBorders>
                    <w:tl2br w:val="nil"/>
                    <w:tr2bl w:val="nil"/>
                  </w:tcBorders>
                  <w:noWrap w:val="0"/>
                  <w:vAlign w:val="center"/>
                </w:tcPr>
                <w:p w14:paraId="22CD9442">
                  <w:pPr>
                    <w:adjustRightInd w:val="0"/>
                    <w:snapToGrid w:val="0"/>
                    <w:spacing w:line="240" w:lineRule="auto"/>
                    <w:jc w:val="center"/>
                    <w:rPr>
                      <w:rFonts w:hint="eastAsia" w:eastAsia="宋体"/>
                      <w:color w:val="auto"/>
                      <w:sz w:val="21"/>
                      <w:szCs w:val="21"/>
                      <w:u w:val="none" w:color="auto"/>
                      <w:lang w:val="en-US" w:eastAsia="zh-CN"/>
                    </w:rPr>
                  </w:pPr>
                  <w:r>
                    <w:rPr>
                      <w:rFonts w:hint="eastAsia" w:ascii="Calibri" w:eastAsia="宋体"/>
                      <w:color w:val="auto"/>
                      <w:sz w:val="21"/>
                      <w:szCs w:val="21"/>
                      <w:u w:val="none" w:color="auto"/>
                      <w:lang w:val="en-US" w:eastAsia="zh-CN"/>
                    </w:rPr>
                    <w:t>NH</w:t>
                  </w:r>
                  <w:r>
                    <w:rPr>
                      <w:rFonts w:hint="eastAsia" w:ascii="Calibri" w:eastAsia="宋体"/>
                      <w:color w:val="auto"/>
                      <w:sz w:val="21"/>
                      <w:szCs w:val="21"/>
                      <w:u w:val="none" w:color="auto"/>
                      <w:vertAlign w:val="subscript"/>
                      <w:lang w:val="en-US" w:eastAsia="zh-CN"/>
                    </w:rPr>
                    <w:t>3</w:t>
                  </w:r>
                  <w:r>
                    <w:rPr>
                      <w:rFonts w:hint="eastAsia" w:ascii="Calibri" w:eastAsia="宋体"/>
                      <w:color w:val="auto"/>
                      <w:sz w:val="21"/>
                      <w:szCs w:val="21"/>
                      <w:u w:val="none" w:color="auto"/>
                      <w:lang w:val="en-US" w:eastAsia="zh-CN"/>
                    </w:rPr>
                    <w:t>-N</w:t>
                  </w:r>
                </w:p>
              </w:tc>
              <w:tc>
                <w:tcPr>
                  <w:tcW w:w="1106" w:type="dxa"/>
                  <w:tcBorders>
                    <w:tl2br w:val="nil"/>
                    <w:tr2bl w:val="nil"/>
                  </w:tcBorders>
                  <w:noWrap w:val="0"/>
                  <w:vAlign w:val="center"/>
                </w:tcPr>
                <w:p w14:paraId="790414A7">
                  <w:pPr>
                    <w:adjustRightInd w:val="0"/>
                    <w:snapToGrid w:val="0"/>
                    <w:spacing w:line="240" w:lineRule="auto"/>
                    <w:jc w:val="center"/>
                    <w:rPr>
                      <w:rFonts w:hint="eastAsia" w:eastAsia="宋体"/>
                      <w:color w:val="auto"/>
                      <w:kern w:val="2"/>
                      <w:sz w:val="21"/>
                      <w:szCs w:val="21"/>
                      <w:u w:val="none" w:color="auto"/>
                      <w:lang w:val="en-US" w:eastAsia="zh-CN" w:bidi="ar-SA"/>
                    </w:rPr>
                  </w:pPr>
                  <w:r>
                    <w:rPr>
                      <w:rFonts w:hint="eastAsia" w:ascii="Calibri" w:eastAsia="宋体"/>
                      <w:color w:val="auto"/>
                      <w:sz w:val="21"/>
                      <w:szCs w:val="21"/>
                      <w:u w:val="none" w:color="auto"/>
                      <w:lang w:val="en-US" w:eastAsia="zh-CN"/>
                    </w:rPr>
                    <w:t>40</w:t>
                  </w:r>
                </w:p>
              </w:tc>
              <w:tc>
                <w:tcPr>
                  <w:tcW w:w="1026" w:type="dxa"/>
                  <w:tcBorders>
                    <w:tl2br w:val="nil"/>
                    <w:tr2bl w:val="nil"/>
                  </w:tcBorders>
                  <w:noWrap w:val="0"/>
                  <w:vAlign w:val="center"/>
                </w:tcPr>
                <w:p w14:paraId="7CDA19BB">
                  <w:pPr>
                    <w:keepNext w:val="0"/>
                    <w:keepLines w:val="0"/>
                    <w:widowControl/>
                    <w:suppressLineNumbers w:val="0"/>
                    <w:jc w:val="center"/>
                    <w:textAlignment w:val="center"/>
                    <w:rPr>
                      <w:rFonts w:hint="default"/>
                      <w:color w:val="auto"/>
                      <w:sz w:val="21"/>
                      <w:szCs w:val="21"/>
                      <w:u w:val="none" w:color="auto"/>
                      <w:lang w:val="en-US" w:eastAsia="zh-CN"/>
                    </w:rPr>
                  </w:pPr>
                  <w:r>
                    <w:rPr>
                      <w:rFonts w:hint="default" w:ascii="Times New Roman" w:hAnsi="Times New Roman" w:eastAsia="宋体" w:cs="Times New Roman"/>
                      <w:i w:val="0"/>
                      <w:iCs w:val="0"/>
                      <w:color w:val="auto"/>
                      <w:kern w:val="0"/>
                      <w:sz w:val="21"/>
                      <w:szCs w:val="21"/>
                      <w:u w:val="none" w:color="auto"/>
                      <w:lang w:val="en-US" w:eastAsia="zh-CN" w:bidi="ar"/>
                    </w:rPr>
                    <w:t>0.0304</w:t>
                  </w:r>
                </w:p>
              </w:tc>
              <w:tc>
                <w:tcPr>
                  <w:tcW w:w="1537" w:type="dxa"/>
                  <w:vMerge w:val="continue"/>
                  <w:tcBorders>
                    <w:tl2br w:val="nil"/>
                    <w:tr2bl w:val="nil"/>
                  </w:tcBorders>
                  <w:noWrap w:val="0"/>
                  <w:vAlign w:val="center"/>
                </w:tcPr>
                <w:p w14:paraId="3A0DBCD1">
                  <w:pPr>
                    <w:adjustRightInd w:val="0"/>
                    <w:snapToGrid w:val="0"/>
                    <w:spacing w:line="240" w:lineRule="auto"/>
                    <w:jc w:val="center"/>
                    <w:rPr>
                      <w:rFonts w:hint="eastAsia"/>
                      <w:color w:val="auto"/>
                      <w:sz w:val="21"/>
                      <w:szCs w:val="21"/>
                      <w:u w:val="none" w:color="auto"/>
                    </w:rPr>
                  </w:pPr>
                </w:p>
              </w:tc>
              <w:tc>
                <w:tcPr>
                  <w:tcW w:w="1638" w:type="dxa"/>
                  <w:vMerge w:val="continue"/>
                  <w:tcBorders>
                    <w:tl2br w:val="nil"/>
                    <w:tr2bl w:val="nil"/>
                  </w:tcBorders>
                  <w:noWrap w:val="0"/>
                  <w:vAlign w:val="center"/>
                </w:tcPr>
                <w:p w14:paraId="39A6AD4A">
                  <w:pPr>
                    <w:adjustRightInd w:val="0"/>
                    <w:snapToGrid w:val="0"/>
                    <w:spacing w:line="240" w:lineRule="auto"/>
                    <w:jc w:val="center"/>
                    <w:rPr>
                      <w:rFonts w:hint="eastAsia"/>
                      <w:color w:val="auto"/>
                      <w:sz w:val="21"/>
                      <w:szCs w:val="21"/>
                      <w:u w:val="none" w:color="auto"/>
                    </w:rPr>
                  </w:pPr>
                </w:p>
              </w:tc>
            </w:tr>
            <w:tr w14:paraId="3A0041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28" w:type="dxa"/>
                  <w:vMerge w:val="continue"/>
                  <w:tcBorders>
                    <w:tl2br w:val="nil"/>
                    <w:tr2bl w:val="nil"/>
                  </w:tcBorders>
                  <w:noWrap w:val="0"/>
                  <w:vAlign w:val="center"/>
                </w:tcPr>
                <w:p w14:paraId="63960E3F">
                  <w:pPr>
                    <w:adjustRightInd w:val="0"/>
                    <w:snapToGrid w:val="0"/>
                    <w:spacing w:line="240" w:lineRule="auto"/>
                    <w:jc w:val="center"/>
                    <w:rPr>
                      <w:rFonts w:hint="eastAsia"/>
                      <w:color w:val="auto"/>
                      <w:sz w:val="21"/>
                      <w:szCs w:val="21"/>
                      <w:u w:val="none" w:color="auto"/>
                    </w:rPr>
                  </w:pPr>
                </w:p>
              </w:tc>
              <w:tc>
                <w:tcPr>
                  <w:tcW w:w="1280" w:type="dxa"/>
                  <w:tcBorders>
                    <w:tl2br w:val="nil"/>
                    <w:tr2bl w:val="nil"/>
                  </w:tcBorders>
                  <w:noWrap w:val="0"/>
                  <w:vAlign w:val="center"/>
                </w:tcPr>
                <w:p w14:paraId="1DD302F8">
                  <w:pPr>
                    <w:adjustRightInd w:val="0"/>
                    <w:snapToGrid w:val="0"/>
                    <w:spacing w:line="240" w:lineRule="auto"/>
                    <w:jc w:val="center"/>
                    <w:rPr>
                      <w:rFonts w:hint="eastAsia" w:eastAsia="宋体"/>
                      <w:color w:val="auto"/>
                      <w:sz w:val="21"/>
                      <w:szCs w:val="21"/>
                      <w:u w:val="none" w:color="auto"/>
                      <w:lang w:val="en-US" w:eastAsia="zh-CN"/>
                    </w:rPr>
                  </w:pPr>
                  <w:r>
                    <w:rPr>
                      <w:rFonts w:hint="eastAsia" w:ascii="Calibri" w:eastAsia="宋体"/>
                      <w:color w:val="auto"/>
                      <w:sz w:val="21"/>
                      <w:szCs w:val="21"/>
                      <w:u w:val="none" w:color="auto"/>
                      <w:lang w:val="en-US" w:eastAsia="zh-CN"/>
                    </w:rPr>
                    <w:t>SS</w:t>
                  </w:r>
                </w:p>
              </w:tc>
              <w:tc>
                <w:tcPr>
                  <w:tcW w:w="1106" w:type="dxa"/>
                  <w:tcBorders>
                    <w:tl2br w:val="nil"/>
                    <w:tr2bl w:val="nil"/>
                  </w:tcBorders>
                  <w:noWrap w:val="0"/>
                  <w:vAlign w:val="center"/>
                </w:tcPr>
                <w:p w14:paraId="3C9C5041">
                  <w:pPr>
                    <w:adjustRightInd w:val="0"/>
                    <w:snapToGrid w:val="0"/>
                    <w:spacing w:line="240" w:lineRule="auto"/>
                    <w:jc w:val="center"/>
                    <w:rPr>
                      <w:rFonts w:hint="default" w:eastAsia="宋体"/>
                      <w:color w:val="auto"/>
                      <w:kern w:val="2"/>
                      <w:sz w:val="21"/>
                      <w:szCs w:val="21"/>
                      <w:u w:val="none" w:color="auto"/>
                      <w:lang w:val="en-US" w:eastAsia="zh-CN" w:bidi="ar-SA"/>
                    </w:rPr>
                  </w:pPr>
                  <w:r>
                    <w:rPr>
                      <w:rFonts w:hint="eastAsia" w:ascii="Calibri" w:eastAsia="宋体"/>
                      <w:color w:val="auto"/>
                      <w:sz w:val="21"/>
                      <w:szCs w:val="21"/>
                      <w:u w:val="none" w:color="auto"/>
                      <w:lang w:val="en-US" w:eastAsia="zh-CN"/>
                    </w:rPr>
                    <w:t>150</w:t>
                  </w:r>
                </w:p>
              </w:tc>
              <w:tc>
                <w:tcPr>
                  <w:tcW w:w="1026" w:type="dxa"/>
                  <w:tcBorders>
                    <w:tl2br w:val="nil"/>
                    <w:tr2bl w:val="nil"/>
                  </w:tcBorders>
                  <w:noWrap w:val="0"/>
                  <w:vAlign w:val="center"/>
                </w:tcPr>
                <w:p w14:paraId="7DE245E2">
                  <w:pPr>
                    <w:keepNext w:val="0"/>
                    <w:keepLines w:val="0"/>
                    <w:widowControl/>
                    <w:suppressLineNumbers w:val="0"/>
                    <w:jc w:val="center"/>
                    <w:textAlignment w:val="center"/>
                    <w:rPr>
                      <w:rFonts w:hint="default"/>
                      <w:color w:val="auto"/>
                      <w:sz w:val="21"/>
                      <w:szCs w:val="21"/>
                      <w:u w:val="none" w:color="auto"/>
                      <w:lang w:val="en-US" w:eastAsia="zh-CN"/>
                    </w:rPr>
                  </w:pPr>
                  <w:r>
                    <w:rPr>
                      <w:rFonts w:hint="default" w:ascii="Times New Roman" w:hAnsi="Times New Roman" w:eastAsia="宋体" w:cs="Times New Roman"/>
                      <w:i w:val="0"/>
                      <w:iCs w:val="0"/>
                      <w:color w:val="auto"/>
                      <w:kern w:val="0"/>
                      <w:sz w:val="21"/>
                      <w:szCs w:val="21"/>
                      <w:u w:val="none" w:color="auto"/>
                      <w:lang w:val="en-US" w:eastAsia="zh-CN" w:bidi="ar"/>
                    </w:rPr>
                    <w:t>0.114</w:t>
                  </w:r>
                </w:p>
              </w:tc>
              <w:tc>
                <w:tcPr>
                  <w:tcW w:w="1537" w:type="dxa"/>
                  <w:vMerge w:val="continue"/>
                  <w:tcBorders>
                    <w:tl2br w:val="nil"/>
                    <w:tr2bl w:val="nil"/>
                  </w:tcBorders>
                  <w:noWrap w:val="0"/>
                  <w:vAlign w:val="center"/>
                </w:tcPr>
                <w:p w14:paraId="51C24CC0">
                  <w:pPr>
                    <w:adjustRightInd w:val="0"/>
                    <w:snapToGrid w:val="0"/>
                    <w:spacing w:line="240" w:lineRule="auto"/>
                    <w:jc w:val="center"/>
                    <w:rPr>
                      <w:rFonts w:hint="eastAsia"/>
                      <w:color w:val="auto"/>
                      <w:sz w:val="21"/>
                      <w:szCs w:val="21"/>
                      <w:u w:val="none" w:color="auto"/>
                    </w:rPr>
                  </w:pPr>
                </w:p>
              </w:tc>
              <w:tc>
                <w:tcPr>
                  <w:tcW w:w="1638" w:type="dxa"/>
                  <w:vMerge w:val="continue"/>
                  <w:tcBorders>
                    <w:tl2br w:val="nil"/>
                    <w:tr2bl w:val="nil"/>
                  </w:tcBorders>
                  <w:noWrap w:val="0"/>
                  <w:vAlign w:val="center"/>
                </w:tcPr>
                <w:p w14:paraId="7AE304C7">
                  <w:pPr>
                    <w:adjustRightInd w:val="0"/>
                    <w:snapToGrid w:val="0"/>
                    <w:spacing w:line="240" w:lineRule="auto"/>
                    <w:jc w:val="center"/>
                    <w:rPr>
                      <w:rFonts w:hint="eastAsia"/>
                      <w:color w:val="auto"/>
                      <w:sz w:val="21"/>
                      <w:szCs w:val="21"/>
                      <w:u w:val="none" w:color="auto"/>
                    </w:rPr>
                  </w:pPr>
                </w:p>
              </w:tc>
            </w:tr>
            <w:tr w14:paraId="7C2557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1528" w:type="dxa"/>
                  <w:vMerge w:val="continue"/>
                  <w:tcBorders>
                    <w:tl2br w:val="nil"/>
                    <w:tr2bl w:val="nil"/>
                  </w:tcBorders>
                  <w:noWrap w:val="0"/>
                  <w:vAlign w:val="center"/>
                </w:tcPr>
                <w:p w14:paraId="081B32C7">
                  <w:pPr>
                    <w:adjustRightInd w:val="0"/>
                    <w:snapToGrid w:val="0"/>
                    <w:spacing w:line="240" w:lineRule="auto"/>
                    <w:jc w:val="center"/>
                    <w:rPr>
                      <w:rFonts w:hint="eastAsia"/>
                      <w:color w:val="auto"/>
                      <w:sz w:val="21"/>
                      <w:szCs w:val="21"/>
                      <w:u w:val="none" w:color="auto"/>
                    </w:rPr>
                  </w:pPr>
                </w:p>
              </w:tc>
              <w:tc>
                <w:tcPr>
                  <w:tcW w:w="1280" w:type="dxa"/>
                  <w:tcBorders>
                    <w:tl2br w:val="nil"/>
                    <w:tr2bl w:val="nil"/>
                  </w:tcBorders>
                  <w:noWrap w:val="0"/>
                  <w:vAlign w:val="center"/>
                </w:tcPr>
                <w:p w14:paraId="4FC14F9E">
                  <w:pPr>
                    <w:adjustRightInd w:val="0"/>
                    <w:snapToGrid w:val="0"/>
                    <w:spacing w:line="240" w:lineRule="auto"/>
                    <w:jc w:val="center"/>
                    <w:rPr>
                      <w:rFonts w:hint="default" w:eastAsia="宋体"/>
                      <w:color w:val="auto"/>
                      <w:sz w:val="21"/>
                      <w:szCs w:val="21"/>
                      <w:u w:val="none" w:color="auto"/>
                      <w:lang w:val="en-US" w:eastAsia="zh-CN"/>
                    </w:rPr>
                  </w:pPr>
                  <w:r>
                    <w:rPr>
                      <w:rFonts w:hint="eastAsia" w:ascii="Calibri" w:eastAsia="宋体"/>
                      <w:color w:val="auto"/>
                      <w:sz w:val="21"/>
                      <w:szCs w:val="21"/>
                      <w:u w:val="none" w:color="auto"/>
                      <w:lang w:val="en-US" w:eastAsia="zh-CN"/>
                    </w:rPr>
                    <w:t>动植物油</w:t>
                  </w:r>
                </w:p>
              </w:tc>
              <w:tc>
                <w:tcPr>
                  <w:tcW w:w="1106" w:type="dxa"/>
                  <w:tcBorders>
                    <w:tl2br w:val="nil"/>
                    <w:tr2bl w:val="nil"/>
                  </w:tcBorders>
                  <w:noWrap w:val="0"/>
                  <w:vAlign w:val="center"/>
                </w:tcPr>
                <w:p w14:paraId="11584E78">
                  <w:pPr>
                    <w:adjustRightInd w:val="0"/>
                    <w:snapToGrid w:val="0"/>
                    <w:spacing w:line="240" w:lineRule="auto"/>
                    <w:jc w:val="center"/>
                    <w:rPr>
                      <w:rFonts w:hint="default" w:eastAsia="宋体"/>
                      <w:color w:val="auto"/>
                      <w:kern w:val="2"/>
                      <w:sz w:val="21"/>
                      <w:szCs w:val="21"/>
                      <w:u w:val="none" w:color="auto"/>
                      <w:lang w:val="en-US" w:eastAsia="zh-CN" w:bidi="ar-SA"/>
                    </w:rPr>
                  </w:pPr>
                  <w:r>
                    <w:rPr>
                      <w:rFonts w:hint="eastAsia" w:ascii="Calibri" w:eastAsia="宋体"/>
                      <w:color w:val="auto"/>
                      <w:sz w:val="21"/>
                      <w:szCs w:val="21"/>
                      <w:u w:val="none" w:color="auto"/>
                      <w:lang w:val="en-US" w:eastAsia="zh-CN"/>
                    </w:rPr>
                    <w:t>50</w:t>
                  </w:r>
                </w:p>
              </w:tc>
              <w:tc>
                <w:tcPr>
                  <w:tcW w:w="1026" w:type="dxa"/>
                  <w:tcBorders>
                    <w:tl2br w:val="nil"/>
                    <w:tr2bl w:val="nil"/>
                  </w:tcBorders>
                  <w:noWrap w:val="0"/>
                  <w:vAlign w:val="center"/>
                </w:tcPr>
                <w:p w14:paraId="5EA7F02E">
                  <w:pPr>
                    <w:keepNext w:val="0"/>
                    <w:keepLines w:val="0"/>
                    <w:widowControl/>
                    <w:suppressLineNumbers w:val="0"/>
                    <w:jc w:val="center"/>
                    <w:textAlignment w:val="center"/>
                    <w:rPr>
                      <w:rFonts w:hint="default"/>
                      <w:color w:val="auto"/>
                      <w:sz w:val="21"/>
                      <w:szCs w:val="21"/>
                      <w:u w:val="none" w:color="auto"/>
                      <w:lang w:val="en-US" w:eastAsia="zh-CN"/>
                    </w:rPr>
                  </w:pPr>
                  <w:r>
                    <w:rPr>
                      <w:rFonts w:hint="default" w:ascii="Times New Roman" w:hAnsi="Times New Roman" w:eastAsia="宋体" w:cs="Times New Roman"/>
                      <w:i w:val="0"/>
                      <w:iCs w:val="0"/>
                      <w:color w:val="auto"/>
                      <w:kern w:val="0"/>
                      <w:sz w:val="21"/>
                      <w:szCs w:val="21"/>
                      <w:u w:val="none" w:color="auto"/>
                      <w:lang w:val="en-US" w:eastAsia="zh-CN" w:bidi="ar"/>
                    </w:rPr>
                    <w:t>0.038</w:t>
                  </w:r>
                </w:p>
              </w:tc>
              <w:tc>
                <w:tcPr>
                  <w:tcW w:w="1537" w:type="dxa"/>
                  <w:vMerge w:val="continue"/>
                  <w:tcBorders>
                    <w:tl2br w:val="nil"/>
                    <w:tr2bl w:val="nil"/>
                  </w:tcBorders>
                  <w:noWrap w:val="0"/>
                  <w:vAlign w:val="center"/>
                </w:tcPr>
                <w:p w14:paraId="3F9B30BB">
                  <w:pPr>
                    <w:adjustRightInd w:val="0"/>
                    <w:snapToGrid w:val="0"/>
                    <w:spacing w:line="240" w:lineRule="auto"/>
                    <w:jc w:val="center"/>
                    <w:rPr>
                      <w:rFonts w:hint="eastAsia"/>
                      <w:color w:val="auto"/>
                      <w:sz w:val="21"/>
                      <w:szCs w:val="21"/>
                      <w:u w:val="none" w:color="auto"/>
                    </w:rPr>
                  </w:pPr>
                </w:p>
              </w:tc>
              <w:tc>
                <w:tcPr>
                  <w:tcW w:w="1638" w:type="dxa"/>
                  <w:vMerge w:val="continue"/>
                  <w:tcBorders>
                    <w:tl2br w:val="nil"/>
                    <w:tr2bl w:val="nil"/>
                  </w:tcBorders>
                  <w:noWrap w:val="0"/>
                  <w:vAlign w:val="center"/>
                </w:tcPr>
                <w:p w14:paraId="4831BC36">
                  <w:pPr>
                    <w:adjustRightInd w:val="0"/>
                    <w:snapToGrid w:val="0"/>
                    <w:spacing w:line="240" w:lineRule="auto"/>
                    <w:jc w:val="center"/>
                    <w:rPr>
                      <w:rFonts w:hint="eastAsia"/>
                      <w:color w:val="auto"/>
                      <w:sz w:val="21"/>
                      <w:szCs w:val="21"/>
                      <w:u w:val="none" w:color="auto"/>
                    </w:rPr>
                  </w:pPr>
                </w:p>
              </w:tc>
            </w:tr>
            <w:tr w14:paraId="525F0C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28" w:type="dxa"/>
                  <w:vMerge w:val="restart"/>
                  <w:tcBorders>
                    <w:tl2br w:val="nil"/>
                    <w:tr2bl w:val="nil"/>
                  </w:tcBorders>
                  <w:noWrap w:val="0"/>
                  <w:vAlign w:val="center"/>
                </w:tcPr>
                <w:p w14:paraId="0FAB7EB2">
                  <w:pPr>
                    <w:adjustRightInd w:val="0"/>
                    <w:snapToGrid w:val="0"/>
                    <w:spacing w:line="240" w:lineRule="auto"/>
                    <w:jc w:val="center"/>
                    <w:rPr>
                      <w:rFonts w:hint="eastAsia"/>
                      <w:color w:val="auto"/>
                      <w:sz w:val="21"/>
                      <w:szCs w:val="21"/>
                      <w:u w:val="none" w:color="auto"/>
                    </w:rPr>
                  </w:pPr>
                  <w:r>
                    <w:rPr>
                      <w:rFonts w:hint="eastAsia" w:ascii="Calibri" w:eastAsia="宋体"/>
                      <w:color w:val="auto"/>
                      <w:sz w:val="21"/>
                      <w:szCs w:val="21"/>
                      <w:u w:val="none" w:color="auto"/>
                      <w:lang w:val="en-US" w:eastAsia="zh-CN"/>
                    </w:rPr>
                    <w:t>水帘废水</w:t>
                  </w:r>
                </w:p>
              </w:tc>
              <w:tc>
                <w:tcPr>
                  <w:tcW w:w="1280" w:type="dxa"/>
                  <w:tcBorders>
                    <w:tl2br w:val="nil"/>
                    <w:tr2bl w:val="nil"/>
                  </w:tcBorders>
                  <w:noWrap w:val="0"/>
                  <w:vAlign w:val="center"/>
                </w:tcPr>
                <w:p w14:paraId="58163CFB">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pH</w:t>
                  </w:r>
                </w:p>
              </w:tc>
              <w:tc>
                <w:tcPr>
                  <w:tcW w:w="1106" w:type="dxa"/>
                  <w:tcBorders>
                    <w:tl2br w:val="nil"/>
                    <w:tr2bl w:val="nil"/>
                  </w:tcBorders>
                  <w:noWrap w:val="0"/>
                  <w:vAlign w:val="center"/>
                </w:tcPr>
                <w:p w14:paraId="5D59DB4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w:t>
                  </w:r>
                </w:p>
              </w:tc>
              <w:tc>
                <w:tcPr>
                  <w:tcW w:w="1026" w:type="dxa"/>
                  <w:tcBorders>
                    <w:tl2br w:val="nil"/>
                    <w:tr2bl w:val="nil"/>
                  </w:tcBorders>
                  <w:noWrap w:val="0"/>
                  <w:vAlign w:val="center"/>
                </w:tcPr>
                <w:p w14:paraId="08B3125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w:t>
                  </w:r>
                </w:p>
              </w:tc>
              <w:tc>
                <w:tcPr>
                  <w:tcW w:w="1537" w:type="dxa"/>
                  <w:vMerge w:val="restart"/>
                  <w:tcBorders>
                    <w:tl2br w:val="nil"/>
                    <w:tr2bl w:val="nil"/>
                  </w:tcBorders>
                  <w:noWrap w:val="0"/>
                  <w:vAlign w:val="center"/>
                </w:tcPr>
                <w:p w14:paraId="15877929">
                  <w:pPr>
                    <w:adjustRightInd w:val="0"/>
                    <w:snapToGrid w:val="0"/>
                    <w:spacing w:line="240" w:lineRule="auto"/>
                    <w:jc w:val="center"/>
                    <w:rPr>
                      <w:rFonts w:hint="eastAsia" w:eastAsia="宋体"/>
                      <w:color w:val="auto"/>
                      <w:sz w:val="21"/>
                      <w:szCs w:val="21"/>
                      <w:u w:val="none" w:color="auto"/>
                      <w:lang w:val="en-US" w:eastAsia="zh-CN"/>
                    </w:rPr>
                  </w:pPr>
                  <w:r>
                    <w:rPr>
                      <w:rFonts w:hint="eastAsia" w:ascii="Calibri" w:eastAsia="宋体"/>
                      <w:color w:val="auto"/>
                      <w:sz w:val="21"/>
                      <w:szCs w:val="21"/>
                      <w:u w:val="none" w:color="auto"/>
                      <w:lang w:val="en-US" w:eastAsia="zh-CN"/>
                    </w:rPr>
                    <w:t>/</w:t>
                  </w:r>
                </w:p>
              </w:tc>
              <w:tc>
                <w:tcPr>
                  <w:tcW w:w="1638" w:type="dxa"/>
                  <w:vMerge w:val="restart"/>
                  <w:tcBorders>
                    <w:tl2br w:val="nil"/>
                    <w:tr2bl w:val="nil"/>
                  </w:tcBorders>
                  <w:noWrap w:val="0"/>
                  <w:vAlign w:val="center"/>
                </w:tcPr>
                <w:p w14:paraId="4A51F1F5">
                  <w:pPr>
                    <w:adjustRightInd w:val="0"/>
                    <w:snapToGrid w:val="0"/>
                    <w:spacing w:line="240" w:lineRule="auto"/>
                    <w:jc w:val="center"/>
                    <w:rPr>
                      <w:rFonts w:hint="eastAsia"/>
                      <w:color w:val="auto"/>
                      <w:sz w:val="21"/>
                      <w:szCs w:val="21"/>
                      <w:u w:val="none" w:color="auto"/>
                    </w:rPr>
                  </w:pPr>
                  <w:r>
                    <w:rPr>
                      <w:rFonts w:hint="eastAsia" w:ascii="Times New Roman" w:hAnsi="Times New Roman" w:eastAsia="宋体" w:cs="Times New Roman"/>
                      <w:b w:val="0"/>
                      <w:bCs w:val="0"/>
                      <w:color w:val="auto"/>
                      <w:sz w:val="21"/>
                      <w:szCs w:val="21"/>
                      <w:u w:val="none" w:color="auto"/>
                      <w:lang w:val="en-US" w:eastAsia="zh-CN"/>
                    </w:rPr>
                    <w:t>作为危险废物处置，委托有资质单位外运处置，不外排</w:t>
                  </w:r>
                </w:p>
              </w:tc>
            </w:tr>
            <w:tr w14:paraId="490A26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28" w:type="dxa"/>
                  <w:vMerge w:val="continue"/>
                  <w:tcBorders>
                    <w:tl2br w:val="nil"/>
                    <w:tr2bl w:val="nil"/>
                  </w:tcBorders>
                  <w:noWrap w:val="0"/>
                  <w:vAlign w:val="center"/>
                </w:tcPr>
                <w:p w14:paraId="341D4CDC">
                  <w:pPr>
                    <w:adjustRightInd w:val="0"/>
                    <w:snapToGrid w:val="0"/>
                    <w:spacing w:line="240" w:lineRule="auto"/>
                    <w:jc w:val="center"/>
                    <w:rPr>
                      <w:rFonts w:hint="eastAsia"/>
                      <w:color w:val="auto"/>
                      <w:sz w:val="21"/>
                      <w:szCs w:val="21"/>
                      <w:u w:val="none" w:color="auto"/>
                    </w:rPr>
                  </w:pPr>
                </w:p>
              </w:tc>
              <w:tc>
                <w:tcPr>
                  <w:tcW w:w="1280" w:type="dxa"/>
                  <w:tcBorders>
                    <w:tl2br w:val="nil"/>
                    <w:tr2bl w:val="nil"/>
                  </w:tcBorders>
                  <w:noWrap w:val="0"/>
                  <w:vAlign w:val="center"/>
                </w:tcPr>
                <w:p w14:paraId="1D624BCD">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CODcr</w:t>
                  </w:r>
                </w:p>
              </w:tc>
              <w:tc>
                <w:tcPr>
                  <w:tcW w:w="1106" w:type="dxa"/>
                  <w:tcBorders>
                    <w:tl2br w:val="nil"/>
                    <w:tr2bl w:val="nil"/>
                  </w:tcBorders>
                  <w:noWrap w:val="0"/>
                  <w:vAlign w:val="center"/>
                </w:tcPr>
                <w:p w14:paraId="0B25CCB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2000</w:t>
                  </w:r>
                </w:p>
              </w:tc>
              <w:tc>
                <w:tcPr>
                  <w:tcW w:w="1026" w:type="dxa"/>
                  <w:tcBorders>
                    <w:tl2br w:val="nil"/>
                    <w:tr2bl w:val="nil"/>
                  </w:tcBorders>
                  <w:noWrap w:val="0"/>
                  <w:vAlign w:val="center"/>
                </w:tcPr>
                <w:p w14:paraId="082AFAE7">
                  <w:pPr>
                    <w:keepNext w:val="0"/>
                    <w:keepLines w:val="0"/>
                    <w:widowControl/>
                    <w:suppressLineNumbers w:val="0"/>
                    <w:jc w:val="center"/>
                    <w:textAlignment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0.0074</w:t>
                  </w:r>
                </w:p>
              </w:tc>
              <w:tc>
                <w:tcPr>
                  <w:tcW w:w="1537" w:type="dxa"/>
                  <w:vMerge w:val="continue"/>
                  <w:tcBorders>
                    <w:tl2br w:val="nil"/>
                    <w:tr2bl w:val="nil"/>
                  </w:tcBorders>
                  <w:noWrap w:val="0"/>
                  <w:vAlign w:val="center"/>
                </w:tcPr>
                <w:p w14:paraId="7D15CA0D">
                  <w:pPr>
                    <w:adjustRightInd w:val="0"/>
                    <w:snapToGrid w:val="0"/>
                    <w:spacing w:line="240" w:lineRule="auto"/>
                    <w:jc w:val="center"/>
                    <w:rPr>
                      <w:rFonts w:hint="eastAsia"/>
                      <w:color w:val="auto"/>
                      <w:sz w:val="21"/>
                      <w:szCs w:val="21"/>
                      <w:u w:val="none" w:color="auto"/>
                    </w:rPr>
                  </w:pPr>
                </w:p>
              </w:tc>
              <w:tc>
                <w:tcPr>
                  <w:tcW w:w="1638" w:type="dxa"/>
                  <w:vMerge w:val="continue"/>
                  <w:tcBorders>
                    <w:tl2br w:val="nil"/>
                    <w:tr2bl w:val="nil"/>
                  </w:tcBorders>
                  <w:noWrap w:val="0"/>
                  <w:vAlign w:val="center"/>
                </w:tcPr>
                <w:p w14:paraId="08884826">
                  <w:pPr>
                    <w:adjustRightInd w:val="0"/>
                    <w:snapToGrid w:val="0"/>
                    <w:spacing w:line="240" w:lineRule="auto"/>
                    <w:jc w:val="center"/>
                    <w:rPr>
                      <w:rFonts w:hint="eastAsia"/>
                      <w:color w:val="auto"/>
                      <w:sz w:val="21"/>
                      <w:szCs w:val="21"/>
                      <w:u w:val="none" w:color="auto"/>
                    </w:rPr>
                  </w:pPr>
                </w:p>
              </w:tc>
            </w:tr>
            <w:tr w14:paraId="032E1B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1528" w:type="dxa"/>
                  <w:vMerge w:val="continue"/>
                  <w:tcBorders>
                    <w:tl2br w:val="nil"/>
                    <w:tr2bl w:val="nil"/>
                  </w:tcBorders>
                  <w:noWrap w:val="0"/>
                  <w:vAlign w:val="center"/>
                </w:tcPr>
                <w:p w14:paraId="7EC408C4">
                  <w:pPr>
                    <w:adjustRightInd w:val="0"/>
                    <w:snapToGrid w:val="0"/>
                    <w:spacing w:line="240" w:lineRule="auto"/>
                    <w:jc w:val="center"/>
                    <w:rPr>
                      <w:rFonts w:hint="eastAsia"/>
                      <w:color w:val="auto"/>
                      <w:sz w:val="21"/>
                      <w:szCs w:val="21"/>
                      <w:u w:val="none" w:color="auto"/>
                    </w:rPr>
                  </w:pPr>
                </w:p>
              </w:tc>
              <w:tc>
                <w:tcPr>
                  <w:tcW w:w="1280" w:type="dxa"/>
                  <w:tcBorders>
                    <w:tl2br w:val="nil"/>
                    <w:tr2bl w:val="nil"/>
                  </w:tcBorders>
                  <w:noWrap w:val="0"/>
                  <w:vAlign w:val="center"/>
                </w:tcPr>
                <w:p w14:paraId="71DFD434">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SS</w:t>
                  </w:r>
                </w:p>
              </w:tc>
              <w:tc>
                <w:tcPr>
                  <w:tcW w:w="1106" w:type="dxa"/>
                  <w:tcBorders>
                    <w:tl2br w:val="nil"/>
                    <w:tr2bl w:val="nil"/>
                  </w:tcBorders>
                  <w:noWrap w:val="0"/>
                  <w:vAlign w:val="center"/>
                </w:tcPr>
                <w:p w14:paraId="6D370C0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200</w:t>
                  </w:r>
                </w:p>
              </w:tc>
              <w:tc>
                <w:tcPr>
                  <w:tcW w:w="1026" w:type="dxa"/>
                  <w:tcBorders>
                    <w:tl2br w:val="nil"/>
                    <w:tr2bl w:val="nil"/>
                  </w:tcBorders>
                  <w:noWrap w:val="0"/>
                  <w:vAlign w:val="center"/>
                </w:tcPr>
                <w:p w14:paraId="34DCFBBF">
                  <w:pPr>
                    <w:keepNext w:val="0"/>
                    <w:keepLines w:val="0"/>
                    <w:widowControl/>
                    <w:suppressLineNumbers w:val="0"/>
                    <w:jc w:val="center"/>
                    <w:textAlignment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0.00074</w:t>
                  </w:r>
                </w:p>
              </w:tc>
              <w:tc>
                <w:tcPr>
                  <w:tcW w:w="1537" w:type="dxa"/>
                  <w:vMerge w:val="continue"/>
                  <w:tcBorders>
                    <w:tl2br w:val="nil"/>
                    <w:tr2bl w:val="nil"/>
                  </w:tcBorders>
                  <w:noWrap w:val="0"/>
                  <w:vAlign w:val="center"/>
                </w:tcPr>
                <w:p w14:paraId="3BBDE2BA">
                  <w:pPr>
                    <w:adjustRightInd w:val="0"/>
                    <w:snapToGrid w:val="0"/>
                    <w:spacing w:line="240" w:lineRule="auto"/>
                    <w:jc w:val="center"/>
                    <w:rPr>
                      <w:rFonts w:hint="eastAsia"/>
                      <w:color w:val="auto"/>
                      <w:sz w:val="21"/>
                      <w:szCs w:val="21"/>
                      <w:u w:val="none" w:color="auto"/>
                    </w:rPr>
                  </w:pPr>
                </w:p>
              </w:tc>
              <w:tc>
                <w:tcPr>
                  <w:tcW w:w="1638" w:type="dxa"/>
                  <w:vMerge w:val="continue"/>
                  <w:tcBorders>
                    <w:tl2br w:val="nil"/>
                    <w:tr2bl w:val="nil"/>
                  </w:tcBorders>
                  <w:noWrap w:val="0"/>
                  <w:vAlign w:val="center"/>
                </w:tcPr>
                <w:p w14:paraId="17879047">
                  <w:pPr>
                    <w:adjustRightInd w:val="0"/>
                    <w:snapToGrid w:val="0"/>
                    <w:spacing w:line="240" w:lineRule="auto"/>
                    <w:jc w:val="center"/>
                    <w:rPr>
                      <w:rFonts w:hint="eastAsia"/>
                      <w:color w:val="auto"/>
                      <w:sz w:val="21"/>
                      <w:szCs w:val="21"/>
                      <w:u w:val="none" w:color="auto"/>
                    </w:rPr>
                  </w:pPr>
                </w:p>
              </w:tc>
            </w:tr>
            <w:tr w14:paraId="538F5E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28" w:type="dxa"/>
                  <w:vMerge w:val="continue"/>
                  <w:tcBorders>
                    <w:tl2br w:val="nil"/>
                    <w:tr2bl w:val="nil"/>
                  </w:tcBorders>
                  <w:noWrap w:val="0"/>
                  <w:vAlign w:val="center"/>
                </w:tcPr>
                <w:p w14:paraId="121A64F7">
                  <w:pPr>
                    <w:adjustRightInd w:val="0"/>
                    <w:snapToGrid w:val="0"/>
                    <w:spacing w:line="240" w:lineRule="auto"/>
                    <w:jc w:val="center"/>
                    <w:rPr>
                      <w:rFonts w:hint="eastAsia"/>
                      <w:color w:val="auto"/>
                      <w:sz w:val="21"/>
                      <w:szCs w:val="21"/>
                      <w:u w:val="none" w:color="auto"/>
                    </w:rPr>
                  </w:pPr>
                </w:p>
              </w:tc>
              <w:tc>
                <w:tcPr>
                  <w:tcW w:w="1280" w:type="dxa"/>
                  <w:tcBorders>
                    <w:tl2br w:val="nil"/>
                    <w:tr2bl w:val="nil"/>
                  </w:tcBorders>
                  <w:noWrap w:val="0"/>
                  <w:vAlign w:val="center"/>
                </w:tcPr>
                <w:p w14:paraId="289E40A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石油类</w:t>
                  </w:r>
                </w:p>
              </w:tc>
              <w:tc>
                <w:tcPr>
                  <w:tcW w:w="1106" w:type="dxa"/>
                  <w:tcBorders>
                    <w:tl2br w:val="nil"/>
                    <w:tr2bl w:val="nil"/>
                  </w:tcBorders>
                  <w:noWrap w:val="0"/>
                  <w:vAlign w:val="center"/>
                </w:tcPr>
                <w:p w14:paraId="67B1E9C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40</w:t>
                  </w:r>
                </w:p>
              </w:tc>
              <w:tc>
                <w:tcPr>
                  <w:tcW w:w="1026" w:type="dxa"/>
                  <w:tcBorders>
                    <w:tl2br w:val="nil"/>
                    <w:tr2bl w:val="nil"/>
                  </w:tcBorders>
                  <w:noWrap w:val="0"/>
                  <w:vAlign w:val="center"/>
                </w:tcPr>
                <w:p w14:paraId="6C925AC2">
                  <w:pPr>
                    <w:keepNext w:val="0"/>
                    <w:keepLines w:val="0"/>
                    <w:widowControl/>
                    <w:suppressLineNumbers w:val="0"/>
                    <w:jc w:val="center"/>
                    <w:textAlignment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0.000148</w:t>
                  </w:r>
                </w:p>
              </w:tc>
              <w:tc>
                <w:tcPr>
                  <w:tcW w:w="1537" w:type="dxa"/>
                  <w:vMerge w:val="continue"/>
                  <w:tcBorders>
                    <w:tl2br w:val="nil"/>
                    <w:tr2bl w:val="nil"/>
                  </w:tcBorders>
                  <w:noWrap w:val="0"/>
                  <w:vAlign w:val="center"/>
                </w:tcPr>
                <w:p w14:paraId="62A31213">
                  <w:pPr>
                    <w:adjustRightInd w:val="0"/>
                    <w:snapToGrid w:val="0"/>
                    <w:spacing w:line="240" w:lineRule="auto"/>
                    <w:jc w:val="center"/>
                    <w:rPr>
                      <w:rFonts w:hint="eastAsia"/>
                      <w:color w:val="auto"/>
                      <w:sz w:val="21"/>
                      <w:szCs w:val="21"/>
                      <w:u w:val="none" w:color="auto"/>
                    </w:rPr>
                  </w:pPr>
                </w:p>
              </w:tc>
              <w:tc>
                <w:tcPr>
                  <w:tcW w:w="1638" w:type="dxa"/>
                  <w:vMerge w:val="continue"/>
                  <w:tcBorders>
                    <w:tl2br w:val="nil"/>
                    <w:tr2bl w:val="nil"/>
                  </w:tcBorders>
                  <w:noWrap w:val="0"/>
                  <w:vAlign w:val="center"/>
                </w:tcPr>
                <w:p w14:paraId="028C5A5D">
                  <w:pPr>
                    <w:adjustRightInd w:val="0"/>
                    <w:snapToGrid w:val="0"/>
                    <w:spacing w:line="240" w:lineRule="auto"/>
                    <w:jc w:val="center"/>
                    <w:rPr>
                      <w:rFonts w:hint="eastAsia"/>
                      <w:color w:val="auto"/>
                      <w:sz w:val="21"/>
                      <w:szCs w:val="21"/>
                      <w:u w:val="none" w:color="auto"/>
                    </w:rPr>
                  </w:pPr>
                </w:p>
              </w:tc>
            </w:tr>
          </w:tbl>
          <w:p w14:paraId="0CCD1955">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u w:val="none" w:color="auto"/>
                <w:lang w:val="en-US" w:eastAsia="zh-CN"/>
              </w:rPr>
              <w:t>2、</w:t>
            </w:r>
            <w:r>
              <w:rPr>
                <w:rFonts w:hint="eastAsia" w:cs="Times New Roman"/>
                <w:b/>
                <w:bCs/>
                <w:color w:val="auto"/>
                <w:sz w:val="24"/>
                <w:szCs w:val="24"/>
                <w:highlight w:val="none"/>
                <w:u w:val="none" w:color="auto"/>
                <w:lang w:val="en-US" w:eastAsia="zh-CN"/>
              </w:rPr>
              <w:t>废水防治措施可行性分析</w:t>
            </w:r>
          </w:p>
          <w:p w14:paraId="2E4283D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cs="Times New Roman"/>
                <w:color w:val="auto"/>
                <w:sz w:val="24"/>
                <w:szCs w:val="24"/>
                <w:highlight w:val="none"/>
                <w:u w:val="single" w:color="auto"/>
                <w:lang w:val="en-US" w:eastAsia="zh-CN"/>
              </w:rPr>
            </w:pPr>
            <w:r>
              <w:rPr>
                <w:rFonts w:hint="default" w:ascii="Times New Roman" w:hAnsi="Times New Roman" w:eastAsia="宋体" w:cs="Times New Roman"/>
                <w:color w:val="auto"/>
                <w:sz w:val="24"/>
                <w:szCs w:val="24"/>
                <w:highlight w:val="none"/>
                <w:u w:val="single" w:color="auto"/>
                <w:lang w:eastAsia="zh-CN"/>
              </w:rPr>
              <w:t>项目所在地</w:t>
            </w:r>
            <w:r>
              <w:rPr>
                <w:rFonts w:hint="eastAsia" w:cs="Times New Roman"/>
                <w:color w:val="auto"/>
                <w:sz w:val="24"/>
                <w:szCs w:val="24"/>
                <w:highlight w:val="none"/>
                <w:u w:val="single" w:color="auto"/>
                <w:lang w:val="en-US" w:eastAsia="zh-CN"/>
              </w:rPr>
              <w:t>位于</w:t>
            </w:r>
            <w:r>
              <w:rPr>
                <w:rFonts w:hint="default" w:ascii="Times New Roman" w:hAnsi="Times New Roman" w:eastAsia="宋体" w:cs="Times New Roman"/>
                <w:color w:val="auto"/>
                <w:sz w:val="24"/>
                <w:szCs w:val="24"/>
                <w:highlight w:val="none"/>
                <w:u w:val="single" w:color="auto"/>
                <w:lang w:val="en-US" w:eastAsia="zh-CN"/>
              </w:rPr>
              <w:t>湘潭县易俗河镇飞龙村龙大组</w:t>
            </w:r>
            <w:r>
              <w:rPr>
                <w:rFonts w:hint="eastAsia" w:cs="Times New Roman"/>
                <w:color w:val="auto"/>
                <w:sz w:val="24"/>
                <w:szCs w:val="24"/>
                <w:highlight w:val="none"/>
                <w:u w:val="single" w:color="auto"/>
                <w:lang w:val="en-US" w:eastAsia="zh-CN"/>
              </w:rPr>
              <w:t>，项目废水主要为职工生活污水，生活污水经化粪池处理后用于周边林地灌溉，不外排。</w:t>
            </w:r>
          </w:p>
          <w:p w14:paraId="78CFDA37">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cs="Times New Roman"/>
                <w:color w:val="auto"/>
                <w:sz w:val="24"/>
                <w:szCs w:val="24"/>
                <w:highlight w:val="none"/>
                <w:u w:val="single" w:color="auto"/>
                <w:lang w:val="en-US" w:eastAsia="zh-CN"/>
              </w:rPr>
            </w:pPr>
            <w:r>
              <w:rPr>
                <w:rFonts w:hint="eastAsia" w:cs="Times New Roman"/>
                <w:color w:val="auto"/>
                <w:sz w:val="24"/>
                <w:szCs w:val="24"/>
                <w:highlight w:val="none"/>
                <w:u w:val="single" w:color="auto"/>
                <w:lang w:val="en-US" w:eastAsia="zh-CN"/>
              </w:rPr>
              <w:t>化粪池原理：生活污水进入化粪池经过12～24h的沉淀，可去除50%～60%的悬浮物。沉淀污泥经过一定时间的厌氧发酵分解，使污泥中的有机物分解成稳定的无机物，易腐败的生污泥转化为稳定的熟污泥改变污泥的结构，降低了污泥的含水率。定期将污泥清掏用作肥料使用。</w:t>
            </w:r>
          </w:p>
          <w:p w14:paraId="5B461C07">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bCs/>
                <w:color w:val="auto"/>
                <w:sz w:val="24"/>
                <w:szCs w:val="24"/>
                <w:highlight w:val="none"/>
                <w:u w:val="single" w:color="auto"/>
                <w:vertAlign w:val="baseline"/>
                <w:lang w:val="en-US" w:eastAsia="zh-CN"/>
              </w:rPr>
            </w:pPr>
            <w:r>
              <w:rPr>
                <w:rFonts w:hint="eastAsia" w:cs="Times New Roman"/>
                <w:color w:val="auto"/>
                <w:sz w:val="24"/>
                <w:szCs w:val="24"/>
                <w:highlight w:val="none"/>
                <w:u w:val="single" w:color="auto"/>
                <w:lang w:val="en-US" w:eastAsia="zh-CN"/>
              </w:rPr>
              <w:t>生活污水消纳可行性：项目生活污水产生量为760t/a（2.53t/d）。根据林地溉用水量每天2.0L/m</w:t>
            </w:r>
            <w:r>
              <w:rPr>
                <w:rFonts w:hint="eastAsia" w:cs="Times New Roman"/>
                <w:color w:val="auto"/>
                <w:sz w:val="24"/>
                <w:szCs w:val="24"/>
                <w:highlight w:val="none"/>
                <w:u w:val="single" w:color="auto"/>
                <w:vertAlign w:val="superscript"/>
                <w:lang w:val="en-US" w:eastAsia="zh-CN"/>
              </w:rPr>
              <w:t>2</w:t>
            </w:r>
            <w:r>
              <w:rPr>
                <w:rFonts w:hint="eastAsia" w:cs="Times New Roman"/>
                <w:color w:val="auto"/>
                <w:sz w:val="24"/>
                <w:szCs w:val="24"/>
                <w:highlight w:val="none"/>
                <w:u w:val="single" w:color="auto"/>
                <w:vertAlign w:val="baseline"/>
                <w:lang w:val="en-US" w:eastAsia="zh-CN"/>
              </w:rPr>
              <w:t>，则需林地面积1265m</w:t>
            </w:r>
            <w:r>
              <w:rPr>
                <w:rFonts w:hint="eastAsia" w:cs="Times New Roman"/>
                <w:color w:val="auto"/>
                <w:sz w:val="24"/>
                <w:szCs w:val="24"/>
                <w:highlight w:val="none"/>
                <w:u w:val="single" w:color="auto"/>
                <w:vertAlign w:val="superscript"/>
                <w:lang w:val="en-US" w:eastAsia="zh-CN"/>
              </w:rPr>
              <w:t>2</w:t>
            </w:r>
            <w:r>
              <w:rPr>
                <w:rFonts w:hint="eastAsia" w:cs="Times New Roman"/>
                <w:color w:val="auto"/>
                <w:sz w:val="24"/>
                <w:szCs w:val="24"/>
                <w:highlight w:val="none"/>
                <w:u w:val="single" w:color="auto"/>
                <w:vertAlign w:val="baseline"/>
                <w:lang w:val="en-US" w:eastAsia="zh-CN"/>
              </w:rPr>
              <w:t>。项目</w:t>
            </w:r>
            <w:r>
              <w:rPr>
                <w:rFonts w:hint="eastAsia" w:cs="Times New Roman"/>
                <w:color w:val="auto"/>
                <w:sz w:val="24"/>
                <w:szCs w:val="24"/>
                <w:highlight w:val="none"/>
                <w:u w:val="single" w:color="auto"/>
                <w:lang w:val="en-US" w:eastAsia="zh-CN"/>
              </w:rPr>
              <w:t>周边200m范围内林地面积约为46000m</w:t>
            </w:r>
            <w:r>
              <w:rPr>
                <w:rFonts w:hint="eastAsia" w:cs="Times New Roman"/>
                <w:color w:val="auto"/>
                <w:sz w:val="24"/>
                <w:szCs w:val="24"/>
                <w:highlight w:val="none"/>
                <w:u w:val="single" w:color="auto"/>
                <w:vertAlign w:val="superscript"/>
                <w:lang w:val="en-US" w:eastAsia="zh-CN"/>
              </w:rPr>
              <w:t>2</w:t>
            </w:r>
            <w:r>
              <w:rPr>
                <w:rFonts w:hint="eastAsia" w:cs="Times New Roman"/>
                <w:color w:val="auto"/>
                <w:sz w:val="24"/>
                <w:szCs w:val="24"/>
                <w:highlight w:val="none"/>
                <w:u w:val="single" w:color="auto"/>
                <w:vertAlign w:val="baseline"/>
                <w:lang w:val="en-US" w:eastAsia="zh-CN"/>
              </w:rPr>
              <w:t>，林地面积所需的灌溉水量远大于生活污水量，可完全容纳本项目产生的生活污水量。</w:t>
            </w:r>
          </w:p>
          <w:p w14:paraId="2C760A85">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cs="Times New Roman"/>
                <w:b/>
                <w:bCs/>
                <w:color w:val="auto"/>
                <w:sz w:val="24"/>
                <w:szCs w:val="24"/>
                <w:highlight w:val="none"/>
                <w:u w:val="none" w:color="auto"/>
                <w:lang w:val="en-US" w:eastAsia="zh-CN"/>
              </w:rPr>
              <w:t>3、</w:t>
            </w:r>
            <w:r>
              <w:rPr>
                <w:rFonts w:hint="eastAsia" w:ascii="Times New Roman" w:hAnsi="Times New Roman" w:eastAsia="宋体" w:cs="Times New Roman"/>
                <w:b/>
                <w:bCs/>
                <w:color w:val="auto"/>
                <w:sz w:val="24"/>
                <w:szCs w:val="24"/>
                <w:highlight w:val="none"/>
                <w:u w:val="none" w:color="auto"/>
                <w:lang w:val="en-US" w:eastAsia="zh-CN"/>
              </w:rPr>
              <w:t>废水污染物监测计划</w:t>
            </w:r>
          </w:p>
          <w:p w14:paraId="78BA0B31">
            <w:pPr>
              <w:spacing w:line="360" w:lineRule="auto"/>
              <w:ind w:firstLine="480" w:firstLineChars="200"/>
              <w:rPr>
                <w:rFonts w:hint="default" w:ascii="Times New Roman" w:hAnsi="Times New Roman" w:eastAsia="宋体" w:cs="Times New Roman"/>
                <w:color w:val="auto"/>
                <w:kern w:val="2"/>
                <w:sz w:val="24"/>
                <w:szCs w:val="24"/>
                <w:u w:val="none" w:color="auto"/>
                <w:lang w:val="en-US" w:eastAsia="zh-CN" w:bidi="ar-SA"/>
              </w:rPr>
            </w:pPr>
            <w:r>
              <w:rPr>
                <w:rFonts w:hint="eastAsia" w:ascii="Times New Roman" w:hAnsi="Times New Roman" w:eastAsia="宋体" w:cs="Times New Roman"/>
                <w:color w:val="auto"/>
                <w:kern w:val="2"/>
                <w:sz w:val="24"/>
                <w:szCs w:val="24"/>
                <w:u w:val="none" w:color="auto"/>
                <w:lang w:val="en-US" w:eastAsia="zh-CN" w:bidi="ar-SA"/>
              </w:rPr>
              <w:t>项目废水不外排，</w:t>
            </w:r>
            <w:r>
              <w:rPr>
                <w:rFonts w:hint="default" w:ascii="Times New Roman" w:hAnsi="Times New Roman" w:eastAsia="宋体" w:cs="Times New Roman"/>
                <w:color w:val="auto"/>
                <w:kern w:val="2"/>
                <w:sz w:val="24"/>
                <w:szCs w:val="24"/>
                <w:u w:val="none" w:color="auto"/>
                <w:lang w:val="en-US" w:eastAsia="zh-CN" w:bidi="ar-SA"/>
              </w:rPr>
              <w:t>参照《排污单位自行监测技术指南总则》（HJ819-2017）的相关要求，</w:t>
            </w:r>
            <w:r>
              <w:rPr>
                <w:rFonts w:hint="eastAsia" w:ascii="Times New Roman" w:hAnsi="Times New Roman" w:eastAsia="宋体" w:cs="Times New Roman"/>
                <w:color w:val="auto"/>
                <w:kern w:val="2"/>
                <w:sz w:val="24"/>
                <w:szCs w:val="24"/>
                <w:u w:val="none" w:color="auto"/>
                <w:lang w:val="en-US" w:eastAsia="zh-CN" w:bidi="ar-SA"/>
              </w:rPr>
              <w:t>废水</w:t>
            </w:r>
            <w:r>
              <w:rPr>
                <w:rFonts w:hint="default" w:ascii="Times New Roman" w:hAnsi="Times New Roman" w:eastAsia="宋体" w:cs="Times New Roman"/>
                <w:color w:val="auto"/>
                <w:kern w:val="2"/>
                <w:sz w:val="24"/>
                <w:szCs w:val="24"/>
                <w:u w:val="none" w:color="auto"/>
                <w:lang w:val="en-US" w:eastAsia="zh-CN" w:bidi="ar-SA"/>
              </w:rPr>
              <w:t>可不进行自行监测。</w:t>
            </w:r>
          </w:p>
          <w:p w14:paraId="508B23FE">
            <w:pPr>
              <w:keepNext w:val="0"/>
              <w:keepLines w:val="0"/>
              <w:pageBreakBefore w:val="0"/>
              <w:suppressLineNumbers w:val="0"/>
              <w:kinsoku/>
              <w:wordWrap/>
              <w:overflowPunct/>
              <w:topLinePunct w:val="0"/>
              <w:bidi w:val="0"/>
              <w:snapToGrid/>
              <w:spacing w:before="0" w:beforeAutospacing="0" w:after="0" w:afterAutospacing="0" w:line="480" w:lineRule="exact"/>
              <w:ind w:left="0" w:right="0" w:firstLine="482" w:firstLineChars="200"/>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cs="Times New Roman"/>
                <w:b/>
                <w:bCs/>
                <w:color w:val="auto"/>
                <w:sz w:val="24"/>
                <w:szCs w:val="24"/>
                <w:highlight w:val="none"/>
                <w:u w:val="none" w:color="auto"/>
                <w:lang w:val="en-US" w:eastAsia="zh-CN"/>
              </w:rPr>
              <w:t>4</w:t>
            </w:r>
            <w:r>
              <w:rPr>
                <w:rFonts w:hint="eastAsia" w:ascii="Times New Roman" w:hAnsi="Times New Roman" w:eastAsia="宋体" w:cs="Times New Roman"/>
                <w:b/>
                <w:bCs/>
                <w:color w:val="auto"/>
                <w:sz w:val="24"/>
                <w:szCs w:val="24"/>
                <w:highlight w:val="none"/>
                <w:u w:val="none" w:color="auto"/>
                <w:lang w:val="en-US" w:eastAsia="zh-CN"/>
              </w:rPr>
              <w:t>、项目水环境影响评价结论</w:t>
            </w:r>
          </w:p>
          <w:p w14:paraId="03DF520E">
            <w:pPr>
              <w:keepNext w:val="0"/>
              <w:keepLines w:val="0"/>
              <w:pageBreakBefore w:val="0"/>
              <w:suppressLineNumbers w:val="0"/>
              <w:kinsoku/>
              <w:wordWrap/>
              <w:overflowPunct/>
              <w:topLinePunct w:val="0"/>
              <w:bidi w:val="0"/>
              <w:snapToGrid/>
              <w:spacing w:before="0" w:beforeAutospacing="0" w:after="0" w:afterAutospacing="0" w:line="480" w:lineRule="exact"/>
              <w:ind w:left="0" w:right="0" w:firstLine="480" w:firstLineChars="200"/>
              <w:textAlignment w:val="auto"/>
              <w:rPr>
                <w:rFonts w:hint="eastAsia" w:ascii="Times New Roman" w:hAnsi="Times New Roman" w:eastAsia="宋体" w:cs="Times New Roman"/>
                <w:bCs w:val="0"/>
                <w:color w:val="auto"/>
                <w:sz w:val="24"/>
                <w:szCs w:val="24"/>
                <w:highlight w:val="none"/>
                <w:u w:val="none" w:color="auto"/>
                <w:lang w:val="en-US" w:eastAsia="zh-CN"/>
              </w:rPr>
            </w:pPr>
            <w:r>
              <w:rPr>
                <w:rFonts w:hint="eastAsia" w:ascii="Times New Roman" w:hAnsi="Times New Roman" w:eastAsia="宋体" w:cs="Times New Roman"/>
                <w:bCs w:val="0"/>
                <w:color w:val="auto"/>
                <w:sz w:val="24"/>
                <w:szCs w:val="24"/>
                <w:highlight w:val="none"/>
                <w:u w:val="none" w:color="auto"/>
                <w:lang w:val="en-US" w:eastAsia="zh-CN"/>
              </w:rPr>
              <w:t>本项目运营后，</w:t>
            </w:r>
            <w:r>
              <w:rPr>
                <w:rFonts w:hint="eastAsia" w:cs="Times New Roman"/>
                <w:color w:val="auto"/>
                <w:sz w:val="24"/>
                <w:szCs w:val="24"/>
                <w:u w:val="none" w:color="auto"/>
                <w:lang w:val="en-US" w:eastAsia="zh-CN"/>
              </w:rPr>
              <w:t>生活污水经化粪池处理后用于周边林地浇灌，不外排</w:t>
            </w:r>
            <w:r>
              <w:rPr>
                <w:rFonts w:hint="default" w:ascii="Times New Roman" w:hAnsi="Times New Roman" w:cs="Times New Roman"/>
                <w:color w:val="auto"/>
                <w:sz w:val="24"/>
                <w:szCs w:val="24"/>
                <w:u w:val="none" w:color="auto"/>
                <w:lang w:val="en-US" w:eastAsia="zh-CN"/>
              </w:rPr>
              <w:t>。</w:t>
            </w:r>
            <w:r>
              <w:rPr>
                <w:rFonts w:hint="eastAsia" w:ascii="Times New Roman" w:hAnsi="Times New Roman" w:cs="Times New Roman"/>
                <w:color w:val="auto"/>
                <w:sz w:val="24"/>
                <w:szCs w:val="24"/>
                <w:u w:val="none" w:color="auto"/>
                <w:lang w:val="en-US" w:eastAsia="zh-CN"/>
              </w:rPr>
              <w:t>水帘废水作为危险废物处置，委托有资质单位外运处置，不外排。</w:t>
            </w:r>
            <w:r>
              <w:rPr>
                <w:rFonts w:hint="eastAsia" w:ascii="Times New Roman" w:hAnsi="Times New Roman" w:eastAsia="宋体" w:cs="Times New Roman"/>
                <w:bCs w:val="0"/>
                <w:color w:val="auto"/>
                <w:sz w:val="24"/>
                <w:szCs w:val="24"/>
                <w:highlight w:val="none"/>
                <w:u w:val="none" w:color="auto"/>
                <w:lang w:val="en-US" w:eastAsia="zh-CN"/>
              </w:rPr>
              <w:t>对区域水环境影响较小。</w:t>
            </w:r>
          </w:p>
          <w:p w14:paraId="60FF5D18">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4.3声环境影响分析</w:t>
            </w:r>
          </w:p>
          <w:p w14:paraId="7B5E14BD">
            <w:pPr>
              <w:spacing w:line="480" w:lineRule="exact"/>
              <w:ind w:firstLine="482" w:firstLineChars="200"/>
              <w:rPr>
                <w:rFonts w:hint="default" w:eastAsia="宋体"/>
                <w:b/>
                <w:bCs/>
                <w:color w:val="auto"/>
                <w:sz w:val="24"/>
                <w:highlight w:val="none"/>
                <w:u w:val="none" w:color="auto"/>
                <w:lang w:val="en-US" w:eastAsia="zh-CN"/>
              </w:rPr>
            </w:pPr>
            <w:r>
              <w:rPr>
                <w:rFonts w:hint="eastAsia" w:ascii="Calibri" w:eastAsia="宋体"/>
                <w:b/>
                <w:bCs/>
                <w:color w:val="auto"/>
                <w:sz w:val="24"/>
                <w:highlight w:val="none"/>
                <w:u w:val="none" w:color="auto"/>
                <w:lang w:val="en-US" w:eastAsia="zh-CN"/>
              </w:rPr>
              <w:t>1、</w:t>
            </w:r>
            <w:r>
              <w:rPr>
                <w:rFonts w:hint="eastAsia" w:ascii="Calibri" w:eastAsia="宋体"/>
                <w:b/>
                <w:color w:val="auto"/>
                <w:sz w:val="24"/>
                <w:highlight w:val="none"/>
                <w:u w:val="none" w:color="auto"/>
                <w:lang w:val="en-US" w:eastAsia="zh-CN"/>
              </w:rPr>
              <w:t>噪声源强</w:t>
            </w:r>
          </w:p>
          <w:p w14:paraId="6BC26C13">
            <w:pPr>
              <w:spacing w:line="480" w:lineRule="exact"/>
              <w:ind w:firstLine="480" w:firstLineChars="200"/>
              <w:rPr>
                <w:rFonts w:hint="default"/>
                <w:color w:val="auto"/>
                <w:sz w:val="24"/>
                <w:highlight w:val="none"/>
                <w:u w:val="none" w:color="auto"/>
              </w:rPr>
            </w:pPr>
            <w:r>
              <w:rPr>
                <w:rFonts w:hint="eastAsia"/>
                <w:color w:val="auto"/>
                <w:sz w:val="24"/>
                <w:highlight w:val="none"/>
                <w:u w:val="none" w:color="auto"/>
                <w:lang w:val="en-US" w:eastAsia="zh-CN"/>
              </w:rPr>
              <w:t>本</w:t>
            </w:r>
            <w:r>
              <w:rPr>
                <w:rFonts w:hint="default"/>
                <w:color w:val="auto"/>
                <w:sz w:val="24"/>
                <w:highlight w:val="none"/>
                <w:u w:val="none" w:color="auto"/>
                <w:lang w:val="en-US" w:eastAsia="zh-CN"/>
              </w:rPr>
              <w:t>项目营运期噪声主要为</w:t>
            </w:r>
            <w:r>
              <w:rPr>
                <w:rFonts w:hint="eastAsia"/>
                <w:color w:val="auto"/>
                <w:sz w:val="24"/>
                <w:highlight w:val="none"/>
                <w:u w:val="none" w:color="auto"/>
                <w:lang w:val="en-US" w:eastAsia="zh-CN"/>
              </w:rPr>
              <w:t>激光切割机</w:t>
            </w:r>
            <w:r>
              <w:rPr>
                <w:rFonts w:hint="default"/>
                <w:color w:val="auto"/>
                <w:sz w:val="24"/>
                <w:highlight w:val="none"/>
                <w:u w:val="none" w:color="auto"/>
                <w:lang w:val="en-US" w:eastAsia="zh-CN"/>
              </w:rPr>
              <w:t>、</w:t>
            </w:r>
            <w:r>
              <w:rPr>
                <w:rFonts w:hint="eastAsia"/>
                <w:color w:val="auto"/>
                <w:sz w:val="24"/>
                <w:highlight w:val="none"/>
                <w:u w:val="none" w:color="auto"/>
                <w:lang w:val="en-US" w:eastAsia="zh-CN"/>
              </w:rPr>
              <w:t>钢板剪板机</w:t>
            </w:r>
            <w:r>
              <w:rPr>
                <w:rFonts w:hint="default"/>
                <w:color w:val="auto"/>
                <w:sz w:val="24"/>
                <w:highlight w:val="none"/>
                <w:u w:val="none" w:color="auto"/>
                <w:lang w:val="en-US" w:eastAsia="zh-CN"/>
              </w:rPr>
              <w:t>、</w:t>
            </w:r>
            <w:r>
              <w:rPr>
                <w:rFonts w:hint="eastAsia"/>
                <w:color w:val="auto"/>
                <w:sz w:val="24"/>
                <w:highlight w:val="none"/>
                <w:u w:val="none" w:color="auto"/>
                <w:lang w:val="en-US" w:eastAsia="zh-CN"/>
              </w:rPr>
              <w:t>钢板折弯机</w:t>
            </w:r>
            <w:r>
              <w:rPr>
                <w:rFonts w:hint="default"/>
                <w:color w:val="auto"/>
                <w:sz w:val="24"/>
                <w:highlight w:val="none"/>
                <w:u w:val="none" w:color="auto"/>
                <w:lang w:val="en-US" w:eastAsia="zh-CN"/>
              </w:rPr>
              <w:t>、</w:t>
            </w:r>
            <w:r>
              <w:rPr>
                <w:rFonts w:hint="eastAsia"/>
                <w:color w:val="auto"/>
                <w:sz w:val="24"/>
                <w:highlight w:val="none"/>
                <w:u w:val="none" w:color="auto"/>
                <w:lang w:val="en-US" w:eastAsia="zh-CN"/>
              </w:rPr>
              <w:t>自动小型钢板滚圆机</w:t>
            </w:r>
            <w:r>
              <w:rPr>
                <w:rFonts w:hint="default"/>
                <w:color w:val="auto"/>
                <w:sz w:val="24"/>
                <w:highlight w:val="none"/>
                <w:u w:val="none" w:color="auto"/>
                <w:lang w:val="en-US" w:eastAsia="zh-CN"/>
              </w:rPr>
              <w:t>、</w:t>
            </w:r>
            <w:r>
              <w:rPr>
                <w:rFonts w:hint="eastAsia"/>
                <w:color w:val="auto"/>
                <w:sz w:val="24"/>
                <w:highlight w:val="none"/>
                <w:u w:val="none" w:color="auto"/>
                <w:lang w:val="en-US" w:eastAsia="zh-CN"/>
              </w:rPr>
              <w:t>焊机</w:t>
            </w:r>
            <w:r>
              <w:rPr>
                <w:rFonts w:hint="default"/>
                <w:color w:val="auto"/>
                <w:sz w:val="24"/>
                <w:highlight w:val="none"/>
                <w:u w:val="none" w:color="auto"/>
                <w:lang w:val="en-US" w:eastAsia="zh-CN"/>
              </w:rPr>
              <w:t>、</w:t>
            </w:r>
            <w:r>
              <w:rPr>
                <w:rFonts w:hint="eastAsia"/>
                <w:color w:val="auto"/>
                <w:sz w:val="24"/>
                <w:highlight w:val="none"/>
                <w:u w:val="none" w:color="auto"/>
                <w:lang w:val="en-US" w:eastAsia="zh-CN"/>
              </w:rPr>
              <w:t>打孔机、空气压缩机、</w:t>
            </w:r>
            <w:r>
              <w:rPr>
                <w:rFonts w:hint="default"/>
                <w:color w:val="auto"/>
                <w:sz w:val="24"/>
                <w:highlight w:val="none"/>
                <w:u w:val="none" w:color="auto"/>
                <w:lang w:val="en-US" w:eastAsia="zh-CN"/>
              </w:rPr>
              <w:t>风机等设备运行噪声，</w:t>
            </w:r>
            <w:r>
              <w:rPr>
                <w:rFonts w:hint="eastAsia"/>
                <w:color w:val="auto"/>
                <w:sz w:val="24"/>
                <w:highlight w:val="none"/>
                <w:u w:val="none" w:color="auto"/>
                <w:lang w:val="en-US" w:eastAsia="zh-CN"/>
              </w:rPr>
              <w:t>风机为室外声源，其他设备均为室内声源。</w:t>
            </w:r>
            <w:r>
              <w:rPr>
                <w:rFonts w:hint="default"/>
                <w:color w:val="auto"/>
                <w:sz w:val="24"/>
                <w:highlight w:val="none"/>
                <w:u w:val="none" w:color="auto"/>
                <w:lang w:val="en-US" w:eastAsia="zh-CN"/>
              </w:rPr>
              <w:t>其</w:t>
            </w:r>
            <w:r>
              <w:rPr>
                <w:rFonts w:hint="eastAsia"/>
                <w:color w:val="auto"/>
                <w:sz w:val="24"/>
                <w:highlight w:val="none"/>
                <w:u w:val="none" w:color="auto"/>
                <w:lang w:val="en-US" w:eastAsia="zh-CN"/>
              </w:rPr>
              <w:t>声功率级</w:t>
            </w:r>
            <w:r>
              <w:rPr>
                <w:rFonts w:hint="default"/>
                <w:color w:val="auto"/>
                <w:sz w:val="24"/>
                <w:highlight w:val="none"/>
                <w:u w:val="none" w:color="auto"/>
                <w:lang w:val="en-US" w:eastAsia="zh-CN"/>
              </w:rPr>
              <w:t>约为</w:t>
            </w:r>
            <w:r>
              <w:rPr>
                <w:rFonts w:hint="eastAsia"/>
                <w:color w:val="auto"/>
                <w:sz w:val="24"/>
                <w:highlight w:val="none"/>
                <w:u w:val="none" w:color="auto"/>
                <w:lang w:val="en-US" w:eastAsia="zh-CN"/>
              </w:rPr>
              <w:t>75</w:t>
            </w:r>
            <w:r>
              <w:rPr>
                <w:rFonts w:hint="default"/>
                <w:color w:val="auto"/>
                <w:sz w:val="24"/>
                <w:highlight w:val="none"/>
                <w:u w:val="none" w:color="auto"/>
                <w:lang w:val="en-US" w:eastAsia="zh-CN"/>
              </w:rPr>
              <w:t>～90dB（A），本项目</w:t>
            </w:r>
            <w:r>
              <w:rPr>
                <w:rFonts w:hint="eastAsia"/>
                <w:color w:val="auto"/>
                <w:sz w:val="24"/>
                <w:highlight w:val="none"/>
                <w:u w:val="none" w:color="auto"/>
                <w:lang w:val="en-US" w:eastAsia="zh-CN"/>
              </w:rPr>
              <w:t>白天生产8h，夜间不生产。</w:t>
            </w:r>
            <w:r>
              <w:rPr>
                <w:rFonts w:hint="default"/>
                <w:color w:val="auto"/>
                <w:sz w:val="24"/>
                <w:highlight w:val="none"/>
                <w:u w:val="none" w:color="auto"/>
                <w:lang w:val="en-US" w:eastAsia="zh-CN"/>
              </w:rPr>
              <w:t>主要噪声源强见</w:t>
            </w:r>
            <w:r>
              <w:rPr>
                <w:rFonts w:hint="eastAsia"/>
                <w:color w:val="auto"/>
                <w:sz w:val="24"/>
                <w:highlight w:val="none"/>
                <w:u w:val="none" w:color="auto"/>
                <w:lang w:val="en-US" w:eastAsia="zh-CN"/>
              </w:rPr>
              <w:t>下表</w:t>
            </w:r>
            <w:r>
              <w:rPr>
                <w:rFonts w:hint="default"/>
                <w:color w:val="auto"/>
                <w:sz w:val="24"/>
                <w:highlight w:val="none"/>
                <w:u w:val="none" w:color="auto"/>
              </w:rPr>
              <w:t>。</w:t>
            </w:r>
          </w:p>
          <w:p w14:paraId="072E9F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bCs/>
                <w:color w:val="auto"/>
                <w:sz w:val="21"/>
                <w:szCs w:val="21"/>
                <w:highlight w:val="none"/>
                <w:u w:val="none" w:color="auto"/>
                <w:lang w:val="en-US" w:eastAsia="zh-CN"/>
              </w:rPr>
            </w:pPr>
            <w:r>
              <w:rPr>
                <w:rFonts w:hint="default" w:ascii="Times New Roman" w:hAnsi="Times New Roman" w:eastAsia="宋体" w:cs="Times New Roman"/>
                <w:b/>
                <w:bCs/>
                <w:color w:val="auto"/>
                <w:sz w:val="21"/>
                <w:szCs w:val="21"/>
                <w:highlight w:val="none"/>
                <w:u w:val="none" w:color="auto"/>
                <w:lang w:val="en-US" w:eastAsia="zh-CN"/>
              </w:rPr>
              <w:t>表4-</w:t>
            </w:r>
            <w:r>
              <w:rPr>
                <w:rFonts w:hint="eastAsia" w:cs="Times New Roman"/>
                <w:b/>
                <w:bCs/>
                <w:color w:val="auto"/>
                <w:sz w:val="21"/>
                <w:szCs w:val="21"/>
                <w:highlight w:val="none"/>
                <w:u w:val="none" w:color="auto"/>
                <w:lang w:val="en-US" w:eastAsia="zh-CN"/>
              </w:rPr>
              <w:t>12</w:t>
            </w:r>
            <w:r>
              <w:rPr>
                <w:rFonts w:hint="default" w:ascii="Times New Roman" w:hAnsi="Times New Roman" w:eastAsia="宋体" w:cs="Times New Roman"/>
                <w:b/>
                <w:bCs/>
                <w:color w:val="auto"/>
                <w:sz w:val="21"/>
                <w:szCs w:val="21"/>
                <w:highlight w:val="none"/>
                <w:u w:val="none" w:color="auto"/>
                <w:lang w:val="en-US" w:eastAsia="zh-CN"/>
              </w:rPr>
              <w:t xml:space="preserve">   </w:t>
            </w:r>
            <w:r>
              <w:rPr>
                <w:rFonts w:hint="eastAsia" w:ascii="Times New Roman" w:hAnsi="Times New Roman" w:eastAsia="宋体" w:cs="Times New Roman"/>
                <w:b/>
                <w:bCs/>
                <w:color w:val="auto"/>
                <w:sz w:val="21"/>
                <w:szCs w:val="21"/>
                <w:highlight w:val="none"/>
                <w:u w:val="none" w:color="auto"/>
                <w:lang w:val="en-US" w:eastAsia="zh-CN"/>
              </w:rPr>
              <w:t>本项目</w:t>
            </w:r>
            <w:r>
              <w:rPr>
                <w:rFonts w:hint="default" w:ascii="Times New Roman" w:hAnsi="Times New Roman" w:eastAsia="宋体" w:cs="Times New Roman"/>
                <w:b/>
                <w:bCs/>
                <w:color w:val="auto"/>
                <w:sz w:val="21"/>
                <w:szCs w:val="21"/>
                <w:highlight w:val="none"/>
                <w:u w:val="none" w:color="auto"/>
                <w:lang w:val="en-US" w:eastAsia="zh-CN"/>
              </w:rPr>
              <w:t>主要设备噪声源强一览表</w:t>
            </w:r>
            <w:r>
              <w:rPr>
                <w:rFonts w:hint="eastAsia" w:cs="Times New Roman"/>
                <w:b/>
                <w:bCs/>
                <w:color w:val="auto"/>
                <w:sz w:val="21"/>
                <w:szCs w:val="21"/>
                <w:highlight w:val="none"/>
                <w:u w:val="none" w:color="auto"/>
                <w:lang w:val="en-US" w:eastAsia="zh-CN"/>
              </w:rPr>
              <w:t>（室内声源）</w:t>
            </w:r>
          </w:p>
          <w:tbl>
            <w:tblPr>
              <w:tblStyle w:val="32"/>
              <w:tblW w:w="8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949"/>
              <w:gridCol w:w="549"/>
              <w:gridCol w:w="518"/>
              <w:gridCol w:w="453"/>
              <w:gridCol w:w="491"/>
              <w:gridCol w:w="585"/>
              <w:gridCol w:w="453"/>
              <w:gridCol w:w="583"/>
              <w:gridCol w:w="924"/>
              <w:gridCol w:w="405"/>
              <w:gridCol w:w="499"/>
              <w:gridCol w:w="987"/>
              <w:gridCol w:w="454"/>
            </w:tblGrid>
            <w:tr w14:paraId="6E3B0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restart"/>
                  <w:tcBorders>
                    <w:tl2br w:val="nil"/>
                    <w:tr2bl w:val="nil"/>
                  </w:tcBorders>
                  <w:noWrap w:val="0"/>
                  <w:vAlign w:val="center"/>
                </w:tcPr>
                <w:p w14:paraId="4B116EE9">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序号</w:t>
                  </w:r>
                </w:p>
              </w:tc>
              <w:tc>
                <w:tcPr>
                  <w:tcW w:w="949" w:type="dxa"/>
                  <w:vMerge w:val="restart"/>
                  <w:tcBorders>
                    <w:tl2br w:val="nil"/>
                    <w:tr2bl w:val="nil"/>
                  </w:tcBorders>
                  <w:noWrap w:val="0"/>
                  <w:vAlign w:val="center"/>
                </w:tcPr>
                <w:p w14:paraId="42FEC4A5">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声源名称</w:t>
                  </w:r>
                </w:p>
              </w:tc>
              <w:tc>
                <w:tcPr>
                  <w:tcW w:w="549" w:type="dxa"/>
                  <w:vMerge w:val="restart"/>
                  <w:tcBorders>
                    <w:tl2br w:val="nil"/>
                    <w:tr2bl w:val="nil"/>
                  </w:tcBorders>
                  <w:noWrap w:val="0"/>
                  <w:vAlign w:val="center"/>
                </w:tcPr>
                <w:p w14:paraId="0A814B23">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声压级/距声源距离dBA/m）</w:t>
                  </w:r>
                </w:p>
              </w:tc>
              <w:tc>
                <w:tcPr>
                  <w:tcW w:w="518" w:type="dxa"/>
                  <w:vMerge w:val="restart"/>
                  <w:tcBorders>
                    <w:tl2br w:val="nil"/>
                    <w:tr2bl w:val="nil"/>
                  </w:tcBorders>
                  <w:noWrap w:val="0"/>
                  <w:vAlign w:val="center"/>
                </w:tcPr>
                <w:p w14:paraId="17FC6592">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声源控制措施</w:t>
                  </w:r>
                </w:p>
              </w:tc>
              <w:tc>
                <w:tcPr>
                  <w:tcW w:w="1529" w:type="dxa"/>
                  <w:gridSpan w:val="3"/>
                  <w:tcBorders>
                    <w:tl2br w:val="nil"/>
                    <w:tr2bl w:val="nil"/>
                  </w:tcBorders>
                  <w:noWrap w:val="0"/>
                  <w:vAlign w:val="center"/>
                </w:tcPr>
                <w:p w14:paraId="54A11E95">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空间相对位置/m</w:t>
                  </w:r>
                </w:p>
              </w:tc>
              <w:tc>
                <w:tcPr>
                  <w:tcW w:w="1036" w:type="dxa"/>
                  <w:gridSpan w:val="2"/>
                  <w:vMerge w:val="restart"/>
                  <w:tcBorders>
                    <w:tl2br w:val="nil"/>
                    <w:tr2bl w:val="nil"/>
                  </w:tcBorders>
                  <w:noWrap w:val="0"/>
                  <w:vAlign w:val="center"/>
                </w:tcPr>
                <w:p w14:paraId="67D4DB15">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距室内边界距离/m</w:t>
                  </w:r>
                </w:p>
              </w:tc>
              <w:tc>
                <w:tcPr>
                  <w:tcW w:w="924" w:type="dxa"/>
                  <w:vMerge w:val="restart"/>
                  <w:tcBorders>
                    <w:tl2br w:val="nil"/>
                    <w:tr2bl w:val="nil"/>
                  </w:tcBorders>
                  <w:noWrap w:val="0"/>
                  <w:vAlign w:val="center"/>
                </w:tcPr>
                <w:p w14:paraId="6C643FF3">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室内边界声级/dB(A)</w:t>
                  </w:r>
                </w:p>
              </w:tc>
              <w:tc>
                <w:tcPr>
                  <w:tcW w:w="405" w:type="dxa"/>
                  <w:vMerge w:val="restart"/>
                  <w:tcBorders>
                    <w:tl2br w:val="nil"/>
                    <w:tr2bl w:val="nil"/>
                  </w:tcBorders>
                  <w:noWrap w:val="0"/>
                  <w:vAlign w:val="center"/>
                </w:tcPr>
                <w:p w14:paraId="74DD6320">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运行时段</w:t>
                  </w:r>
                </w:p>
              </w:tc>
              <w:tc>
                <w:tcPr>
                  <w:tcW w:w="499" w:type="dxa"/>
                  <w:vMerge w:val="restart"/>
                  <w:tcBorders>
                    <w:tl2br w:val="nil"/>
                    <w:tr2bl w:val="nil"/>
                  </w:tcBorders>
                  <w:noWrap w:val="0"/>
                  <w:vAlign w:val="center"/>
                </w:tcPr>
                <w:p w14:paraId="29E6D287">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建筑物插入损失/dB(A)</w:t>
                  </w:r>
                </w:p>
              </w:tc>
              <w:tc>
                <w:tcPr>
                  <w:tcW w:w="1441" w:type="dxa"/>
                  <w:gridSpan w:val="2"/>
                  <w:tcBorders>
                    <w:tl2br w:val="nil"/>
                    <w:tr2bl w:val="nil"/>
                  </w:tcBorders>
                  <w:noWrap w:val="0"/>
                  <w:vAlign w:val="center"/>
                </w:tcPr>
                <w:p w14:paraId="4F2ADAA7">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建筑物外噪声</w:t>
                  </w:r>
                </w:p>
              </w:tc>
            </w:tr>
            <w:tr w14:paraId="714A5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431F9226">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p>
              </w:tc>
              <w:tc>
                <w:tcPr>
                  <w:tcW w:w="949" w:type="dxa"/>
                  <w:vMerge w:val="continue"/>
                  <w:tcBorders>
                    <w:tl2br w:val="nil"/>
                    <w:tr2bl w:val="nil"/>
                  </w:tcBorders>
                  <w:noWrap w:val="0"/>
                  <w:vAlign w:val="center"/>
                </w:tcPr>
                <w:p w14:paraId="5258A766">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p>
              </w:tc>
              <w:tc>
                <w:tcPr>
                  <w:tcW w:w="549" w:type="dxa"/>
                  <w:vMerge w:val="continue"/>
                  <w:tcBorders>
                    <w:tl2br w:val="nil"/>
                    <w:tr2bl w:val="nil"/>
                  </w:tcBorders>
                  <w:noWrap w:val="0"/>
                  <w:vAlign w:val="center"/>
                </w:tcPr>
                <w:p w14:paraId="595F5F7F">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p>
              </w:tc>
              <w:tc>
                <w:tcPr>
                  <w:tcW w:w="518" w:type="dxa"/>
                  <w:vMerge w:val="continue"/>
                  <w:tcBorders>
                    <w:tl2br w:val="nil"/>
                    <w:tr2bl w:val="nil"/>
                  </w:tcBorders>
                  <w:noWrap w:val="0"/>
                  <w:vAlign w:val="center"/>
                </w:tcPr>
                <w:p w14:paraId="65482910">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p>
              </w:tc>
              <w:tc>
                <w:tcPr>
                  <w:tcW w:w="453" w:type="dxa"/>
                  <w:tcBorders>
                    <w:tl2br w:val="nil"/>
                    <w:tr2bl w:val="nil"/>
                  </w:tcBorders>
                  <w:noWrap w:val="0"/>
                  <w:vAlign w:val="center"/>
                </w:tcPr>
                <w:p w14:paraId="0F7A6574">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X</w:t>
                  </w:r>
                </w:p>
              </w:tc>
              <w:tc>
                <w:tcPr>
                  <w:tcW w:w="491" w:type="dxa"/>
                  <w:tcBorders>
                    <w:tl2br w:val="nil"/>
                    <w:tr2bl w:val="nil"/>
                  </w:tcBorders>
                  <w:noWrap w:val="0"/>
                  <w:vAlign w:val="center"/>
                </w:tcPr>
                <w:p w14:paraId="1E152620">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Y</w:t>
                  </w:r>
                </w:p>
              </w:tc>
              <w:tc>
                <w:tcPr>
                  <w:tcW w:w="585" w:type="dxa"/>
                  <w:tcBorders>
                    <w:tl2br w:val="nil"/>
                    <w:tr2bl w:val="nil"/>
                  </w:tcBorders>
                  <w:noWrap w:val="0"/>
                  <w:vAlign w:val="center"/>
                </w:tcPr>
                <w:p w14:paraId="0EEF6983">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Z</w:t>
                  </w:r>
                </w:p>
              </w:tc>
              <w:tc>
                <w:tcPr>
                  <w:tcW w:w="1036" w:type="dxa"/>
                  <w:gridSpan w:val="2"/>
                  <w:vMerge w:val="continue"/>
                  <w:tcBorders>
                    <w:tl2br w:val="nil"/>
                    <w:tr2bl w:val="nil"/>
                  </w:tcBorders>
                  <w:noWrap w:val="0"/>
                  <w:vAlign w:val="center"/>
                </w:tcPr>
                <w:p w14:paraId="483460E0">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p>
              </w:tc>
              <w:tc>
                <w:tcPr>
                  <w:tcW w:w="924" w:type="dxa"/>
                  <w:vMerge w:val="continue"/>
                  <w:tcBorders>
                    <w:tl2br w:val="nil"/>
                    <w:tr2bl w:val="nil"/>
                  </w:tcBorders>
                  <w:noWrap w:val="0"/>
                  <w:vAlign w:val="center"/>
                </w:tcPr>
                <w:p w14:paraId="3839B565">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p>
              </w:tc>
              <w:tc>
                <w:tcPr>
                  <w:tcW w:w="405" w:type="dxa"/>
                  <w:vMerge w:val="continue"/>
                  <w:tcBorders>
                    <w:tl2br w:val="nil"/>
                    <w:tr2bl w:val="nil"/>
                  </w:tcBorders>
                  <w:noWrap w:val="0"/>
                  <w:vAlign w:val="center"/>
                </w:tcPr>
                <w:p w14:paraId="47A2A0DB">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p>
              </w:tc>
              <w:tc>
                <w:tcPr>
                  <w:tcW w:w="499" w:type="dxa"/>
                  <w:vMerge w:val="continue"/>
                  <w:tcBorders>
                    <w:tl2br w:val="nil"/>
                    <w:tr2bl w:val="nil"/>
                  </w:tcBorders>
                  <w:noWrap w:val="0"/>
                  <w:vAlign w:val="center"/>
                </w:tcPr>
                <w:p w14:paraId="229A4128">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p>
              </w:tc>
              <w:tc>
                <w:tcPr>
                  <w:tcW w:w="987" w:type="dxa"/>
                  <w:tcBorders>
                    <w:tl2br w:val="nil"/>
                    <w:tr2bl w:val="nil"/>
                  </w:tcBorders>
                  <w:noWrap w:val="0"/>
                  <w:vAlign w:val="center"/>
                </w:tcPr>
                <w:p w14:paraId="1794C53D">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声压级/dB(A)</w:t>
                  </w:r>
                </w:p>
              </w:tc>
              <w:tc>
                <w:tcPr>
                  <w:tcW w:w="454" w:type="dxa"/>
                  <w:tcBorders>
                    <w:tl2br w:val="nil"/>
                    <w:tr2bl w:val="nil"/>
                  </w:tcBorders>
                  <w:noWrap w:val="0"/>
                  <w:vAlign w:val="center"/>
                </w:tcPr>
                <w:p w14:paraId="03E4E4A7">
                  <w:pPr>
                    <w:adjustRightInd w:val="0"/>
                    <w:snapToGrid w:val="0"/>
                    <w:spacing w:line="24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建筑物外距离</w:t>
                  </w:r>
                </w:p>
              </w:tc>
            </w:tr>
            <w:tr w14:paraId="6FFA1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restart"/>
                  <w:tcBorders>
                    <w:tl2br w:val="nil"/>
                    <w:tr2bl w:val="nil"/>
                  </w:tcBorders>
                  <w:noWrap w:val="0"/>
                  <w:vAlign w:val="center"/>
                </w:tcPr>
                <w:p w14:paraId="2CA3CC1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c>
                <w:tcPr>
                  <w:tcW w:w="949" w:type="dxa"/>
                  <w:vMerge w:val="restart"/>
                  <w:tcBorders>
                    <w:tl2br w:val="nil"/>
                    <w:tr2bl w:val="nil"/>
                  </w:tcBorders>
                  <w:noWrap w:val="0"/>
                  <w:vAlign w:val="center"/>
                </w:tcPr>
                <w:p w14:paraId="5D1F535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激光切割机</w:t>
                  </w:r>
                </w:p>
              </w:tc>
              <w:tc>
                <w:tcPr>
                  <w:tcW w:w="549" w:type="dxa"/>
                  <w:vMerge w:val="restart"/>
                  <w:tcBorders>
                    <w:tl2br w:val="nil"/>
                    <w:tr2bl w:val="nil"/>
                  </w:tcBorders>
                  <w:noWrap w:val="0"/>
                  <w:vAlign w:val="center"/>
                </w:tcPr>
                <w:p w14:paraId="0598DE5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85</w:t>
                  </w:r>
                </w:p>
              </w:tc>
              <w:tc>
                <w:tcPr>
                  <w:tcW w:w="518" w:type="dxa"/>
                  <w:vMerge w:val="restart"/>
                  <w:tcBorders>
                    <w:tl2br w:val="nil"/>
                    <w:tr2bl w:val="nil"/>
                  </w:tcBorders>
                  <w:noWrap w:val="0"/>
                  <w:vAlign w:val="center"/>
                </w:tcPr>
                <w:p w14:paraId="4A577DD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基础减振</w:t>
                  </w:r>
                  <w:r>
                    <w:rPr>
                      <w:rFonts w:hint="eastAsia" w:ascii="Times New Roman" w:hAnsi="Times New Roman" w:eastAsia="宋体" w:cs="Times New Roman"/>
                      <w:color w:val="auto"/>
                      <w:sz w:val="21"/>
                      <w:szCs w:val="21"/>
                      <w:u w:val="none" w:color="auto"/>
                      <w:lang w:val="en-US" w:eastAsia="zh-CN"/>
                    </w:rPr>
                    <w:t>、</w:t>
                  </w:r>
                  <w:r>
                    <w:rPr>
                      <w:rFonts w:hint="default" w:ascii="Times New Roman" w:hAnsi="Times New Roman" w:eastAsia="宋体" w:cs="Times New Roman"/>
                      <w:color w:val="auto"/>
                      <w:sz w:val="21"/>
                      <w:szCs w:val="21"/>
                      <w:u w:val="none" w:color="auto"/>
                      <w:lang w:val="en-US" w:eastAsia="zh-CN"/>
                    </w:rPr>
                    <w:t>墙体隔声等</w:t>
                  </w:r>
                </w:p>
              </w:tc>
              <w:tc>
                <w:tcPr>
                  <w:tcW w:w="453" w:type="dxa"/>
                  <w:vMerge w:val="restart"/>
                  <w:tcBorders>
                    <w:tl2br w:val="nil"/>
                    <w:tr2bl w:val="nil"/>
                  </w:tcBorders>
                  <w:noWrap w:val="0"/>
                  <w:vAlign w:val="center"/>
                </w:tcPr>
                <w:p w14:paraId="07D1FEA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30</w:t>
                  </w:r>
                </w:p>
              </w:tc>
              <w:tc>
                <w:tcPr>
                  <w:tcW w:w="491" w:type="dxa"/>
                  <w:vMerge w:val="restart"/>
                  <w:tcBorders>
                    <w:tl2br w:val="nil"/>
                    <w:tr2bl w:val="nil"/>
                  </w:tcBorders>
                  <w:noWrap w:val="0"/>
                  <w:vAlign w:val="center"/>
                </w:tcPr>
                <w:p w14:paraId="45B9870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18</w:t>
                  </w:r>
                </w:p>
              </w:tc>
              <w:tc>
                <w:tcPr>
                  <w:tcW w:w="585" w:type="dxa"/>
                  <w:vMerge w:val="restart"/>
                  <w:tcBorders>
                    <w:tl2br w:val="nil"/>
                    <w:tr2bl w:val="nil"/>
                  </w:tcBorders>
                  <w:noWrap w:val="0"/>
                  <w:vAlign w:val="center"/>
                </w:tcPr>
                <w:p w14:paraId="2F2D16D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w:t>
                  </w:r>
                </w:p>
              </w:tc>
              <w:tc>
                <w:tcPr>
                  <w:tcW w:w="453" w:type="dxa"/>
                  <w:tcBorders>
                    <w:tl2br w:val="nil"/>
                    <w:tr2bl w:val="nil"/>
                  </w:tcBorders>
                  <w:noWrap w:val="0"/>
                  <w:vAlign w:val="center"/>
                </w:tcPr>
                <w:p w14:paraId="641EE77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东</w:t>
                  </w:r>
                </w:p>
              </w:tc>
              <w:tc>
                <w:tcPr>
                  <w:tcW w:w="583" w:type="dxa"/>
                  <w:tcBorders>
                    <w:tl2br w:val="nil"/>
                    <w:tr2bl w:val="nil"/>
                  </w:tcBorders>
                  <w:noWrap w:val="0"/>
                  <w:vAlign w:val="center"/>
                </w:tcPr>
                <w:p w14:paraId="3E820AC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7</w:t>
                  </w:r>
                </w:p>
              </w:tc>
              <w:tc>
                <w:tcPr>
                  <w:tcW w:w="924" w:type="dxa"/>
                  <w:tcBorders>
                    <w:tl2br w:val="nil"/>
                    <w:tr2bl w:val="nil"/>
                  </w:tcBorders>
                  <w:noWrap w:val="0"/>
                  <w:vAlign w:val="center"/>
                </w:tcPr>
                <w:p w14:paraId="64AFF3A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68.52 </w:t>
                  </w:r>
                </w:p>
              </w:tc>
              <w:tc>
                <w:tcPr>
                  <w:tcW w:w="405" w:type="dxa"/>
                  <w:vMerge w:val="restart"/>
                  <w:tcBorders>
                    <w:tl2br w:val="nil"/>
                    <w:tr2bl w:val="nil"/>
                  </w:tcBorders>
                  <w:noWrap w:val="0"/>
                  <w:vAlign w:val="center"/>
                </w:tcPr>
                <w:p w14:paraId="5F5E762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cs="Times New Roman"/>
                      <w:color w:val="auto"/>
                      <w:sz w:val="21"/>
                      <w:szCs w:val="21"/>
                      <w:u w:val="none" w:color="auto"/>
                      <w:lang w:val="en-US" w:eastAsia="zh-CN"/>
                    </w:rPr>
                    <w:t>昼间</w:t>
                  </w:r>
                </w:p>
              </w:tc>
              <w:tc>
                <w:tcPr>
                  <w:tcW w:w="499" w:type="dxa"/>
                  <w:vMerge w:val="restart"/>
                  <w:tcBorders>
                    <w:tl2br w:val="nil"/>
                    <w:tr2bl w:val="nil"/>
                  </w:tcBorders>
                  <w:noWrap w:val="0"/>
                  <w:vAlign w:val="center"/>
                </w:tcPr>
                <w:p w14:paraId="2DD6C87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26</w:t>
                  </w:r>
                </w:p>
              </w:tc>
              <w:tc>
                <w:tcPr>
                  <w:tcW w:w="987" w:type="dxa"/>
                  <w:tcBorders>
                    <w:tl2br w:val="nil"/>
                    <w:tr2bl w:val="nil"/>
                  </w:tcBorders>
                  <w:noWrap w:val="0"/>
                  <w:vAlign w:val="center"/>
                </w:tcPr>
                <w:p w14:paraId="5661EA2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42.52 </w:t>
                  </w:r>
                </w:p>
              </w:tc>
              <w:tc>
                <w:tcPr>
                  <w:tcW w:w="454" w:type="dxa"/>
                  <w:tcBorders>
                    <w:tl2br w:val="nil"/>
                    <w:tr2bl w:val="nil"/>
                  </w:tcBorders>
                  <w:noWrap w:val="0"/>
                  <w:vAlign w:val="center"/>
                </w:tcPr>
                <w:p w14:paraId="2B808A6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701B6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2153AD1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7B5A9F2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46F05B8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1F61A06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2566DE9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74BA825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2A24A3F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5332063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南</w:t>
                  </w:r>
                </w:p>
              </w:tc>
              <w:tc>
                <w:tcPr>
                  <w:tcW w:w="583" w:type="dxa"/>
                  <w:tcBorders>
                    <w:tl2br w:val="nil"/>
                    <w:tr2bl w:val="nil"/>
                  </w:tcBorders>
                  <w:noWrap w:val="0"/>
                  <w:vAlign w:val="center"/>
                </w:tcPr>
                <w:p w14:paraId="25A9C76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60</w:t>
                  </w:r>
                </w:p>
              </w:tc>
              <w:tc>
                <w:tcPr>
                  <w:tcW w:w="924" w:type="dxa"/>
                  <w:tcBorders>
                    <w:tl2br w:val="nil"/>
                    <w:tr2bl w:val="nil"/>
                  </w:tcBorders>
                  <w:noWrap w:val="0"/>
                  <w:vAlign w:val="center"/>
                </w:tcPr>
                <w:p w14:paraId="109255A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67.07 </w:t>
                  </w:r>
                </w:p>
              </w:tc>
              <w:tc>
                <w:tcPr>
                  <w:tcW w:w="405" w:type="dxa"/>
                  <w:vMerge w:val="continue"/>
                  <w:tcBorders>
                    <w:tl2br w:val="nil"/>
                    <w:tr2bl w:val="nil"/>
                  </w:tcBorders>
                  <w:noWrap w:val="0"/>
                  <w:vAlign w:val="center"/>
                </w:tcPr>
                <w:p w14:paraId="4709E2C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62CF1CC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15A3AFF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41.07 </w:t>
                  </w:r>
                </w:p>
              </w:tc>
              <w:tc>
                <w:tcPr>
                  <w:tcW w:w="454" w:type="dxa"/>
                  <w:tcBorders>
                    <w:tl2br w:val="nil"/>
                    <w:tr2bl w:val="nil"/>
                  </w:tcBorders>
                  <w:noWrap w:val="0"/>
                  <w:vAlign w:val="center"/>
                </w:tcPr>
                <w:p w14:paraId="6BDD37C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6E8E4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296BB82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1C0A0FE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075176A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25D9A67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24D708C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6CEA719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0F029A1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371818F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西</w:t>
                  </w:r>
                </w:p>
              </w:tc>
              <w:tc>
                <w:tcPr>
                  <w:tcW w:w="583" w:type="dxa"/>
                  <w:tcBorders>
                    <w:tl2br w:val="nil"/>
                    <w:tr2bl w:val="nil"/>
                  </w:tcBorders>
                  <w:noWrap w:val="0"/>
                  <w:vAlign w:val="center"/>
                </w:tcPr>
                <w:p w14:paraId="533CCA7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68</w:t>
                  </w:r>
                </w:p>
              </w:tc>
              <w:tc>
                <w:tcPr>
                  <w:tcW w:w="924" w:type="dxa"/>
                  <w:tcBorders>
                    <w:tl2br w:val="nil"/>
                    <w:tr2bl w:val="nil"/>
                  </w:tcBorders>
                  <w:noWrap w:val="0"/>
                  <w:vAlign w:val="center"/>
                </w:tcPr>
                <w:p w14:paraId="6278F89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67.06 </w:t>
                  </w:r>
                </w:p>
              </w:tc>
              <w:tc>
                <w:tcPr>
                  <w:tcW w:w="405" w:type="dxa"/>
                  <w:vMerge w:val="continue"/>
                  <w:tcBorders>
                    <w:tl2br w:val="nil"/>
                    <w:tr2bl w:val="nil"/>
                  </w:tcBorders>
                  <w:noWrap w:val="0"/>
                  <w:vAlign w:val="center"/>
                </w:tcPr>
                <w:p w14:paraId="156F4B1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2F203C3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618A630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41.06 </w:t>
                  </w:r>
                </w:p>
              </w:tc>
              <w:tc>
                <w:tcPr>
                  <w:tcW w:w="454" w:type="dxa"/>
                  <w:tcBorders>
                    <w:tl2br w:val="nil"/>
                    <w:tr2bl w:val="nil"/>
                  </w:tcBorders>
                  <w:noWrap w:val="0"/>
                  <w:vAlign w:val="center"/>
                </w:tcPr>
                <w:p w14:paraId="7F1BB04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0B821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1405B3E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47B180F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1CE5EEB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3C5290B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7803713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2FBDB53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3B43B07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74DB3A8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北</w:t>
                  </w:r>
                </w:p>
              </w:tc>
              <w:tc>
                <w:tcPr>
                  <w:tcW w:w="583" w:type="dxa"/>
                  <w:tcBorders>
                    <w:tl2br w:val="nil"/>
                    <w:tr2bl w:val="nil"/>
                  </w:tcBorders>
                  <w:noWrap w:val="0"/>
                  <w:vAlign w:val="center"/>
                </w:tcPr>
                <w:p w14:paraId="2AB7B3B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26</w:t>
                  </w:r>
                </w:p>
              </w:tc>
              <w:tc>
                <w:tcPr>
                  <w:tcW w:w="924" w:type="dxa"/>
                  <w:tcBorders>
                    <w:tl2br w:val="nil"/>
                    <w:tr2bl w:val="nil"/>
                  </w:tcBorders>
                  <w:noWrap w:val="0"/>
                  <w:vAlign w:val="center"/>
                </w:tcPr>
                <w:p w14:paraId="14B8A12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67.17 </w:t>
                  </w:r>
                </w:p>
              </w:tc>
              <w:tc>
                <w:tcPr>
                  <w:tcW w:w="405" w:type="dxa"/>
                  <w:vMerge w:val="continue"/>
                  <w:tcBorders>
                    <w:tl2br w:val="nil"/>
                    <w:tr2bl w:val="nil"/>
                  </w:tcBorders>
                  <w:noWrap w:val="0"/>
                  <w:vAlign w:val="center"/>
                </w:tcPr>
                <w:p w14:paraId="1942A83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3989A16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403F37E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41.17 </w:t>
                  </w:r>
                </w:p>
              </w:tc>
              <w:tc>
                <w:tcPr>
                  <w:tcW w:w="454" w:type="dxa"/>
                  <w:tcBorders>
                    <w:tl2br w:val="nil"/>
                    <w:tr2bl w:val="nil"/>
                  </w:tcBorders>
                  <w:noWrap w:val="0"/>
                  <w:vAlign w:val="center"/>
                </w:tcPr>
                <w:p w14:paraId="4C7AB80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530FD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restart"/>
                  <w:tcBorders>
                    <w:tl2br w:val="nil"/>
                    <w:tr2bl w:val="nil"/>
                  </w:tcBorders>
                  <w:noWrap w:val="0"/>
                  <w:vAlign w:val="center"/>
                </w:tcPr>
                <w:p w14:paraId="7E72EF1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2</w:t>
                  </w:r>
                </w:p>
              </w:tc>
              <w:tc>
                <w:tcPr>
                  <w:tcW w:w="949" w:type="dxa"/>
                  <w:vMerge w:val="restart"/>
                  <w:tcBorders>
                    <w:tl2br w:val="nil"/>
                    <w:tr2bl w:val="nil"/>
                  </w:tcBorders>
                  <w:noWrap w:val="0"/>
                  <w:vAlign w:val="center"/>
                </w:tcPr>
                <w:p w14:paraId="0458846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钢板剪板机</w:t>
                  </w:r>
                </w:p>
              </w:tc>
              <w:tc>
                <w:tcPr>
                  <w:tcW w:w="549" w:type="dxa"/>
                  <w:vMerge w:val="restart"/>
                  <w:tcBorders>
                    <w:tl2br w:val="nil"/>
                    <w:tr2bl w:val="nil"/>
                  </w:tcBorders>
                  <w:noWrap w:val="0"/>
                  <w:vAlign w:val="center"/>
                </w:tcPr>
                <w:p w14:paraId="15ABABB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85</w:t>
                  </w:r>
                </w:p>
              </w:tc>
              <w:tc>
                <w:tcPr>
                  <w:tcW w:w="518" w:type="dxa"/>
                  <w:vMerge w:val="continue"/>
                  <w:tcBorders>
                    <w:tl2br w:val="nil"/>
                    <w:tr2bl w:val="nil"/>
                  </w:tcBorders>
                  <w:noWrap w:val="0"/>
                  <w:vAlign w:val="center"/>
                </w:tcPr>
                <w:p w14:paraId="05D84C3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restart"/>
                  <w:tcBorders>
                    <w:tl2br w:val="nil"/>
                    <w:tr2bl w:val="nil"/>
                  </w:tcBorders>
                  <w:noWrap w:val="0"/>
                  <w:vAlign w:val="center"/>
                </w:tcPr>
                <w:p w14:paraId="32846F7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11</w:t>
                  </w:r>
                </w:p>
              </w:tc>
              <w:tc>
                <w:tcPr>
                  <w:tcW w:w="491" w:type="dxa"/>
                  <w:vMerge w:val="restart"/>
                  <w:tcBorders>
                    <w:tl2br w:val="nil"/>
                    <w:tr2bl w:val="nil"/>
                  </w:tcBorders>
                  <w:noWrap w:val="0"/>
                  <w:vAlign w:val="center"/>
                </w:tcPr>
                <w:p w14:paraId="49AFDB3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19</w:t>
                  </w:r>
                </w:p>
              </w:tc>
              <w:tc>
                <w:tcPr>
                  <w:tcW w:w="585" w:type="dxa"/>
                  <w:vMerge w:val="restart"/>
                  <w:tcBorders>
                    <w:tl2br w:val="nil"/>
                    <w:tr2bl w:val="nil"/>
                  </w:tcBorders>
                  <w:noWrap w:val="0"/>
                  <w:vAlign w:val="center"/>
                </w:tcPr>
                <w:p w14:paraId="475F19A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w:t>
                  </w:r>
                </w:p>
              </w:tc>
              <w:tc>
                <w:tcPr>
                  <w:tcW w:w="453" w:type="dxa"/>
                  <w:tcBorders>
                    <w:tl2br w:val="nil"/>
                    <w:tr2bl w:val="nil"/>
                  </w:tcBorders>
                  <w:noWrap w:val="0"/>
                  <w:vAlign w:val="center"/>
                </w:tcPr>
                <w:p w14:paraId="052149A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东</w:t>
                  </w:r>
                </w:p>
              </w:tc>
              <w:tc>
                <w:tcPr>
                  <w:tcW w:w="583" w:type="dxa"/>
                  <w:tcBorders>
                    <w:tl2br w:val="nil"/>
                    <w:tr2bl w:val="nil"/>
                  </w:tcBorders>
                  <w:noWrap w:val="0"/>
                  <w:vAlign w:val="center"/>
                </w:tcPr>
                <w:p w14:paraId="0F2B683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25</w:t>
                  </w:r>
                </w:p>
              </w:tc>
              <w:tc>
                <w:tcPr>
                  <w:tcW w:w="924" w:type="dxa"/>
                  <w:tcBorders>
                    <w:tl2br w:val="nil"/>
                    <w:tr2bl w:val="nil"/>
                  </w:tcBorders>
                  <w:noWrap w:val="0"/>
                  <w:vAlign w:val="center"/>
                </w:tcPr>
                <w:p w14:paraId="4BD3AAA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67.18 </w:t>
                  </w:r>
                </w:p>
              </w:tc>
              <w:tc>
                <w:tcPr>
                  <w:tcW w:w="405" w:type="dxa"/>
                  <w:vMerge w:val="continue"/>
                  <w:tcBorders>
                    <w:tl2br w:val="nil"/>
                    <w:tr2bl w:val="nil"/>
                  </w:tcBorders>
                  <w:noWrap w:val="0"/>
                  <w:vAlign w:val="center"/>
                </w:tcPr>
                <w:p w14:paraId="0861147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675782F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31AD2F2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41.18 </w:t>
                  </w:r>
                </w:p>
              </w:tc>
              <w:tc>
                <w:tcPr>
                  <w:tcW w:w="454" w:type="dxa"/>
                  <w:tcBorders>
                    <w:tl2br w:val="nil"/>
                    <w:tr2bl w:val="nil"/>
                  </w:tcBorders>
                  <w:noWrap w:val="0"/>
                  <w:vAlign w:val="center"/>
                </w:tcPr>
                <w:p w14:paraId="02DD666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752D5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6D425D7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49F42FC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137437D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632A006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2043094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04ABDD7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464FC1A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7648185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南</w:t>
                  </w:r>
                </w:p>
              </w:tc>
              <w:tc>
                <w:tcPr>
                  <w:tcW w:w="583" w:type="dxa"/>
                  <w:tcBorders>
                    <w:tl2br w:val="nil"/>
                    <w:tr2bl w:val="nil"/>
                  </w:tcBorders>
                  <w:noWrap w:val="0"/>
                  <w:vAlign w:val="center"/>
                </w:tcPr>
                <w:p w14:paraId="7F3B17A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65</w:t>
                  </w:r>
                </w:p>
              </w:tc>
              <w:tc>
                <w:tcPr>
                  <w:tcW w:w="924" w:type="dxa"/>
                  <w:tcBorders>
                    <w:tl2br w:val="nil"/>
                    <w:tr2bl w:val="nil"/>
                  </w:tcBorders>
                  <w:noWrap w:val="0"/>
                  <w:vAlign w:val="center"/>
                </w:tcPr>
                <w:p w14:paraId="0A50C63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67.06 </w:t>
                  </w:r>
                </w:p>
              </w:tc>
              <w:tc>
                <w:tcPr>
                  <w:tcW w:w="405" w:type="dxa"/>
                  <w:vMerge w:val="continue"/>
                  <w:tcBorders>
                    <w:tl2br w:val="nil"/>
                    <w:tr2bl w:val="nil"/>
                  </w:tcBorders>
                  <w:noWrap w:val="0"/>
                  <w:vAlign w:val="center"/>
                </w:tcPr>
                <w:p w14:paraId="159A006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364271E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20A982A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41.06 </w:t>
                  </w:r>
                </w:p>
              </w:tc>
              <w:tc>
                <w:tcPr>
                  <w:tcW w:w="454" w:type="dxa"/>
                  <w:tcBorders>
                    <w:tl2br w:val="nil"/>
                    <w:tr2bl w:val="nil"/>
                  </w:tcBorders>
                  <w:noWrap w:val="0"/>
                  <w:vAlign w:val="center"/>
                </w:tcPr>
                <w:p w14:paraId="611CEC4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2EE31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72B654F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513EEC3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00CF740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43DF0D5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0F02553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12BCE77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799C280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1DF8591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西</w:t>
                  </w:r>
                </w:p>
              </w:tc>
              <w:tc>
                <w:tcPr>
                  <w:tcW w:w="583" w:type="dxa"/>
                  <w:tcBorders>
                    <w:tl2br w:val="nil"/>
                    <w:tr2bl w:val="nil"/>
                  </w:tcBorders>
                  <w:noWrap w:val="0"/>
                  <w:vAlign w:val="center"/>
                </w:tcPr>
                <w:p w14:paraId="64959DC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49</w:t>
                  </w:r>
                </w:p>
              </w:tc>
              <w:tc>
                <w:tcPr>
                  <w:tcW w:w="924" w:type="dxa"/>
                  <w:tcBorders>
                    <w:tl2br w:val="nil"/>
                    <w:tr2bl w:val="nil"/>
                  </w:tcBorders>
                  <w:noWrap w:val="0"/>
                  <w:vAlign w:val="center"/>
                </w:tcPr>
                <w:p w14:paraId="5B2634B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67.08 </w:t>
                  </w:r>
                </w:p>
              </w:tc>
              <w:tc>
                <w:tcPr>
                  <w:tcW w:w="405" w:type="dxa"/>
                  <w:vMerge w:val="continue"/>
                  <w:tcBorders>
                    <w:tl2br w:val="nil"/>
                    <w:tr2bl w:val="nil"/>
                  </w:tcBorders>
                  <w:noWrap w:val="0"/>
                  <w:vAlign w:val="center"/>
                </w:tcPr>
                <w:p w14:paraId="45F9EAC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205F515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36DE139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41.08 </w:t>
                  </w:r>
                </w:p>
              </w:tc>
              <w:tc>
                <w:tcPr>
                  <w:tcW w:w="454" w:type="dxa"/>
                  <w:tcBorders>
                    <w:tl2br w:val="nil"/>
                    <w:tr2bl w:val="nil"/>
                  </w:tcBorders>
                  <w:noWrap w:val="0"/>
                  <w:vAlign w:val="center"/>
                </w:tcPr>
                <w:p w14:paraId="6019711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155F1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2A1D810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1B64280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70D1E09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4D87C98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33ACCC4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3B6B268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3220B0A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36CB468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北</w:t>
                  </w:r>
                </w:p>
              </w:tc>
              <w:tc>
                <w:tcPr>
                  <w:tcW w:w="583" w:type="dxa"/>
                  <w:tcBorders>
                    <w:tl2br w:val="nil"/>
                    <w:tr2bl w:val="nil"/>
                  </w:tcBorders>
                  <w:noWrap w:val="0"/>
                  <w:vAlign w:val="center"/>
                </w:tcPr>
                <w:p w14:paraId="53127BA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25</w:t>
                  </w:r>
                </w:p>
              </w:tc>
              <w:tc>
                <w:tcPr>
                  <w:tcW w:w="924" w:type="dxa"/>
                  <w:tcBorders>
                    <w:tl2br w:val="nil"/>
                    <w:tr2bl w:val="nil"/>
                  </w:tcBorders>
                  <w:noWrap w:val="0"/>
                  <w:vAlign w:val="center"/>
                </w:tcPr>
                <w:p w14:paraId="30138C8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67.18 </w:t>
                  </w:r>
                </w:p>
              </w:tc>
              <w:tc>
                <w:tcPr>
                  <w:tcW w:w="405" w:type="dxa"/>
                  <w:vMerge w:val="continue"/>
                  <w:tcBorders>
                    <w:tl2br w:val="nil"/>
                    <w:tr2bl w:val="nil"/>
                  </w:tcBorders>
                  <w:noWrap w:val="0"/>
                  <w:vAlign w:val="center"/>
                </w:tcPr>
                <w:p w14:paraId="2F1E845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08C0B95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1560B5E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41.18 </w:t>
                  </w:r>
                </w:p>
              </w:tc>
              <w:tc>
                <w:tcPr>
                  <w:tcW w:w="454" w:type="dxa"/>
                  <w:tcBorders>
                    <w:tl2br w:val="nil"/>
                    <w:tr2bl w:val="nil"/>
                  </w:tcBorders>
                  <w:noWrap w:val="0"/>
                  <w:vAlign w:val="center"/>
                </w:tcPr>
                <w:p w14:paraId="364D8F3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65D3B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restart"/>
                  <w:tcBorders>
                    <w:tl2br w:val="nil"/>
                    <w:tr2bl w:val="nil"/>
                  </w:tcBorders>
                  <w:noWrap w:val="0"/>
                  <w:vAlign w:val="center"/>
                </w:tcPr>
                <w:p w14:paraId="5D8024E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w:t>
                  </w:r>
                </w:p>
              </w:tc>
              <w:tc>
                <w:tcPr>
                  <w:tcW w:w="949" w:type="dxa"/>
                  <w:vMerge w:val="restart"/>
                  <w:tcBorders>
                    <w:tl2br w:val="nil"/>
                    <w:tr2bl w:val="nil"/>
                  </w:tcBorders>
                  <w:noWrap w:val="0"/>
                  <w:vAlign w:val="center"/>
                </w:tcPr>
                <w:p w14:paraId="3396023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钢板折弯机</w:t>
                  </w:r>
                </w:p>
              </w:tc>
              <w:tc>
                <w:tcPr>
                  <w:tcW w:w="549" w:type="dxa"/>
                  <w:vMerge w:val="restart"/>
                  <w:tcBorders>
                    <w:tl2br w:val="nil"/>
                    <w:tr2bl w:val="nil"/>
                  </w:tcBorders>
                  <w:noWrap w:val="0"/>
                  <w:vAlign w:val="center"/>
                </w:tcPr>
                <w:p w14:paraId="409939A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85</w:t>
                  </w:r>
                </w:p>
              </w:tc>
              <w:tc>
                <w:tcPr>
                  <w:tcW w:w="518" w:type="dxa"/>
                  <w:vMerge w:val="continue"/>
                  <w:tcBorders>
                    <w:tl2br w:val="nil"/>
                    <w:tr2bl w:val="nil"/>
                  </w:tcBorders>
                  <w:noWrap w:val="0"/>
                  <w:vAlign w:val="center"/>
                </w:tcPr>
                <w:p w14:paraId="1F5D452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restart"/>
                  <w:tcBorders>
                    <w:tl2br w:val="nil"/>
                    <w:tr2bl w:val="nil"/>
                  </w:tcBorders>
                  <w:noWrap w:val="0"/>
                  <w:vAlign w:val="center"/>
                </w:tcPr>
                <w:p w14:paraId="67366FA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21</w:t>
                  </w:r>
                </w:p>
              </w:tc>
              <w:tc>
                <w:tcPr>
                  <w:tcW w:w="491" w:type="dxa"/>
                  <w:vMerge w:val="restart"/>
                  <w:tcBorders>
                    <w:tl2br w:val="nil"/>
                    <w:tr2bl w:val="nil"/>
                  </w:tcBorders>
                  <w:noWrap w:val="0"/>
                  <w:vAlign w:val="center"/>
                </w:tcPr>
                <w:p w14:paraId="13F8957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19</w:t>
                  </w:r>
                </w:p>
              </w:tc>
              <w:tc>
                <w:tcPr>
                  <w:tcW w:w="585" w:type="dxa"/>
                  <w:vMerge w:val="restart"/>
                  <w:tcBorders>
                    <w:tl2br w:val="nil"/>
                    <w:tr2bl w:val="nil"/>
                  </w:tcBorders>
                  <w:noWrap w:val="0"/>
                  <w:vAlign w:val="center"/>
                </w:tcPr>
                <w:p w14:paraId="71C76D7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w:t>
                  </w:r>
                </w:p>
              </w:tc>
              <w:tc>
                <w:tcPr>
                  <w:tcW w:w="453" w:type="dxa"/>
                  <w:tcBorders>
                    <w:tl2br w:val="nil"/>
                    <w:tr2bl w:val="nil"/>
                  </w:tcBorders>
                  <w:noWrap w:val="0"/>
                  <w:vAlign w:val="center"/>
                </w:tcPr>
                <w:p w14:paraId="2545B65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东</w:t>
                  </w:r>
                </w:p>
              </w:tc>
              <w:tc>
                <w:tcPr>
                  <w:tcW w:w="583" w:type="dxa"/>
                  <w:tcBorders>
                    <w:tl2br w:val="nil"/>
                    <w:tr2bl w:val="nil"/>
                  </w:tcBorders>
                  <w:noWrap w:val="0"/>
                  <w:vAlign w:val="center"/>
                </w:tcPr>
                <w:p w14:paraId="6811DD4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14</w:t>
                  </w:r>
                </w:p>
              </w:tc>
              <w:tc>
                <w:tcPr>
                  <w:tcW w:w="924" w:type="dxa"/>
                  <w:tcBorders>
                    <w:tl2br w:val="nil"/>
                    <w:tr2bl w:val="nil"/>
                  </w:tcBorders>
                  <w:noWrap w:val="0"/>
                  <w:vAlign w:val="center"/>
                </w:tcPr>
                <w:p w14:paraId="7036383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67.26 </w:t>
                  </w:r>
                </w:p>
              </w:tc>
              <w:tc>
                <w:tcPr>
                  <w:tcW w:w="405" w:type="dxa"/>
                  <w:vMerge w:val="continue"/>
                  <w:tcBorders>
                    <w:tl2br w:val="nil"/>
                    <w:tr2bl w:val="nil"/>
                  </w:tcBorders>
                  <w:noWrap w:val="0"/>
                  <w:vAlign w:val="center"/>
                </w:tcPr>
                <w:p w14:paraId="1EC2907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50ADF9A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621E898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41.26 </w:t>
                  </w:r>
                </w:p>
              </w:tc>
              <w:tc>
                <w:tcPr>
                  <w:tcW w:w="454" w:type="dxa"/>
                  <w:tcBorders>
                    <w:tl2br w:val="nil"/>
                    <w:tr2bl w:val="nil"/>
                  </w:tcBorders>
                  <w:noWrap w:val="0"/>
                  <w:vAlign w:val="center"/>
                </w:tcPr>
                <w:p w14:paraId="5138965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320BF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13E0A1F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2DB6AF0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5D0C3B8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1ED2101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7DB829E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69F44CC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3266956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5987B89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南</w:t>
                  </w:r>
                </w:p>
              </w:tc>
              <w:tc>
                <w:tcPr>
                  <w:tcW w:w="583" w:type="dxa"/>
                  <w:tcBorders>
                    <w:tl2br w:val="nil"/>
                    <w:tr2bl w:val="nil"/>
                  </w:tcBorders>
                  <w:noWrap w:val="0"/>
                  <w:vAlign w:val="center"/>
                </w:tcPr>
                <w:p w14:paraId="389B11B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62</w:t>
                  </w:r>
                </w:p>
              </w:tc>
              <w:tc>
                <w:tcPr>
                  <w:tcW w:w="924" w:type="dxa"/>
                  <w:tcBorders>
                    <w:tl2br w:val="nil"/>
                    <w:tr2bl w:val="nil"/>
                  </w:tcBorders>
                  <w:noWrap w:val="0"/>
                  <w:vAlign w:val="center"/>
                </w:tcPr>
                <w:p w14:paraId="69291AD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67.05 </w:t>
                  </w:r>
                </w:p>
              </w:tc>
              <w:tc>
                <w:tcPr>
                  <w:tcW w:w="405" w:type="dxa"/>
                  <w:vMerge w:val="continue"/>
                  <w:tcBorders>
                    <w:tl2br w:val="nil"/>
                    <w:tr2bl w:val="nil"/>
                  </w:tcBorders>
                  <w:noWrap w:val="0"/>
                  <w:vAlign w:val="center"/>
                </w:tcPr>
                <w:p w14:paraId="3964392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376F681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20EFF55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41.05 </w:t>
                  </w:r>
                </w:p>
              </w:tc>
              <w:tc>
                <w:tcPr>
                  <w:tcW w:w="454" w:type="dxa"/>
                  <w:tcBorders>
                    <w:tl2br w:val="nil"/>
                    <w:tr2bl w:val="nil"/>
                  </w:tcBorders>
                  <w:noWrap w:val="0"/>
                  <w:vAlign w:val="center"/>
                </w:tcPr>
                <w:p w14:paraId="1FA9175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45027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7F0FE6A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57C842C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4C2ADF1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68EE627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78C795C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478E352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70910BE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61C4589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西</w:t>
                  </w:r>
                </w:p>
              </w:tc>
              <w:tc>
                <w:tcPr>
                  <w:tcW w:w="583" w:type="dxa"/>
                  <w:tcBorders>
                    <w:tl2br w:val="nil"/>
                    <w:tr2bl w:val="nil"/>
                  </w:tcBorders>
                  <w:noWrap w:val="0"/>
                  <w:vAlign w:val="center"/>
                </w:tcPr>
                <w:p w14:paraId="540756D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60</w:t>
                  </w:r>
                </w:p>
              </w:tc>
              <w:tc>
                <w:tcPr>
                  <w:tcW w:w="924" w:type="dxa"/>
                  <w:tcBorders>
                    <w:tl2br w:val="nil"/>
                    <w:tr2bl w:val="nil"/>
                  </w:tcBorders>
                  <w:noWrap w:val="0"/>
                  <w:vAlign w:val="center"/>
                </w:tcPr>
                <w:p w14:paraId="7116995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67.05 </w:t>
                  </w:r>
                </w:p>
              </w:tc>
              <w:tc>
                <w:tcPr>
                  <w:tcW w:w="405" w:type="dxa"/>
                  <w:vMerge w:val="continue"/>
                  <w:tcBorders>
                    <w:tl2br w:val="nil"/>
                    <w:tr2bl w:val="nil"/>
                  </w:tcBorders>
                  <w:noWrap w:val="0"/>
                  <w:vAlign w:val="center"/>
                </w:tcPr>
                <w:p w14:paraId="2679AF6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23DAF70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374C714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41.05 </w:t>
                  </w:r>
                </w:p>
              </w:tc>
              <w:tc>
                <w:tcPr>
                  <w:tcW w:w="454" w:type="dxa"/>
                  <w:tcBorders>
                    <w:tl2br w:val="nil"/>
                    <w:tr2bl w:val="nil"/>
                  </w:tcBorders>
                  <w:noWrap w:val="0"/>
                  <w:vAlign w:val="center"/>
                </w:tcPr>
                <w:p w14:paraId="5D78D68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7ED46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2EF2088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4A4103C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4C202A1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13734D0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6AB2221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1455738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66280BA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6204FAA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北</w:t>
                  </w:r>
                </w:p>
              </w:tc>
              <w:tc>
                <w:tcPr>
                  <w:tcW w:w="583" w:type="dxa"/>
                  <w:tcBorders>
                    <w:tl2br w:val="nil"/>
                    <w:tr2bl w:val="nil"/>
                  </w:tcBorders>
                  <w:noWrap w:val="0"/>
                  <w:vAlign w:val="center"/>
                </w:tcPr>
                <w:p w14:paraId="02236BC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25</w:t>
                  </w:r>
                </w:p>
              </w:tc>
              <w:tc>
                <w:tcPr>
                  <w:tcW w:w="924" w:type="dxa"/>
                  <w:tcBorders>
                    <w:tl2br w:val="nil"/>
                    <w:tr2bl w:val="nil"/>
                  </w:tcBorders>
                  <w:noWrap w:val="0"/>
                  <w:vAlign w:val="center"/>
                </w:tcPr>
                <w:p w14:paraId="6E6FC9B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67.11 </w:t>
                  </w:r>
                </w:p>
              </w:tc>
              <w:tc>
                <w:tcPr>
                  <w:tcW w:w="405" w:type="dxa"/>
                  <w:vMerge w:val="continue"/>
                  <w:tcBorders>
                    <w:tl2br w:val="nil"/>
                    <w:tr2bl w:val="nil"/>
                  </w:tcBorders>
                  <w:noWrap w:val="0"/>
                  <w:vAlign w:val="center"/>
                </w:tcPr>
                <w:p w14:paraId="4CB29D1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37E7CF3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316A2FC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41.11 </w:t>
                  </w:r>
                </w:p>
              </w:tc>
              <w:tc>
                <w:tcPr>
                  <w:tcW w:w="454" w:type="dxa"/>
                  <w:tcBorders>
                    <w:tl2br w:val="nil"/>
                    <w:tr2bl w:val="nil"/>
                  </w:tcBorders>
                  <w:noWrap w:val="0"/>
                  <w:vAlign w:val="center"/>
                </w:tcPr>
                <w:p w14:paraId="27FD5BD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2C0FA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restart"/>
                  <w:tcBorders>
                    <w:tl2br w:val="nil"/>
                    <w:tr2bl w:val="nil"/>
                  </w:tcBorders>
                  <w:noWrap w:val="0"/>
                  <w:vAlign w:val="center"/>
                </w:tcPr>
                <w:p w14:paraId="1065C8E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4</w:t>
                  </w:r>
                </w:p>
              </w:tc>
              <w:tc>
                <w:tcPr>
                  <w:tcW w:w="949" w:type="dxa"/>
                  <w:vMerge w:val="restart"/>
                  <w:tcBorders>
                    <w:tl2br w:val="nil"/>
                    <w:tr2bl w:val="nil"/>
                  </w:tcBorders>
                  <w:noWrap w:val="0"/>
                  <w:vAlign w:val="center"/>
                </w:tcPr>
                <w:p w14:paraId="647073C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自动小型钢板滚圆机</w:t>
                  </w:r>
                </w:p>
              </w:tc>
              <w:tc>
                <w:tcPr>
                  <w:tcW w:w="549" w:type="dxa"/>
                  <w:vMerge w:val="restart"/>
                  <w:tcBorders>
                    <w:tl2br w:val="nil"/>
                    <w:tr2bl w:val="nil"/>
                  </w:tcBorders>
                  <w:noWrap w:val="0"/>
                  <w:vAlign w:val="center"/>
                </w:tcPr>
                <w:p w14:paraId="43C0EBD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75</w:t>
                  </w:r>
                </w:p>
              </w:tc>
              <w:tc>
                <w:tcPr>
                  <w:tcW w:w="518" w:type="dxa"/>
                  <w:vMerge w:val="continue"/>
                  <w:tcBorders>
                    <w:tl2br w:val="nil"/>
                    <w:tr2bl w:val="nil"/>
                  </w:tcBorders>
                  <w:noWrap w:val="0"/>
                  <w:vAlign w:val="center"/>
                </w:tcPr>
                <w:p w14:paraId="0D13912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restart"/>
                  <w:tcBorders>
                    <w:tl2br w:val="nil"/>
                    <w:tr2bl w:val="nil"/>
                  </w:tcBorders>
                  <w:noWrap w:val="0"/>
                  <w:vAlign w:val="center"/>
                </w:tcPr>
                <w:p w14:paraId="15483A9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22</w:t>
                  </w:r>
                </w:p>
              </w:tc>
              <w:tc>
                <w:tcPr>
                  <w:tcW w:w="491" w:type="dxa"/>
                  <w:vMerge w:val="restart"/>
                  <w:tcBorders>
                    <w:tl2br w:val="nil"/>
                    <w:tr2bl w:val="nil"/>
                  </w:tcBorders>
                  <w:noWrap w:val="0"/>
                  <w:vAlign w:val="center"/>
                </w:tcPr>
                <w:p w14:paraId="68F0955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10</w:t>
                  </w:r>
                </w:p>
              </w:tc>
              <w:tc>
                <w:tcPr>
                  <w:tcW w:w="585" w:type="dxa"/>
                  <w:vMerge w:val="restart"/>
                  <w:tcBorders>
                    <w:tl2br w:val="nil"/>
                    <w:tr2bl w:val="nil"/>
                  </w:tcBorders>
                  <w:noWrap w:val="0"/>
                  <w:vAlign w:val="center"/>
                </w:tcPr>
                <w:p w14:paraId="3E56591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w:t>
                  </w:r>
                </w:p>
              </w:tc>
              <w:tc>
                <w:tcPr>
                  <w:tcW w:w="453" w:type="dxa"/>
                  <w:tcBorders>
                    <w:tl2br w:val="nil"/>
                    <w:tr2bl w:val="nil"/>
                  </w:tcBorders>
                  <w:noWrap w:val="0"/>
                  <w:vAlign w:val="center"/>
                </w:tcPr>
                <w:p w14:paraId="7F55646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东</w:t>
                  </w:r>
                </w:p>
              </w:tc>
              <w:tc>
                <w:tcPr>
                  <w:tcW w:w="583" w:type="dxa"/>
                  <w:tcBorders>
                    <w:tl2br w:val="nil"/>
                    <w:tr2bl w:val="nil"/>
                  </w:tcBorders>
                  <w:noWrap w:val="0"/>
                  <w:vAlign w:val="center"/>
                </w:tcPr>
                <w:p w14:paraId="7626B7A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16</w:t>
                  </w:r>
                </w:p>
              </w:tc>
              <w:tc>
                <w:tcPr>
                  <w:tcW w:w="924" w:type="dxa"/>
                  <w:tcBorders>
                    <w:tl2br w:val="nil"/>
                    <w:tr2bl w:val="nil"/>
                  </w:tcBorders>
                  <w:noWrap w:val="0"/>
                  <w:vAlign w:val="center"/>
                </w:tcPr>
                <w:p w14:paraId="7597D2E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57.21 </w:t>
                  </w:r>
                </w:p>
              </w:tc>
              <w:tc>
                <w:tcPr>
                  <w:tcW w:w="405" w:type="dxa"/>
                  <w:vMerge w:val="continue"/>
                  <w:tcBorders>
                    <w:tl2br w:val="nil"/>
                    <w:tr2bl w:val="nil"/>
                  </w:tcBorders>
                  <w:noWrap w:val="0"/>
                  <w:vAlign w:val="center"/>
                </w:tcPr>
                <w:p w14:paraId="4C1A376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2B65735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3475027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31.21 </w:t>
                  </w:r>
                </w:p>
              </w:tc>
              <w:tc>
                <w:tcPr>
                  <w:tcW w:w="454" w:type="dxa"/>
                  <w:tcBorders>
                    <w:tl2br w:val="nil"/>
                    <w:tr2bl w:val="nil"/>
                  </w:tcBorders>
                  <w:noWrap w:val="0"/>
                  <w:vAlign w:val="center"/>
                </w:tcPr>
                <w:p w14:paraId="731698A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0CFBA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336EBCC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36EB9A5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0F9ABBB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63445F0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22B378D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2D2B302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71AAF8F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5440DDC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南</w:t>
                  </w:r>
                </w:p>
              </w:tc>
              <w:tc>
                <w:tcPr>
                  <w:tcW w:w="583" w:type="dxa"/>
                  <w:tcBorders>
                    <w:tl2br w:val="nil"/>
                    <w:tr2bl w:val="nil"/>
                  </w:tcBorders>
                  <w:noWrap w:val="0"/>
                  <w:vAlign w:val="center"/>
                </w:tcPr>
                <w:p w14:paraId="0CADD2B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53</w:t>
                  </w:r>
                </w:p>
              </w:tc>
              <w:tc>
                <w:tcPr>
                  <w:tcW w:w="924" w:type="dxa"/>
                  <w:tcBorders>
                    <w:tl2br w:val="nil"/>
                    <w:tr2bl w:val="nil"/>
                  </w:tcBorders>
                  <w:noWrap w:val="0"/>
                  <w:vAlign w:val="center"/>
                </w:tcPr>
                <w:p w14:paraId="28D0E17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57.06 </w:t>
                  </w:r>
                </w:p>
              </w:tc>
              <w:tc>
                <w:tcPr>
                  <w:tcW w:w="405" w:type="dxa"/>
                  <w:vMerge w:val="continue"/>
                  <w:tcBorders>
                    <w:tl2br w:val="nil"/>
                    <w:tr2bl w:val="nil"/>
                  </w:tcBorders>
                  <w:noWrap w:val="0"/>
                  <w:vAlign w:val="center"/>
                </w:tcPr>
                <w:p w14:paraId="4907CF2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4E0A1B2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0122E4C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31.06 </w:t>
                  </w:r>
                </w:p>
              </w:tc>
              <w:tc>
                <w:tcPr>
                  <w:tcW w:w="454" w:type="dxa"/>
                  <w:tcBorders>
                    <w:tl2br w:val="nil"/>
                    <w:tr2bl w:val="nil"/>
                  </w:tcBorders>
                  <w:noWrap w:val="0"/>
                  <w:vAlign w:val="center"/>
                </w:tcPr>
                <w:p w14:paraId="184A5B9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0344E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2B200A9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48349A1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7B43960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02495BC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4A491A4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10BA58D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15418DA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07CC49E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西</w:t>
                  </w:r>
                </w:p>
              </w:tc>
              <w:tc>
                <w:tcPr>
                  <w:tcW w:w="583" w:type="dxa"/>
                  <w:tcBorders>
                    <w:tl2br w:val="nil"/>
                    <w:tr2bl w:val="nil"/>
                  </w:tcBorders>
                  <w:noWrap w:val="0"/>
                  <w:vAlign w:val="center"/>
                </w:tcPr>
                <w:p w14:paraId="64E92D6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60</w:t>
                  </w:r>
                </w:p>
              </w:tc>
              <w:tc>
                <w:tcPr>
                  <w:tcW w:w="924" w:type="dxa"/>
                  <w:tcBorders>
                    <w:tl2br w:val="nil"/>
                    <w:tr2bl w:val="nil"/>
                  </w:tcBorders>
                  <w:noWrap w:val="0"/>
                  <w:vAlign w:val="center"/>
                </w:tcPr>
                <w:p w14:paraId="64467FF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57.05 </w:t>
                  </w:r>
                </w:p>
              </w:tc>
              <w:tc>
                <w:tcPr>
                  <w:tcW w:w="405" w:type="dxa"/>
                  <w:vMerge w:val="continue"/>
                  <w:tcBorders>
                    <w:tl2br w:val="nil"/>
                    <w:tr2bl w:val="nil"/>
                  </w:tcBorders>
                  <w:noWrap w:val="0"/>
                  <w:vAlign w:val="center"/>
                </w:tcPr>
                <w:p w14:paraId="167556F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0A876EA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6DDE85F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31.05 </w:t>
                  </w:r>
                </w:p>
              </w:tc>
              <w:tc>
                <w:tcPr>
                  <w:tcW w:w="454" w:type="dxa"/>
                  <w:tcBorders>
                    <w:tl2br w:val="nil"/>
                    <w:tr2bl w:val="nil"/>
                  </w:tcBorders>
                  <w:noWrap w:val="0"/>
                  <w:vAlign w:val="center"/>
                </w:tcPr>
                <w:p w14:paraId="250A864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54611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004EB26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477EB8C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60306B0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45C9C7D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775EFB8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1FB660E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32647EB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278BA98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北</w:t>
                  </w:r>
                </w:p>
              </w:tc>
              <w:tc>
                <w:tcPr>
                  <w:tcW w:w="583" w:type="dxa"/>
                  <w:tcBorders>
                    <w:tl2br w:val="nil"/>
                    <w:tr2bl w:val="nil"/>
                  </w:tcBorders>
                  <w:noWrap w:val="0"/>
                  <w:vAlign w:val="center"/>
                </w:tcPr>
                <w:p w14:paraId="4DB73A0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35</w:t>
                  </w:r>
                </w:p>
              </w:tc>
              <w:tc>
                <w:tcPr>
                  <w:tcW w:w="924" w:type="dxa"/>
                  <w:tcBorders>
                    <w:tl2br w:val="nil"/>
                    <w:tr2bl w:val="nil"/>
                  </w:tcBorders>
                  <w:noWrap w:val="0"/>
                  <w:vAlign w:val="center"/>
                </w:tcPr>
                <w:p w14:paraId="519EA98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57.08 </w:t>
                  </w:r>
                </w:p>
              </w:tc>
              <w:tc>
                <w:tcPr>
                  <w:tcW w:w="405" w:type="dxa"/>
                  <w:vMerge w:val="continue"/>
                  <w:tcBorders>
                    <w:tl2br w:val="nil"/>
                    <w:tr2bl w:val="nil"/>
                  </w:tcBorders>
                  <w:noWrap w:val="0"/>
                  <w:vAlign w:val="center"/>
                </w:tcPr>
                <w:p w14:paraId="73D5A74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70B929B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277BFE5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31.08 </w:t>
                  </w:r>
                </w:p>
              </w:tc>
              <w:tc>
                <w:tcPr>
                  <w:tcW w:w="454" w:type="dxa"/>
                  <w:tcBorders>
                    <w:tl2br w:val="nil"/>
                    <w:tr2bl w:val="nil"/>
                  </w:tcBorders>
                  <w:noWrap w:val="0"/>
                  <w:vAlign w:val="center"/>
                </w:tcPr>
                <w:p w14:paraId="2DA033E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1D7BF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restart"/>
                  <w:tcBorders>
                    <w:tl2br w:val="nil"/>
                    <w:tr2bl w:val="nil"/>
                  </w:tcBorders>
                  <w:noWrap w:val="0"/>
                  <w:vAlign w:val="center"/>
                </w:tcPr>
                <w:p w14:paraId="563594F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5</w:t>
                  </w:r>
                </w:p>
              </w:tc>
              <w:tc>
                <w:tcPr>
                  <w:tcW w:w="949" w:type="dxa"/>
                  <w:vMerge w:val="restart"/>
                  <w:tcBorders>
                    <w:tl2br w:val="nil"/>
                    <w:tr2bl w:val="nil"/>
                  </w:tcBorders>
                  <w:noWrap w:val="0"/>
                  <w:vAlign w:val="center"/>
                </w:tcPr>
                <w:p w14:paraId="3B96BE6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钢板</w:t>
                  </w:r>
                  <w:r>
                    <w:rPr>
                      <w:rFonts w:hint="eastAsia" w:cs="Times New Roman"/>
                      <w:color w:val="auto"/>
                      <w:sz w:val="21"/>
                      <w:szCs w:val="21"/>
                      <w:u w:val="none" w:color="auto"/>
                      <w:lang w:val="en-US" w:eastAsia="zh-CN"/>
                    </w:rPr>
                    <w:t>气体</w:t>
                  </w:r>
                  <w:r>
                    <w:rPr>
                      <w:rFonts w:hint="eastAsia" w:ascii="Times New Roman" w:hAnsi="Times New Roman" w:eastAsia="宋体" w:cs="Times New Roman"/>
                      <w:color w:val="auto"/>
                      <w:sz w:val="21"/>
                      <w:szCs w:val="21"/>
                      <w:u w:val="none" w:color="auto"/>
                      <w:lang w:val="en-US" w:eastAsia="zh-CN"/>
                    </w:rPr>
                    <w:t>保护焊机4台点声源</w:t>
                  </w:r>
                </w:p>
              </w:tc>
              <w:tc>
                <w:tcPr>
                  <w:tcW w:w="549" w:type="dxa"/>
                  <w:vMerge w:val="restart"/>
                  <w:tcBorders>
                    <w:tl2br w:val="nil"/>
                    <w:tr2bl w:val="nil"/>
                  </w:tcBorders>
                  <w:noWrap w:val="0"/>
                  <w:vAlign w:val="center"/>
                </w:tcPr>
                <w:p w14:paraId="34BE992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81.02</w:t>
                  </w:r>
                </w:p>
              </w:tc>
              <w:tc>
                <w:tcPr>
                  <w:tcW w:w="518" w:type="dxa"/>
                  <w:vMerge w:val="continue"/>
                  <w:tcBorders>
                    <w:tl2br w:val="nil"/>
                    <w:tr2bl w:val="nil"/>
                  </w:tcBorders>
                  <w:noWrap w:val="0"/>
                  <w:vAlign w:val="center"/>
                </w:tcPr>
                <w:p w14:paraId="0D224DA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restart"/>
                  <w:tcBorders>
                    <w:tl2br w:val="nil"/>
                    <w:tr2bl w:val="nil"/>
                  </w:tcBorders>
                  <w:noWrap w:val="0"/>
                  <w:vAlign w:val="center"/>
                </w:tcPr>
                <w:p w14:paraId="2481026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22</w:t>
                  </w:r>
                </w:p>
              </w:tc>
              <w:tc>
                <w:tcPr>
                  <w:tcW w:w="491" w:type="dxa"/>
                  <w:vMerge w:val="restart"/>
                  <w:tcBorders>
                    <w:tl2br w:val="nil"/>
                    <w:tr2bl w:val="nil"/>
                  </w:tcBorders>
                  <w:noWrap w:val="0"/>
                  <w:vAlign w:val="center"/>
                </w:tcPr>
                <w:p w14:paraId="3858816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w:t>
                  </w:r>
                </w:p>
              </w:tc>
              <w:tc>
                <w:tcPr>
                  <w:tcW w:w="585" w:type="dxa"/>
                  <w:vMerge w:val="restart"/>
                  <w:tcBorders>
                    <w:tl2br w:val="nil"/>
                    <w:tr2bl w:val="nil"/>
                  </w:tcBorders>
                  <w:noWrap w:val="0"/>
                  <w:vAlign w:val="center"/>
                </w:tcPr>
                <w:p w14:paraId="79B06B0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0.5</w:t>
                  </w:r>
                </w:p>
              </w:tc>
              <w:tc>
                <w:tcPr>
                  <w:tcW w:w="453" w:type="dxa"/>
                  <w:tcBorders>
                    <w:tl2br w:val="nil"/>
                    <w:tr2bl w:val="nil"/>
                  </w:tcBorders>
                  <w:noWrap w:val="0"/>
                  <w:vAlign w:val="center"/>
                </w:tcPr>
                <w:p w14:paraId="67B0540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东</w:t>
                  </w:r>
                </w:p>
              </w:tc>
              <w:tc>
                <w:tcPr>
                  <w:tcW w:w="583" w:type="dxa"/>
                  <w:tcBorders>
                    <w:tl2br w:val="nil"/>
                    <w:tr2bl w:val="nil"/>
                  </w:tcBorders>
                  <w:noWrap w:val="0"/>
                  <w:vAlign w:val="center"/>
                </w:tcPr>
                <w:p w14:paraId="7F59046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w:t>
                  </w:r>
                </w:p>
              </w:tc>
              <w:tc>
                <w:tcPr>
                  <w:tcW w:w="924" w:type="dxa"/>
                  <w:tcBorders>
                    <w:tl2br w:val="nil"/>
                    <w:tr2bl w:val="nil"/>
                  </w:tcBorders>
                  <w:noWrap w:val="0"/>
                  <w:vAlign w:val="center"/>
                </w:tcPr>
                <w:p w14:paraId="22085B7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63.69 </w:t>
                  </w:r>
                </w:p>
              </w:tc>
              <w:tc>
                <w:tcPr>
                  <w:tcW w:w="405" w:type="dxa"/>
                  <w:vMerge w:val="continue"/>
                  <w:tcBorders>
                    <w:tl2br w:val="nil"/>
                    <w:tr2bl w:val="nil"/>
                  </w:tcBorders>
                  <w:noWrap w:val="0"/>
                  <w:vAlign w:val="center"/>
                </w:tcPr>
                <w:p w14:paraId="758F7AE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14D1A48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2956D21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37.69 </w:t>
                  </w:r>
                </w:p>
              </w:tc>
              <w:tc>
                <w:tcPr>
                  <w:tcW w:w="454" w:type="dxa"/>
                  <w:tcBorders>
                    <w:tl2br w:val="nil"/>
                    <w:tr2bl w:val="nil"/>
                  </w:tcBorders>
                  <w:noWrap w:val="0"/>
                  <w:vAlign w:val="center"/>
                </w:tcPr>
                <w:p w14:paraId="4F17424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23CB0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72069BB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5DF50A0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1024FEC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161421A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6271102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060429B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4529D9D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2F5D03F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南</w:t>
                  </w:r>
                </w:p>
              </w:tc>
              <w:tc>
                <w:tcPr>
                  <w:tcW w:w="583" w:type="dxa"/>
                  <w:tcBorders>
                    <w:tl2br w:val="nil"/>
                    <w:tr2bl w:val="nil"/>
                  </w:tcBorders>
                  <w:noWrap w:val="0"/>
                  <w:vAlign w:val="center"/>
                </w:tcPr>
                <w:p w14:paraId="2D0902F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53</w:t>
                  </w:r>
                </w:p>
              </w:tc>
              <w:tc>
                <w:tcPr>
                  <w:tcW w:w="924" w:type="dxa"/>
                  <w:tcBorders>
                    <w:tl2br w:val="nil"/>
                    <w:tr2bl w:val="nil"/>
                  </w:tcBorders>
                  <w:noWrap w:val="0"/>
                  <w:vAlign w:val="center"/>
                </w:tcPr>
                <w:p w14:paraId="598E334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63.08 </w:t>
                  </w:r>
                </w:p>
              </w:tc>
              <w:tc>
                <w:tcPr>
                  <w:tcW w:w="405" w:type="dxa"/>
                  <w:vMerge w:val="continue"/>
                  <w:tcBorders>
                    <w:tl2br w:val="nil"/>
                    <w:tr2bl w:val="nil"/>
                  </w:tcBorders>
                  <w:noWrap w:val="0"/>
                  <w:vAlign w:val="center"/>
                </w:tcPr>
                <w:p w14:paraId="58A386C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69A02C3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68F9338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37.08 </w:t>
                  </w:r>
                </w:p>
              </w:tc>
              <w:tc>
                <w:tcPr>
                  <w:tcW w:w="454" w:type="dxa"/>
                  <w:tcBorders>
                    <w:tl2br w:val="nil"/>
                    <w:tr2bl w:val="nil"/>
                  </w:tcBorders>
                  <w:noWrap w:val="0"/>
                  <w:vAlign w:val="center"/>
                </w:tcPr>
                <w:p w14:paraId="753B24E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4E1EC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1C6B69F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268D321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09843CE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2FB6BB2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38369CF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7C8BB7C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1EEE4D4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05FF575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西</w:t>
                  </w:r>
                </w:p>
              </w:tc>
              <w:tc>
                <w:tcPr>
                  <w:tcW w:w="583" w:type="dxa"/>
                  <w:tcBorders>
                    <w:tl2br w:val="nil"/>
                    <w:tr2bl w:val="nil"/>
                  </w:tcBorders>
                  <w:noWrap w:val="0"/>
                  <w:vAlign w:val="center"/>
                </w:tcPr>
                <w:p w14:paraId="5CA2BE8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66</w:t>
                  </w:r>
                </w:p>
              </w:tc>
              <w:tc>
                <w:tcPr>
                  <w:tcW w:w="924" w:type="dxa"/>
                  <w:tcBorders>
                    <w:tl2br w:val="nil"/>
                    <w:tr2bl w:val="nil"/>
                  </w:tcBorders>
                  <w:noWrap w:val="0"/>
                  <w:vAlign w:val="center"/>
                </w:tcPr>
                <w:p w14:paraId="3FA4601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63.07 </w:t>
                  </w:r>
                </w:p>
              </w:tc>
              <w:tc>
                <w:tcPr>
                  <w:tcW w:w="405" w:type="dxa"/>
                  <w:vMerge w:val="continue"/>
                  <w:tcBorders>
                    <w:tl2br w:val="nil"/>
                    <w:tr2bl w:val="nil"/>
                  </w:tcBorders>
                  <w:noWrap w:val="0"/>
                  <w:vAlign w:val="center"/>
                </w:tcPr>
                <w:p w14:paraId="3E901A5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6D1117F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1304780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37.07 </w:t>
                  </w:r>
                </w:p>
              </w:tc>
              <w:tc>
                <w:tcPr>
                  <w:tcW w:w="454" w:type="dxa"/>
                  <w:tcBorders>
                    <w:tl2br w:val="nil"/>
                    <w:tr2bl w:val="nil"/>
                  </w:tcBorders>
                  <w:noWrap w:val="0"/>
                  <w:vAlign w:val="center"/>
                </w:tcPr>
                <w:p w14:paraId="4669E72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5E424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0513300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7BEBEB4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7220865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572226F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7937EA7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75EA9FD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0F9C0F1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3BCC4C0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北</w:t>
                  </w:r>
                </w:p>
              </w:tc>
              <w:tc>
                <w:tcPr>
                  <w:tcW w:w="583" w:type="dxa"/>
                  <w:tcBorders>
                    <w:tl2br w:val="nil"/>
                    <w:tr2bl w:val="nil"/>
                  </w:tcBorders>
                  <w:noWrap w:val="0"/>
                  <w:vAlign w:val="center"/>
                </w:tcPr>
                <w:p w14:paraId="7A7CB62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33</w:t>
                  </w:r>
                </w:p>
              </w:tc>
              <w:tc>
                <w:tcPr>
                  <w:tcW w:w="924" w:type="dxa"/>
                  <w:tcBorders>
                    <w:tl2br w:val="nil"/>
                    <w:tr2bl w:val="nil"/>
                  </w:tcBorders>
                  <w:noWrap w:val="0"/>
                  <w:vAlign w:val="center"/>
                </w:tcPr>
                <w:p w14:paraId="2CD8BAB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63.10 </w:t>
                  </w:r>
                </w:p>
              </w:tc>
              <w:tc>
                <w:tcPr>
                  <w:tcW w:w="405" w:type="dxa"/>
                  <w:vMerge w:val="continue"/>
                  <w:tcBorders>
                    <w:tl2br w:val="nil"/>
                    <w:tr2bl w:val="nil"/>
                  </w:tcBorders>
                  <w:noWrap w:val="0"/>
                  <w:vAlign w:val="center"/>
                </w:tcPr>
                <w:p w14:paraId="44729AA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1B58C85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0BD5448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37.10 </w:t>
                  </w:r>
                </w:p>
              </w:tc>
              <w:tc>
                <w:tcPr>
                  <w:tcW w:w="454" w:type="dxa"/>
                  <w:tcBorders>
                    <w:tl2br w:val="nil"/>
                    <w:tr2bl w:val="nil"/>
                  </w:tcBorders>
                  <w:noWrap w:val="0"/>
                  <w:vAlign w:val="center"/>
                </w:tcPr>
                <w:p w14:paraId="0E927D0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055E7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restart"/>
                  <w:tcBorders>
                    <w:tl2br w:val="nil"/>
                    <w:tr2bl w:val="nil"/>
                  </w:tcBorders>
                  <w:noWrap w:val="0"/>
                  <w:vAlign w:val="center"/>
                </w:tcPr>
                <w:p w14:paraId="7947631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6</w:t>
                  </w:r>
                </w:p>
              </w:tc>
              <w:tc>
                <w:tcPr>
                  <w:tcW w:w="949" w:type="dxa"/>
                  <w:vMerge w:val="restart"/>
                  <w:tcBorders>
                    <w:tl2br w:val="nil"/>
                    <w:tr2bl w:val="nil"/>
                  </w:tcBorders>
                  <w:noWrap w:val="0"/>
                  <w:vAlign w:val="center"/>
                </w:tcPr>
                <w:p w14:paraId="55E8FF7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打孔机</w:t>
                  </w:r>
                </w:p>
              </w:tc>
              <w:tc>
                <w:tcPr>
                  <w:tcW w:w="549" w:type="dxa"/>
                  <w:vMerge w:val="restart"/>
                  <w:tcBorders>
                    <w:tl2br w:val="nil"/>
                    <w:tr2bl w:val="nil"/>
                  </w:tcBorders>
                  <w:noWrap w:val="0"/>
                  <w:vAlign w:val="center"/>
                </w:tcPr>
                <w:p w14:paraId="050EB37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80</w:t>
                  </w:r>
                </w:p>
              </w:tc>
              <w:tc>
                <w:tcPr>
                  <w:tcW w:w="518" w:type="dxa"/>
                  <w:vMerge w:val="continue"/>
                  <w:tcBorders>
                    <w:tl2br w:val="nil"/>
                    <w:tr2bl w:val="nil"/>
                  </w:tcBorders>
                  <w:noWrap w:val="0"/>
                  <w:vAlign w:val="center"/>
                </w:tcPr>
                <w:p w14:paraId="5BC1CE9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restart"/>
                  <w:tcBorders>
                    <w:tl2br w:val="nil"/>
                    <w:tr2bl w:val="nil"/>
                  </w:tcBorders>
                  <w:noWrap w:val="0"/>
                  <w:vAlign w:val="center"/>
                </w:tcPr>
                <w:p w14:paraId="27F3FA5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-23</w:t>
                  </w:r>
                </w:p>
              </w:tc>
              <w:tc>
                <w:tcPr>
                  <w:tcW w:w="491" w:type="dxa"/>
                  <w:vMerge w:val="restart"/>
                  <w:tcBorders>
                    <w:tl2br w:val="nil"/>
                    <w:tr2bl w:val="nil"/>
                  </w:tcBorders>
                  <w:noWrap w:val="0"/>
                  <w:vAlign w:val="center"/>
                </w:tcPr>
                <w:p w14:paraId="248BA09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30</w:t>
                  </w:r>
                </w:p>
              </w:tc>
              <w:tc>
                <w:tcPr>
                  <w:tcW w:w="585" w:type="dxa"/>
                  <w:vMerge w:val="restart"/>
                  <w:tcBorders>
                    <w:tl2br w:val="nil"/>
                    <w:tr2bl w:val="nil"/>
                  </w:tcBorders>
                  <w:noWrap w:val="0"/>
                  <w:vAlign w:val="center"/>
                </w:tcPr>
                <w:p w14:paraId="3E5E5B0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w:t>
                  </w:r>
                </w:p>
              </w:tc>
              <w:tc>
                <w:tcPr>
                  <w:tcW w:w="453" w:type="dxa"/>
                  <w:tcBorders>
                    <w:tl2br w:val="nil"/>
                    <w:tr2bl w:val="nil"/>
                  </w:tcBorders>
                  <w:noWrap w:val="0"/>
                  <w:vAlign w:val="center"/>
                </w:tcPr>
                <w:p w14:paraId="721D5AB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东</w:t>
                  </w:r>
                </w:p>
              </w:tc>
              <w:tc>
                <w:tcPr>
                  <w:tcW w:w="583" w:type="dxa"/>
                  <w:tcBorders>
                    <w:tl2br w:val="nil"/>
                    <w:tr2bl w:val="nil"/>
                  </w:tcBorders>
                  <w:noWrap w:val="0"/>
                  <w:vAlign w:val="center"/>
                </w:tcPr>
                <w:p w14:paraId="6AF8A42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60</w:t>
                  </w:r>
                </w:p>
              </w:tc>
              <w:tc>
                <w:tcPr>
                  <w:tcW w:w="924" w:type="dxa"/>
                  <w:tcBorders>
                    <w:tl2br w:val="nil"/>
                    <w:tr2bl w:val="nil"/>
                  </w:tcBorders>
                  <w:noWrap w:val="0"/>
                  <w:vAlign w:val="center"/>
                </w:tcPr>
                <w:p w14:paraId="46E9BE3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62.07 </w:t>
                  </w:r>
                </w:p>
              </w:tc>
              <w:tc>
                <w:tcPr>
                  <w:tcW w:w="405" w:type="dxa"/>
                  <w:vMerge w:val="continue"/>
                  <w:tcBorders>
                    <w:tl2br w:val="nil"/>
                    <w:tr2bl w:val="nil"/>
                  </w:tcBorders>
                  <w:noWrap w:val="0"/>
                  <w:vAlign w:val="center"/>
                </w:tcPr>
                <w:p w14:paraId="269428F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01BC514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199A6E4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36.07 </w:t>
                  </w:r>
                </w:p>
              </w:tc>
              <w:tc>
                <w:tcPr>
                  <w:tcW w:w="454" w:type="dxa"/>
                  <w:tcBorders>
                    <w:tl2br w:val="nil"/>
                    <w:tr2bl w:val="nil"/>
                  </w:tcBorders>
                  <w:noWrap w:val="0"/>
                  <w:vAlign w:val="center"/>
                </w:tcPr>
                <w:p w14:paraId="6933AF5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44878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5D87B33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038948D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5A39CEA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1A5D93C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3B897C2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7458B41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5D65190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58F718F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南</w:t>
                  </w:r>
                </w:p>
              </w:tc>
              <w:tc>
                <w:tcPr>
                  <w:tcW w:w="583" w:type="dxa"/>
                  <w:tcBorders>
                    <w:tl2br w:val="nil"/>
                    <w:tr2bl w:val="nil"/>
                  </w:tcBorders>
                  <w:noWrap w:val="0"/>
                  <w:vAlign w:val="center"/>
                </w:tcPr>
                <w:p w14:paraId="072DC17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77</w:t>
                  </w:r>
                </w:p>
              </w:tc>
              <w:tc>
                <w:tcPr>
                  <w:tcW w:w="924" w:type="dxa"/>
                  <w:tcBorders>
                    <w:tl2br w:val="nil"/>
                    <w:tr2bl w:val="nil"/>
                  </w:tcBorders>
                  <w:noWrap w:val="0"/>
                  <w:vAlign w:val="center"/>
                </w:tcPr>
                <w:p w14:paraId="0AFAB97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62.06 </w:t>
                  </w:r>
                </w:p>
              </w:tc>
              <w:tc>
                <w:tcPr>
                  <w:tcW w:w="405" w:type="dxa"/>
                  <w:vMerge w:val="continue"/>
                  <w:tcBorders>
                    <w:tl2br w:val="nil"/>
                    <w:tr2bl w:val="nil"/>
                  </w:tcBorders>
                  <w:noWrap w:val="0"/>
                  <w:vAlign w:val="center"/>
                </w:tcPr>
                <w:p w14:paraId="477DCB2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2DF33D4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284CC32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36.06 </w:t>
                  </w:r>
                </w:p>
              </w:tc>
              <w:tc>
                <w:tcPr>
                  <w:tcW w:w="454" w:type="dxa"/>
                  <w:tcBorders>
                    <w:tl2br w:val="nil"/>
                    <w:tr2bl w:val="nil"/>
                  </w:tcBorders>
                  <w:noWrap w:val="0"/>
                  <w:vAlign w:val="center"/>
                </w:tcPr>
                <w:p w14:paraId="6A9A80A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03869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51268A4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0FEA276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39DBAB1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626C77C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0C43974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7B49B9F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351E85A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11EC6C0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西</w:t>
                  </w:r>
                </w:p>
              </w:tc>
              <w:tc>
                <w:tcPr>
                  <w:tcW w:w="583" w:type="dxa"/>
                  <w:tcBorders>
                    <w:tl2br w:val="nil"/>
                    <w:tr2bl w:val="nil"/>
                  </w:tcBorders>
                  <w:noWrap w:val="0"/>
                  <w:vAlign w:val="center"/>
                </w:tcPr>
                <w:p w14:paraId="5459757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16</w:t>
                  </w:r>
                </w:p>
              </w:tc>
              <w:tc>
                <w:tcPr>
                  <w:tcW w:w="924" w:type="dxa"/>
                  <w:tcBorders>
                    <w:tl2br w:val="nil"/>
                    <w:tr2bl w:val="nil"/>
                  </w:tcBorders>
                  <w:noWrap w:val="0"/>
                  <w:vAlign w:val="center"/>
                </w:tcPr>
                <w:p w14:paraId="45582B1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62.37 </w:t>
                  </w:r>
                </w:p>
              </w:tc>
              <w:tc>
                <w:tcPr>
                  <w:tcW w:w="405" w:type="dxa"/>
                  <w:vMerge w:val="continue"/>
                  <w:tcBorders>
                    <w:tl2br w:val="nil"/>
                    <w:tr2bl w:val="nil"/>
                  </w:tcBorders>
                  <w:noWrap w:val="0"/>
                  <w:vAlign w:val="center"/>
                </w:tcPr>
                <w:p w14:paraId="0F7E2C3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14A41C6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01B3A85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36.37 </w:t>
                  </w:r>
                </w:p>
              </w:tc>
              <w:tc>
                <w:tcPr>
                  <w:tcW w:w="454" w:type="dxa"/>
                  <w:tcBorders>
                    <w:tl2br w:val="nil"/>
                    <w:tr2bl w:val="nil"/>
                  </w:tcBorders>
                  <w:noWrap w:val="0"/>
                  <w:vAlign w:val="center"/>
                </w:tcPr>
                <w:p w14:paraId="05B85F4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0BECB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699AB12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48B0F61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28BE991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4909909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5285AFB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63CE786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0FAD5F6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590BF93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北</w:t>
                  </w:r>
                </w:p>
              </w:tc>
              <w:tc>
                <w:tcPr>
                  <w:tcW w:w="583" w:type="dxa"/>
                  <w:tcBorders>
                    <w:tl2br w:val="nil"/>
                    <w:tr2bl w:val="nil"/>
                  </w:tcBorders>
                  <w:noWrap w:val="0"/>
                  <w:vAlign w:val="center"/>
                </w:tcPr>
                <w:p w14:paraId="7D72EB8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14</w:t>
                  </w:r>
                </w:p>
              </w:tc>
              <w:tc>
                <w:tcPr>
                  <w:tcW w:w="924" w:type="dxa"/>
                  <w:tcBorders>
                    <w:tl2br w:val="nil"/>
                    <w:tr2bl w:val="nil"/>
                  </w:tcBorders>
                  <w:noWrap w:val="0"/>
                  <w:vAlign w:val="center"/>
                </w:tcPr>
                <w:p w14:paraId="28A7BA3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62.46 </w:t>
                  </w:r>
                </w:p>
              </w:tc>
              <w:tc>
                <w:tcPr>
                  <w:tcW w:w="405" w:type="dxa"/>
                  <w:vMerge w:val="continue"/>
                  <w:tcBorders>
                    <w:tl2br w:val="nil"/>
                    <w:tr2bl w:val="nil"/>
                  </w:tcBorders>
                  <w:noWrap w:val="0"/>
                  <w:vAlign w:val="center"/>
                </w:tcPr>
                <w:p w14:paraId="5A36067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057BFA3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224EFAA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36.46 </w:t>
                  </w:r>
                </w:p>
              </w:tc>
              <w:tc>
                <w:tcPr>
                  <w:tcW w:w="454" w:type="dxa"/>
                  <w:tcBorders>
                    <w:tl2br w:val="nil"/>
                    <w:tr2bl w:val="nil"/>
                  </w:tcBorders>
                  <w:noWrap w:val="0"/>
                  <w:vAlign w:val="center"/>
                </w:tcPr>
                <w:p w14:paraId="2E3875C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7741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restart"/>
                  <w:tcBorders>
                    <w:tl2br w:val="nil"/>
                    <w:tr2bl w:val="nil"/>
                  </w:tcBorders>
                  <w:noWrap w:val="0"/>
                  <w:vAlign w:val="center"/>
                </w:tcPr>
                <w:p w14:paraId="053202A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7</w:t>
                  </w:r>
                </w:p>
              </w:tc>
              <w:tc>
                <w:tcPr>
                  <w:tcW w:w="949" w:type="dxa"/>
                  <w:vMerge w:val="restart"/>
                  <w:tcBorders>
                    <w:tl2br w:val="nil"/>
                    <w:tr2bl w:val="nil"/>
                  </w:tcBorders>
                  <w:noWrap w:val="0"/>
                  <w:vAlign w:val="center"/>
                </w:tcPr>
                <w:p w14:paraId="0827083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空气压缩机</w:t>
                  </w:r>
                </w:p>
              </w:tc>
              <w:tc>
                <w:tcPr>
                  <w:tcW w:w="549" w:type="dxa"/>
                  <w:vMerge w:val="restart"/>
                  <w:tcBorders>
                    <w:tl2br w:val="nil"/>
                    <w:tr2bl w:val="nil"/>
                  </w:tcBorders>
                  <w:noWrap w:val="0"/>
                  <w:vAlign w:val="center"/>
                </w:tcPr>
                <w:p w14:paraId="01EDB45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85</w:t>
                  </w:r>
                </w:p>
              </w:tc>
              <w:tc>
                <w:tcPr>
                  <w:tcW w:w="518" w:type="dxa"/>
                  <w:vMerge w:val="continue"/>
                  <w:tcBorders>
                    <w:tl2br w:val="nil"/>
                    <w:tr2bl w:val="nil"/>
                  </w:tcBorders>
                  <w:noWrap w:val="0"/>
                  <w:vAlign w:val="center"/>
                </w:tcPr>
                <w:p w14:paraId="04CF5F7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restart"/>
                  <w:tcBorders>
                    <w:tl2br w:val="nil"/>
                    <w:tr2bl w:val="nil"/>
                  </w:tcBorders>
                  <w:noWrap w:val="0"/>
                  <w:vAlign w:val="center"/>
                </w:tcPr>
                <w:p w14:paraId="1028160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-35</w:t>
                  </w:r>
                </w:p>
              </w:tc>
              <w:tc>
                <w:tcPr>
                  <w:tcW w:w="491" w:type="dxa"/>
                  <w:vMerge w:val="restart"/>
                  <w:tcBorders>
                    <w:tl2br w:val="nil"/>
                    <w:tr2bl w:val="nil"/>
                  </w:tcBorders>
                  <w:noWrap w:val="0"/>
                  <w:vAlign w:val="center"/>
                </w:tcPr>
                <w:p w14:paraId="2E03A56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30</w:t>
                  </w:r>
                </w:p>
              </w:tc>
              <w:tc>
                <w:tcPr>
                  <w:tcW w:w="585" w:type="dxa"/>
                  <w:vMerge w:val="restart"/>
                  <w:tcBorders>
                    <w:tl2br w:val="nil"/>
                    <w:tr2bl w:val="nil"/>
                  </w:tcBorders>
                  <w:noWrap w:val="0"/>
                  <w:vAlign w:val="center"/>
                </w:tcPr>
                <w:p w14:paraId="48CF37B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w:t>
                  </w:r>
                </w:p>
              </w:tc>
              <w:tc>
                <w:tcPr>
                  <w:tcW w:w="453" w:type="dxa"/>
                  <w:tcBorders>
                    <w:tl2br w:val="nil"/>
                    <w:tr2bl w:val="nil"/>
                  </w:tcBorders>
                  <w:noWrap w:val="0"/>
                  <w:vAlign w:val="center"/>
                </w:tcPr>
                <w:p w14:paraId="3ECA855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东</w:t>
                  </w:r>
                </w:p>
              </w:tc>
              <w:tc>
                <w:tcPr>
                  <w:tcW w:w="583" w:type="dxa"/>
                  <w:tcBorders>
                    <w:tl2br w:val="nil"/>
                    <w:tr2bl w:val="nil"/>
                  </w:tcBorders>
                  <w:noWrap w:val="0"/>
                  <w:vAlign w:val="center"/>
                </w:tcPr>
                <w:p w14:paraId="283DC69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70</w:t>
                  </w:r>
                </w:p>
              </w:tc>
              <w:tc>
                <w:tcPr>
                  <w:tcW w:w="924" w:type="dxa"/>
                  <w:tcBorders>
                    <w:tl2br w:val="nil"/>
                    <w:tr2bl w:val="nil"/>
                  </w:tcBorders>
                  <w:noWrap w:val="0"/>
                  <w:vAlign w:val="center"/>
                </w:tcPr>
                <w:p w14:paraId="07E9CCD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67.06 </w:t>
                  </w:r>
                </w:p>
              </w:tc>
              <w:tc>
                <w:tcPr>
                  <w:tcW w:w="405" w:type="dxa"/>
                  <w:vMerge w:val="continue"/>
                  <w:tcBorders>
                    <w:tl2br w:val="nil"/>
                    <w:tr2bl w:val="nil"/>
                  </w:tcBorders>
                  <w:noWrap w:val="0"/>
                  <w:vAlign w:val="center"/>
                </w:tcPr>
                <w:p w14:paraId="1D7B03F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134373D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203AF41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41.06 </w:t>
                  </w:r>
                </w:p>
              </w:tc>
              <w:tc>
                <w:tcPr>
                  <w:tcW w:w="454" w:type="dxa"/>
                  <w:tcBorders>
                    <w:tl2br w:val="nil"/>
                    <w:tr2bl w:val="nil"/>
                  </w:tcBorders>
                  <w:noWrap w:val="0"/>
                  <w:vAlign w:val="center"/>
                </w:tcPr>
                <w:p w14:paraId="25F724E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1F5D8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7BFA6A8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7AFD7BB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3C75E5B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5B881D6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7497341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048CF49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2DF0E41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19CB192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南</w:t>
                  </w:r>
                </w:p>
              </w:tc>
              <w:tc>
                <w:tcPr>
                  <w:tcW w:w="583" w:type="dxa"/>
                  <w:tcBorders>
                    <w:tl2br w:val="nil"/>
                    <w:tr2bl w:val="nil"/>
                  </w:tcBorders>
                  <w:noWrap w:val="0"/>
                  <w:vAlign w:val="center"/>
                </w:tcPr>
                <w:p w14:paraId="1447A50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77</w:t>
                  </w:r>
                </w:p>
              </w:tc>
              <w:tc>
                <w:tcPr>
                  <w:tcW w:w="924" w:type="dxa"/>
                  <w:tcBorders>
                    <w:tl2br w:val="nil"/>
                    <w:tr2bl w:val="nil"/>
                  </w:tcBorders>
                  <w:noWrap w:val="0"/>
                  <w:vAlign w:val="center"/>
                </w:tcPr>
                <w:p w14:paraId="48269A5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67.06 </w:t>
                  </w:r>
                </w:p>
              </w:tc>
              <w:tc>
                <w:tcPr>
                  <w:tcW w:w="405" w:type="dxa"/>
                  <w:vMerge w:val="continue"/>
                  <w:tcBorders>
                    <w:tl2br w:val="nil"/>
                    <w:tr2bl w:val="nil"/>
                  </w:tcBorders>
                  <w:noWrap w:val="0"/>
                  <w:vAlign w:val="center"/>
                </w:tcPr>
                <w:p w14:paraId="057CF4C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000FB2C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4A5D8D5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41.06 </w:t>
                  </w:r>
                </w:p>
              </w:tc>
              <w:tc>
                <w:tcPr>
                  <w:tcW w:w="454" w:type="dxa"/>
                  <w:tcBorders>
                    <w:tl2br w:val="nil"/>
                    <w:tr2bl w:val="nil"/>
                  </w:tcBorders>
                  <w:noWrap w:val="0"/>
                  <w:vAlign w:val="center"/>
                </w:tcPr>
                <w:p w14:paraId="4971009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6FBBF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0DF1576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629CB5B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139E93B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117230E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745C1A9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70F28BF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5BF9E80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2C86FE1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西</w:t>
                  </w:r>
                </w:p>
              </w:tc>
              <w:tc>
                <w:tcPr>
                  <w:tcW w:w="583" w:type="dxa"/>
                  <w:tcBorders>
                    <w:tl2br w:val="nil"/>
                    <w:tr2bl w:val="nil"/>
                  </w:tcBorders>
                  <w:noWrap w:val="0"/>
                  <w:vAlign w:val="center"/>
                </w:tcPr>
                <w:p w14:paraId="1317FB7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5</w:t>
                  </w:r>
                </w:p>
              </w:tc>
              <w:tc>
                <w:tcPr>
                  <w:tcW w:w="924" w:type="dxa"/>
                  <w:tcBorders>
                    <w:tl2br w:val="nil"/>
                    <w:tr2bl w:val="nil"/>
                  </w:tcBorders>
                  <w:noWrap w:val="0"/>
                  <w:vAlign w:val="center"/>
                </w:tcPr>
                <w:p w14:paraId="1638CB9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69.58 </w:t>
                  </w:r>
                </w:p>
              </w:tc>
              <w:tc>
                <w:tcPr>
                  <w:tcW w:w="405" w:type="dxa"/>
                  <w:vMerge w:val="continue"/>
                  <w:tcBorders>
                    <w:tl2br w:val="nil"/>
                    <w:tr2bl w:val="nil"/>
                  </w:tcBorders>
                  <w:noWrap w:val="0"/>
                  <w:vAlign w:val="center"/>
                </w:tcPr>
                <w:p w14:paraId="60DF556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52BA815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632D79D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43.58 </w:t>
                  </w:r>
                </w:p>
              </w:tc>
              <w:tc>
                <w:tcPr>
                  <w:tcW w:w="454" w:type="dxa"/>
                  <w:tcBorders>
                    <w:tl2br w:val="nil"/>
                    <w:tr2bl w:val="nil"/>
                  </w:tcBorders>
                  <w:noWrap w:val="0"/>
                  <w:vAlign w:val="center"/>
                </w:tcPr>
                <w:p w14:paraId="5C51E95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0E552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1747027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6F6F590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503F2C2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0B7F8A4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5DF3FAE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793077C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53A131B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76688C7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北</w:t>
                  </w:r>
                </w:p>
              </w:tc>
              <w:tc>
                <w:tcPr>
                  <w:tcW w:w="583" w:type="dxa"/>
                  <w:tcBorders>
                    <w:tl2br w:val="nil"/>
                    <w:tr2bl w:val="nil"/>
                  </w:tcBorders>
                  <w:noWrap w:val="0"/>
                  <w:vAlign w:val="center"/>
                </w:tcPr>
                <w:p w14:paraId="01C3516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13</w:t>
                  </w:r>
                </w:p>
              </w:tc>
              <w:tc>
                <w:tcPr>
                  <w:tcW w:w="924" w:type="dxa"/>
                  <w:tcBorders>
                    <w:tl2br w:val="nil"/>
                    <w:tr2bl w:val="nil"/>
                  </w:tcBorders>
                  <w:noWrap w:val="0"/>
                  <w:vAlign w:val="center"/>
                </w:tcPr>
                <w:p w14:paraId="1380607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67.52 </w:t>
                  </w:r>
                </w:p>
              </w:tc>
              <w:tc>
                <w:tcPr>
                  <w:tcW w:w="405" w:type="dxa"/>
                  <w:vMerge w:val="continue"/>
                  <w:tcBorders>
                    <w:tl2br w:val="nil"/>
                    <w:tr2bl w:val="nil"/>
                  </w:tcBorders>
                  <w:noWrap w:val="0"/>
                  <w:vAlign w:val="center"/>
                </w:tcPr>
                <w:p w14:paraId="3F87774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314E298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425E9A0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41.52 </w:t>
                  </w:r>
                </w:p>
              </w:tc>
              <w:tc>
                <w:tcPr>
                  <w:tcW w:w="454" w:type="dxa"/>
                  <w:tcBorders>
                    <w:tl2br w:val="nil"/>
                    <w:tr2bl w:val="nil"/>
                  </w:tcBorders>
                  <w:noWrap w:val="0"/>
                  <w:vAlign w:val="center"/>
                </w:tcPr>
                <w:p w14:paraId="6763474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0252A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restart"/>
                  <w:tcBorders>
                    <w:tl2br w:val="nil"/>
                    <w:tr2bl w:val="nil"/>
                  </w:tcBorders>
                  <w:noWrap w:val="0"/>
                  <w:vAlign w:val="center"/>
                </w:tcPr>
                <w:p w14:paraId="1655876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w:t>
                  </w:r>
                </w:p>
              </w:tc>
              <w:tc>
                <w:tcPr>
                  <w:tcW w:w="949" w:type="dxa"/>
                  <w:vMerge w:val="restart"/>
                  <w:tcBorders>
                    <w:tl2br w:val="nil"/>
                    <w:tr2bl w:val="nil"/>
                  </w:tcBorders>
                  <w:noWrap w:val="0"/>
                  <w:vAlign w:val="center"/>
                </w:tcPr>
                <w:p w14:paraId="63B2BD2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空气压缩机</w:t>
                  </w:r>
                </w:p>
              </w:tc>
              <w:tc>
                <w:tcPr>
                  <w:tcW w:w="549" w:type="dxa"/>
                  <w:vMerge w:val="restart"/>
                  <w:tcBorders>
                    <w:tl2br w:val="nil"/>
                    <w:tr2bl w:val="nil"/>
                  </w:tcBorders>
                  <w:noWrap w:val="0"/>
                  <w:vAlign w:val="center"/>
                </w:tcPr>
                <w:p w14:paraId="0BD9DEC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85</w:t>
                  </w:r>
                </w:p>
              </w:tc>
              <w:tc>
                <w:tcPr>
                  <w:tcW w:w="518" w:type="dxa"/>
                  <w:vMerge w:val="continue"/>
                  <w:tcBorders>
                    <w:tl2br w:val="nil"/>
                    <w:tr2bl w:val="nil"/>
                  </w:tcBorders>
                  <w:noWrap w:val="0"/>
                  <w:vAlign w:val="center"/>
                </w:tcPr>
                <w:p w14:paraId="6937B2B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restart"/>
                  <w:tcBorders>
                    <w:tl2br w:val="nil"/>
                    <w:tr2bl w:val="nil"/>
                  </w:tcBorders>
                  <w:noWrap w:val="0"/>
                  <w:vAlign w:val="center"/>
                </w:tcPr>
                <w:p w14:paraId="6329FBB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31</w:t>
                  </w:r>
                </w:p>
              </w:tc>
              <w:tc>
                <w:tcPr>
                  <w:tcW w:w="491" w:type="dxa"/>
                  <w:vMerge w:val="restart"/>
                  <w:tcBorders>
                    <w:tl2br w:val="nil"/>
                    <w:tr2bl w:val="nil"/>
                  </w:tcBorders>
                  <w:noWrap w:val="0"/>
                  <w:vAlign w:val="center"/>
                </w:tcPr>
                <w:p w14:paraId="3F8D68A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10</w:t>
                  </w:r>
                </w:p>
              </w:tc>
              <w:tc>
                <w:tcPr>
                  <w:tcW w:w="585" w:type="dxa"/>
                  <w:vMerge w:val="restart"/>
                  <w:tcBorders>
                    <w:tl2br w:val="nil"/>
                    <w:tr2bl w:val="nil"/>
                  </w:tcBorders>
                  <w:noWrap w:val="0"/>
                  <w:vAlign w:val="center"/>
                </w:tcPr>
                <w:p w14:paraId="0DFD41A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w:t>
                  </w:r>
                </w:p>
              </w:tc>
              <w:tc>
                <w:tcPr>
                  <w:tcW w:w="453" w:type="dxa"/>
                  <w:tcBorders>
                    <w:tl2br w:val="nil"/>
                    <w:tr2bl w:val="nil"/>
                  </w:tcBorders>
                  <w:noWrap w:val="0"/>
                  <w:vAlign w:val="center"/>
                </w:tcPr>
                <w:p w14:paraId="59EF2F9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东</w:t>
                  </w:r>
                </w:p>
              </w:tc>
              <w:tc>
                <w:tcPr>
                  <w:tcW w:w="583" w:type="dxa"/>
                  <w:tcBorders>
                    <w:tl2br w:val="nil"/>
                    <w:tr2bl w:val="nil"/>
                  </w:tcBorders>
                  <w:noWrap w:val="0"/>
                  <w:vAlign w:val="center"/>
                </w:tcPr>
                <w:p w14:paraId="1784DD6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5</w:t>
                  </w:r>
                </w:p>
              </w:tc>
              <w:tc>
                <w:tcPr>
                  <w:tcW w:w="924" w:type="dxa"/>
                  <w:tcBorders>
                    <w:tl2br w:val="nil"/>
                    <w:tr2bl w:val="nil"/>
                  </w:tcBorders>
                  <w:noWrap w:val="0"/>
                  <w:vAlign w:val="center"/>
                </w:tcPr>
                <w:p w14:paraId="14134E7E">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69.58 </w:t>
                  </w:r>
                </w:p>
              </w:tc>
              <w:tc>
                <w:tcPr>
                  <w:tcW w:w="405" w:type="dxa"/>
                  <w:vMerge w:val="continue"/>
                  <w:tcBorders>
                    <w:tl2br w:val="nil"/>
                    <w:tr2bl w:val="nil"/>
                  </w:tcBorders>
                  <w:noWrap w:val="0"/>
                  <w:vAlign w:val="center"/>
                </w:tcPr>
                <w:p w14:paraId="5CE7E68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044DF66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58028FEC">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43.58 </w:t>
                  </w:r>
                </w:p>
              </w:tc>
              <w:tc>
                <w:tcPr>
                  <w:tcW w:w="454" w:type="dxa"/>
                  <w:tcBorders>
                    <w:tl2br w:val="nil"/>
                    <w:tr2bl w:val="nil"/>
                  </w:tcBorders>
                  <w:noWrap w:val="0"/>
                  <w:vAlign w:val="center"/>
                </w:tcPr>
                <w:p w14:paraId="37776EC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7448E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24B66AF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7ACAC47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5CB396A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330AEC2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5EB1825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1F4B6C9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7E7BA68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69C4B37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南</w:t>
                  </w:r>
                </w:p>
              </w:tc>
              <w:tc>
                <w:tcPr>
                  <w:tcW w:w="583" w:type="dxa"/>
                  <w:tcBorders>
                    <w:tl2br w:val="nil"/>
                    <w:tr2bl w:val="nil"/>
                  </w:tcBorders>
                  <w:noWrap w:val="0"/>
                  <w:vAlign w:val="center"/>
                </w:tcPr>
                <w:p w14:paraId="0A1E8B4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40</w:t>
                  </w:r>
                </w:p>
              </w:tc>
              <w:tc>
                <w:tcPr>
                  <w:tcW w:w="924" w:type="dxa"/>
                  <w:tcBorders>
                    <w:tl2br w:val="nil"/>
                    <w:tr2bl w:val="nil"/>
                  </w:tcBorders>
                  <w:noWrap w:val="0"/>
                  <w:vAlign w:val="center"/>
                </w:tcPr>
                <w:p w14:paraId="41E27315">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67.09 </w:t>
                  </w:r>
                </w:p>
              </w:tc>
              <w:tc>
                <w:tcPr>
                  <w:tcW w:w="405" w:type="dxa"/>
                  <w:vMerge w:val="continue"/>
                  <w:tcBorders>
                    <w:tl2br w:val="nil"/>
                    <w:tr2bl w:val="nil"/>
                  </w:tcBorders>
                  <w:noWrap w:val="0"/>
                  <w:vAlign w:val="center"/>
                </w:tcPr>
                <w:p w14:paraId="015DC3D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49E9B87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3151A092">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41.09 </w:t>
                  </w:r>
                </w:p>
              </w:tc>
              <w:tc>
                <w:tcPr>
                  <w:tcW w:w="454" w:type="dxa"/>
                  <w:tcBorders>
                    <w:tl2br w:val="nil"/>
                    <w:tr2bl w:val="nil"/>
                  </w:tcBorders>
                  <w:noWrap w:val="0"/>
                  <w:vAlign w:val="center"/>
                </w:tcPr>
                <w:p w14:paraId="0854FA2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4F955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6E94EF3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269D466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5103FBD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2F96867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505C0EA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2998E75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4578B8D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129022B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西</w:t>
                  </w:r>
                </w:p>
              </w:tc>
              <w:tc>
                <w:tcPr>
                  <w:tcW w:w="583" w:type="dxa"/>
                  <w:tcBorders>
                    <w:tl2br w:val="nil"/>
                    <w:tr2bl w:val="nil"/>
                  </w:tcBorders>
                  <w:noWrap w:val="0"/>
                  <w:vAlign w:val="center"/>
                </w:tcPr>
                <w:p w14:paraId="2A1D6C7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45</w:t>
                  </w:r>
                </w:p>
              </w:tc>
              <w:tc>
                <w:tcPr>
                  <w:tcW w:w="924" w:type="dxa"/>
                  <w:tcBorders>
                    <w:tl2br w:val="nil"/>
                    <w:tr2bl w:val="nil"/>
                  </w:tcBorders>
                  <w:noWrap w:val="0"/>
                  <w:vAlign w:val="center"/>
                </w:tcPr>
                <w:p w14:paraId="17218A77">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67.08 </w:t>
                  </w:r>
                </w:p>
              </w:tc>
              <w:tc>
                <w:tcPr>
                  <w:tcW w:w="405" w:type="dxa"/>
                  <w:vMerge w:val="continue"/>
                  <w:tcBorders>
                    <w:tl2br w:val="nil"/>
                    <w:tr2bl w:val="nil"/>
                  </w:tcBorders>
                  <w:noWrap w:val="0"/>
                  <w:vAlign w:val="center"/>
                </w:tcPr>
                <w:p w14:paraId="03E6B8F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2664AFE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43A89DB1">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41.08 </w:t>
                  </w:r>
                </w:p>
              </w:tc>
              <w:tc>
                <w:tcPr>
                  <w:tcW w:w="454" w:type="dxa"/>
                  <w:tcBorders>
                    <w:tl2br w:val="nil"/>
                    <w:tr2bl w:val="nil"/>
                  </w:tcBorders>
                  <w:noWrap w:val="0"/>
                  <w:vAlign w:val="center"/>
                </w:tcPr>
                <w:p w14:paraId="6D989A2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48305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15263B7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484D529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151A0F8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0E798C0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1F7F88C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1421B28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2A558AE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76F8241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北</w:t>
                  </w:r>
                </w:p>
              </w:tc>
              <w:tc>
                <w:tcPr>
                  <w:tcW w:w="583" w:type="dxa"/>
                  <w:tcBorders>
                    <w:tl2br w:val="nil"/>
                    <w:tr2bl w:val="nil"/>
                  </w:tcBorders>
                  <w:noWrap w:val="0"/>
                  <w:vAlign w:val="center"/>
                </w:tcPr>
                <w:p w14:paraId="19F64E6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33</w:t>
                  </w:r>
                </w:p>
              </w:tc>
              <w:tc>
                <w:tcPr>
                  <w:tcW w:w="924" w:type="dxa"/>
                  <w:tcBorders>
                    <w:tl2br w:val="nil"/>
                    <w:tr2bl w:val="nil"/>
                  </w:tcBorders>
                  <w:noWrap w:val="0"/>
                  <w:vAlign w:val="center"/>
                </w:tcPr>
                <w:p w14:paraId="34AFCF3C">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67.12 </w:t>
                  </w:r>
                </w:p>
              </w:tc>
              <w:tc>
                <w:tcPr>
                  <w:tcW w:w="405" w:type="dxa"/>
                  <w:vMerge w:val="continue"/>
                  <w:tcBorders>
                    <w:tl2br w:val="nil"/>
                    <w:tr2bl w:val="nil"/>
                  </w:tcBorders>
                  <w:noWrap w:val="0"/>
                  <w:vAlign w:val="center"/>
                </w:tcPr>
                <w:p w14:paraId="68E40E5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2947017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4B7A679B">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41.12 </w:t>
                  </w:r>
                </w:p>
              </w:tc>
              <w:tc>
                <w:tcPr>
                  <w:tcW w:w="454" w:type="dxa"/>
                  <w:tcBorders>
                    <w:tl2br w:val="nil"/>
                    <w:tr2bl w:val="nil"/>
                  </w:tcBorders>
                  <w:noWrap w:val="0"/>
                  <w:vAlign w:val="center"/>
                </w:tcPr>
                <w:p w14:paraId="522BD76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41456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restart"/>
                  <w:tcBorders>
                    <w:tl2br w:val="nil"/>
                    <w:tr2bl w:val="nil"/>
                  </w:tcBorders>
                  <w:noWrap w:val="0"/>
                  <w:vAlign w:val="center"/>
                </w:tcPr>
                <w:p w14:paraId="56204A7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9</w:t>
                  </w:r>
                </w:p>
              </w:tc>
              <w:tc>
                <w:tcPr>
                  <w:tcW w:w="949" w:type="dxa"/>
                  <w:vMerge w:val="restart"/>
                  <w:tcBorders>
                    <w:tl2br w:val="nil"/>
                    <w:tr2bl w:val="nil"/>
                  </w:tcBorders>
                  <w:noWrap w:val="0"/>
                  <w:vAlign w:val="center"/>
                </w:tcPr>
                <w:p w14:paraId="03BCCFC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气动打磨机3台</w:t>
                  </w:r>
                  <w:r>
                    <w:rPr>
                      <w:rFonts w:hint="default" w:ascii="Times New Roman" w:hAnsi="Times New Roman" w:eastAsia="宋体" w:cs="Times New Roman"/>
                      <w:color w:val="auto"/>
                      <w:sz w:val="21"/>
                      <w:szCs w:val="21"/>
                      <w:u w:val="none" w:color="auto"/>
                      <w:lang w:val="en-US" w:eastAsia="zh-CN"/>
                    </w:rPr>
                    <w:t>（按点声源组预测）</w:t>
                  </w:r>
                </w:p>
              </w:tc>
              <w:tc>
                <w:tcPr>
                  <w:tcW w:w="549" w:type="dxa"/>
                  <w:vMerge w:val="restart"/>
                  <w:tcBorders>
                    <w:tl2br w:val="nil"/>
                    <w:tr2bl w:val="nil"/>
                  </w:tcBorders>
                  <w:noWrap w:val="0"/>
                  <w:vAlign w:val="center"/>
                </w:tcPr>
                <w:p w14:paraId="051BF7D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89.77</w:t>
                  </w:r>
                </w:p>
              </w:tc>
              <w:tc>
                <w:tcPr>
                  <w:tcW w:w="518" w:type="dxa"/>
                  <w:vMerge w:val="continue"/>
                  <w:tcBorders>
                    <w:tl2br w:val="nil"/>
                    <w:tr2bl w:val="nil"/>
                  </w:tcBorders>
                  <w:noWrap w:val="0"/>
                  <w:vAlign w:val="center"/>
                </w:tcPr>
                <w:p w14:paraId="1808CC5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restart"/>
                  <w:tcBorders>
                    <w:tl2br w:val="nil"/>
                    <w:tr2bl w:val="nil"/>
                  </w:tcBorders>
                  <w:noWrap w:val="0"/>
                  <w:vAlign w:val="center"/>
                </w:tcPr>
                <w:p w14:paraId="0C39BD1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-26</w:t>
                  </w:r>
                </w:p>
              </w:tc>
              <w:tc>
                <w:tcPr>
                  <w:tcW w:w="491" w:type="dxa"/>
                  <w:vMerge w:val="restart"/>
                  <w:tcBorders>
                    <w:tl2br w:val="nil"/>
                    <w:tr2bl w:val="nil"/>
                  </w:tcBorders>
                  <w:noWrap w:val="0"/>
                  <w:vAlign w:val="center"/>
                </w:tcPr>
                <w:p w14:paraId="533B8C0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39</w:t>
                  </w:r>
                </w:p>
              </w:tc>
              <w:tc>
                <w:tcPr>
                  <w:tcW w:w="585" w:type="dxa"/>
                  <w:vMerge w:val="restart"/>
                  <w:tcBorders>
                    <w:tl2br w:val="nil"/>
                    <w:tr2bl w:val="nil"/>
                  </w:tcBorders>
                  <w:noWrap w:val="0"/>
                  <w:vAlign w:val="center"/>
                </w:tcPr>
                <w:p w14:paraId="3AD829E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0.8</w:t>
                  </w:r>
                </w:p>
              </w:tc>
              <w:tc>
                <w:tcPr>
                  <w:tcW w:w="453" w:type="dxa"/>
                  <w:tcBorders>
                    <w:tl2br w:val="nil"/>
                    <w:tr2bl w:val="nil"/>
                  </w:tcBorders>
                  <w:noWrap w:val="0"/>
                  <w:vAlign w:val="center"/>
                </w:tcPr>
                <w:p w14:paraId="515FDAD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东</w:t>
                  </w:r>
                </w:p>
              </w:tc>
              <w:tc>
                <w:tcPr>
                  <w:tcW w:w="583" w:type="dxa"/>
                  <w:tcBorders>
                    <w:tl2br w:val="nil"/>
                    <w:tr2bl w:val="nil"/>
                  </w:tcBorders>
                  <w:noWrap w:val="0"/>
                  <w:vAlign w:val="center"/>
                </w:tcPr>
                <w:p w14:paraId="4DD0133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62</w:t>
                  </w:r>
                </w:p>
              </w:tc>
              <w:tc>
                <w:tcPr>
                  <w:tcW w:w="924" w:type="dxa"/>
                  <w:tcBorders>
                    <w:tl2br w:val="nil"/>
                    <w:tr2bl w:val="nil"/>
                  </w:tcBorders>
                  <w:noWrap w:val="0"/>
                  <w:vAlign w:val="center"/>
                </w:tcPr>
                <w:p w14:paraId="45DE96C9">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71.82 </w:t>
                  </w:r>
                </w:p>
              </w:tc>
              <w:tc>
                <w:tcPr>
                  <w:tcW w:w="405" w:type="dxa"/>
                  <w:vMerge w:val="continue"/>
                  <w:tcBorders>
                    <w:tl2br w:val="nil"/>
                    <w:tr2bl w:val="nil"/>
                  </w:tcBorders>
                  <w:noWrap w:val="0"/>
                  <w:vAlign w:val="center"/>
                </w:tcPr>
                <w:p w14:paraId="673422D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23D0CEC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6A7B2E77">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45.82 </w:t>
                  </w:r>
                </w:p>
              </w:tc>
              <w:tc>
                <w:tcPr>
                  <w:tcW w:w="454" w:type="dxa"/>
                  <w:tcBorders>
                    <w:tl2br w:val="nil"/>
                    <w:tr2bl w:val="nil"/>
                  </w:tcBorders>
                  <w:noWrap w:val="0"/>
                  <w:vAlign w:val="center"/>
                </w:tcPr>
                <w:p w14:paraId="6A99C65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2A621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423E56E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1FD603B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5969F4B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6F08A82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5812119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1AF249C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665BE1C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7CF1941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南</w:t>
                  </w:r>
                </w:p>
              </w:tc>
              <w:tc>
                <w:tcPr>
                  <w:tcW w:w="583" w:type="dxa"/>
                  <w:tcBorders>
                    <w:tl2br w:val="nil"/>
                    <w:tr2bl w:val="nil"/>
                  </w:tcBorders>
                  <w:noWrap w:val="0"/>
                  <w:vAlign w:val="center"/>
                </w:tcPr>
                <w:p w14:paraId="7211DA6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85</w:t>
                  </w:r>
                </w:p>
              </w:tc>
              <w:tc>
                <w:tcPr>
                  <w:tcW w:w="924" w:type="dxa"/>
                  <w:tcBorders>
                    <w:tl2br w:val="nil"/>
                    <w:tr2bl w:val="nil"/>
                  </w:tcBorders>
                  <w:noWrap w:val="0"/>
                  <w:vAlign w:val="center"/>
                </w:tcPr>
                <w:p w14:paraId="42308E44">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71.82 </w:t>
                  </w:r>
                </w:p>
              </w:tc>
              <w:tc>
                <w:tcPr>
                  <w:tcW w:w="405" w:type="dxa"/>
                  <w:vMerge w:val="continue"/>
                  <w:tcBorders>
                    <w:tl2br w:val="nil"/>
                    <w:tr2bl w:val="nil"/>
                  </w:tcBorders>
                  <w:noWrap w:val="0"/>
                  <w:vAlign w:val="center"/>
                </w:tcPr>
                <w:p w14:paraId="0A7A65D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0FA65D1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3B36D104">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45.82 </w:t>
                  </w:r>
                </w:p>
              </w:tc>
              <w:tc>
                <w:tcPr>
                  <w:tcW w:w="454" w:type="dxa"/>
                  <w:tcBorders>
                    <w:tl2br w:val="nil"/>
                    <w:tr2bl w:val="nil"/>
                  </w:tcBorders>
                  <w:noWrap w:val="0"/>
                  <w:vAlign w:val="center"/>
                </w:tcPr>
                <w:p w14:paraId="530BEA9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10BD6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5EDDD1E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6E88769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2084F81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53185DA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57A773F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6CBE665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353422E5">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26A79E9F">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西</w:t>
                  </w:r>
                </w:p>
              </w:tc>
              <w:tc>
                <w:tcPr>
                  <w:tcW w:w="583" w:type="dxa"/>
                  <w:tcBorders>
                    <w:tl2br w:val="nil"/>
                    <w:tr2bl w:val="nil"/>
                  </w:tcBorders>
                  <w:noWrap w:val="0"/>
                  <w:vAlign w:val="center"/>
                </w:tcPr>
                <w:p w14:paraId="7835E83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10</w:t>
                  </w:r>
                </w:p>
              </w:tc>
              <w:tc>
                <w:tcPr>
                  <w:tcW w:w="924" w:type="dxa"/>
                  <w:tcBorders>
                    <w:tl2br w:val="nil"/>
                    <w:tr2bl w:val="nil"/>
                  </w:tcBorders>
                  <w:noWrap w:val="0"/>
                  <w:vAlign w:val="center"/>
                </w:tcPr>
                <w:p w14:paraId="2840BD6A">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72.22 </w:t>
                  </w:r>
                </w:p>
              </w:tc>
              <w:tc>
                <w:tcPr>
                  <w:tcW w:w="405" w:type="dxa"/>
                  <w:vMerge w:val="continue"/>
                  <w:tcBorders>
                    <w:tl2br w:val="nil"/>
                    <w:tr2bl w:val="nil"/>
                  </w:tcBorders>
                  <w:noWrap w:val="0"/>
                  <w:vAlign w:val="center"/>
                </w:tcPr>
                <w:p w14:paraId="613988E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45E1C0D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7C4A366C">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46.22 </w:t>
                  </w:r>
                </w:p>
              </w:tc>
              <w:tc>
                <w:tcPr>
                  <w:tcW w:w="454" w:type="dxa"/>
                  <w:tcBorders>
                    <w:tl2br w:val="nil"/>
                    <w:tr2bl w:val="nil"/>
                  </w:tcBorders>
                  <w:noWrap w:val="0"/>
                  <w:vAlign w:val="center"/>
                </w:tcPr>
                <w:p w14:paraId="06B6102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47800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592FD54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4254B93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0A78167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5718A87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0415010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15976E6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5A0A365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7127F573">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北</w:t>
                  </w:r>
                </w:p>
              </w:tc>
              <w:tc>
                <w:tcPr>
                  <w:tcW w:w="583" w:type="dxa"/>
                  <w:tcBorders>
                    <w:tl2br w:val="nil"/>
                    <w:tr2bl w:val="nil"/>
                  </w:tcBorders>
                  <w:noWrap w:val="0"/>
                  <w:vAlign w:val="center"/>
                </w:tcPr>
                <w:p w14:paraId="7D68A6A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7</w:t>
                  </w:r>
                </w:p>
              </w:tc>
              <w:tc>
                <w:tcPr>
                  <w:tcW w:w="924" w:type="dxa"/>
                  <w:tcBorders>
                    <w:tl2br w:val="nil"/>
                    <w:tr2bl w:val="nil"/>
                  </w:tcBorders>
                  <w:noWrap w:val="0"/>
                  <w:vAlign w:val="center"/>
                </w:tcPr>
                <w:p w14:paraId="759CD3CA">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72.61 </w:t>
                  </w:r>
                </w:p>
              </w:tc>
              <w:tc>
                <w:tcPr>
                  <w:tcW w:w="405" w:type="dxa"/>
                  <w:vMerge w:val="continue"/>
                  <w:tcBorders>
                    <w:tl2br w:val="nil"/>
                    <w:tr2bl w:val="nil"/>
                  </w:tcBorders>
                  <w:noWrap w:val="0"/>
                  <w:vAlign w:val="center"/>
                </w:tcPr>
                <w:p w14:paraId="1B66178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1F44380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1F06414A">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46.61 </w:t>
                  </w:r>
                </w:p>
              </w:tc>
              <w:tc>
                <w:tcPr>
                  <w:tcW w:w="454" w:type="dxa"/>
                  <w:tcBorders>
                    <w:tl2br w:val="nil"/>
                    <w:tr2bl w:val="nil"/>
                  </w:tcBorders>
                  <w:noWrap w:val="0"/>
                  <w:vAlign w:val="center"/>
                </w:tcPr>
                <w:p w14:paraId="2076C79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784D6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restart"/>
                  <w:tcBorders>
                    <w:tl2br w:val="nil"/>
                    <w:tr2bl w:val="nil"/>
                  </w:tcBorders>
                  <w:noWrap w:val="0"/>
                  <w:vAlign w:val="center"/>
                </w:tcPr>
                <w:p w14:paraId="300698E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10</w:t>
                  </w:r>
                </w:p>
              </w:tc>
              <w:tc>
                <w:tcPr>
                  <w:tcW w:w="949" w:type="dxa"/>
                  <w:vMerge w:val="restart"/>
                  <w:tcBorders>
                    <w:tl2br w:val="nil"/>
                    <w:tr2bl w:val="nil"/>
                  </w:tcBorders>
                  <w:noWrap w:val="0"/>
                  <w:vAlign w:val="center"/>
                </w:tcPr>
                <w:p w14:paraId="7A4F73C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气动打磨机2台</w:t>
                  </w:r>
                  <w:r>
                    <w:rPr>
                      <w:rFonts w:hint="default" w:ascii="Times New Roman" w:hAnsi="Times New Roman" w:eastAsia="宋体" w:cs="Times New Roman"/>
                      <w:color w:val="auto"/>
                      <w:sz w:val="21"/>
                      <w:szCs w:val="21"/>
                      <w:u w:val="none" w:color="auto"/>
                      <w:lang w:val="en-US" w:eastAsia="zh-CN"/>
                    </w:rPr>
                    <w:t>（按点声源组预测）</w:t>
                  </w:r>
                </w:p>
              </w:tc>
              <w:tc>
                <w:tcPr>
                  <w:tcW w:w="549" w:type="dxa"/>
                  <w:vMerge w:val="restart"/>
                  <w:tcBorders>
                    <w:tl2br w:val="nil"/>
                    <w:tr2bl w:val="nil"/>
                  </w:tcBorders>
                  <w:noWrap w:val="0"/>
                  <w:vAlign w:val="center"/>
                </w:tcPr>
                <w:p w14:paraId="2798C76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88</w:t>
                  </w:r>
                </w:p>
              </w:tc>
              <w:tc>
                <w:tcPr>
                  <w:tcW w:w="518" w:type="dxa"/>
                  <w:vMerge w:val="continue"/>
                  <w:tcBorders>
                    <w:tl2br w:val="nil"/>
                    <w:tr2bl w:val="nil"/>
                  </w:tcBorders>
                  <w:noWrap w:val="0"/>
                  <w:vAlign w:val="center"/>
                </w:tcPr>
                <w:p w14:paraId="3C48410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restart"/>
                  <w:tcBorders>
                    <w:tl2br w:val="nil"/>
                    <w:tr2bl w:val="nil"/>
                  </w:tcBorders>
                  <w:noWrap w:val="0"/>
                  <w:vAlign w:val="center"/>
                </w:tcPr>
                <w:p w14:paraId="1A3CE6E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30</w:t>
                  </w:r>
                </w:p>
              </w:tc>
              <w:tc>
                <w:tcPr>
                  <w:tcW w:w="491" w:type="dxa"/>
                  <w:vMerge w:val="restart"/>
                  <w:tcBorders>
                    <w:tl2br w:val="nil"/>
                    <w:tr2bl w:val="nil"/>
                  </w:tcBorders>
                  <w:noWrap w:val="0"/>
                  <w:vAlign w:val="center"/>
                </w:tcPr>
                <w:p w14:paraId="16721ED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5</w:t>
                  </w:r>
                </w:p>
              </w:tc>
              <w:tc>
                <w:tcPr>
                  <w:tcW w:w="585" w:type="dxa"/>
                  <w:vMerge w:val="restart"/>
                  <w:tcBorders>
                    <w:tl2br w:val="nil"/>
                    <w:tr2bl w:val="nil"/>
                  </w:tcBorders>
                  <w:noWrap w:val="0"/>
                  <w:vAlign w:val="center"/>
                </w:tcPr>
                <w:p w14:paraId="11D8E60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0.8</w:t>
                  </w:r>
                </w:p>
              </w:tc>
              <w:tc>
                <w:tcPr>
                  <w:tcW w:w="453" w:type="dxa"/>
                  <w:tcBorders>
                    <w:tl2br w:val="nil"/>
                    <w:tr2bl w:val="nil"/>
                  </w:tcBorders>
                  <w:noWrap w:val="0"/>
                  <w:vAlign w:val="center"/>
                </w:tcPr>
                <w:p w14:paraId="114377D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东</w:t>
                  </w:r>
                </w:p>
              </w:tc>
              <w:tc>
                <w:tcPr>
                  <w:tcW w:w="583" w:type="dxa"/>
                  <w:tcBorders>
                    <w:tl2br w:val="nil"/>
                    <w:tr2bl w:val="nil"/>
                  </w:tcBorders>
                  <w:noWrap w:val="0"/>
                  <w:vAlign w:val="center"/>
                </w:tcPr>
                <w:p w14:paraId="2179CD5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8</w:t>
                  </w:r>
                </w:p>
              </w:tc>
              <w:tc>
                <w:tcPr>
                  <w:tcW w:w="924" w:type="dxa"/>
                  <w:tcBorders>
                    <w:tl2br w:val="nil"/>
                    <w:tr2bl w:val="nil"/>
                  </w:tcBorders>
                  <w:noWrap w:val="0"/>
                  <w:vAlign w:val="center"/>
                </w:tcPr>
                <w:p w14:paraId="62EACE4B">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70.37 </w:t>
                  </w:r>
                </w:p>
              </w:tc>
              <w:tc>
                <w:tcPr>
                  <w:tcW w:w="405" w:type="dxa"/>
                  <w:vMerge w:val="continue"/>
                  <w:tcBorders>
                    <w:tl2br w:val="nil"/>
                    <w:tr2bl w:val="nil"/>
                  </w:tcBorders>
                  <w:noWrap w:val="0"/>
                  <w:vAlign w:val="center"/>
                </w:tcPr>
                <w:p w14:paraId="110D58D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767CA59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11BE2D16">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44.37 </w:t>
                  </w:r>
                </w:p>
              </w:tc>
              <w:tc>
                <w:tcPr>
                  <w:tcW w:w="454" w:type="dxa"/>
                  <w:tcBorders>
                    <w:tl2br w:val="nil"/>
                    <w:tr2bl w:val="nil"/>
                  </w:tcBorders>
                  <w:noWrap w:val="0"/>
                  <w:vAlign w:val="center"/>
                </w:tcPr>
                <w:p w14:paraId="0039E6E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60377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31F164E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3144460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738949D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001186D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55FB296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49B4C5F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5814721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15B3FE6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南</w:t>
                  </w:r>
                </w:p>
              </w:tc>
              <w:tc>
                <w:tcPr>
                  <w:tcW w:w="583" w:type="dxa"/>
                  <w:tcBorders>
                    <w:tl2br w:val="nil"/>
                    <w:tr2bl w:val="nil"/>
                  </w:tcBorders>
                  <w:noWrap w:val="0"/>
                  <w:vAlign w:val="center"/>
                </w:tcPr>
                <w:p w14:paraId="3410498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40</w:t>
                  </w:r>
                </w:p>
              </w:tc>
              <w:tc>
                <w:tcPr>
                  <w:tcW w:w="924" w:type="dxa"/>
                  <w:tcBorders>
                    <w:tl2br w:val="nil"/>
                    <w:tr2bl w:val="nil"/>
                  </w:tcBorders>
                  <w:noWrap w:val="0"/>
                  <w:vAlign w:val="center"/>
                </w:tcPr>
                <w:p w14:paraId="7A225025">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70.05 </w:t>
                  </w:r>
                </w:p>
              </w:tc>
              <w:tc>
                <w:tcPr>
                  <w:tcW w:w="405" w:type="dxa"/>
                  <w:vMerge w:val="continue"/>
                  <w:tcBorders>
                    <w:tl2br w:val="nil"/>
                    <w:tr2bl w:val="nil"/>
                  </w:tcBorders>
                  <w:noWrap w:val="0"/>
                  <w:vAlign w:val="center"/>
                </w:tcPr>
                <w:p w14:paraId="684FB64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2D0B3B10">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2CAF521B">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44.05 </w:t>
                  </w:r>
                </w:p>
              </w:tc>
              <w:tc>
                <w:tcPr>
                  <w:tcW w:w="454" w:type="dxa"/>
                  <w:tcBorders>
                    <w:tl2br w:val="nil"/>
                    <w:tr2bl w:val="nil"/>
                  </w:tcBorders>
                  <w:noWrap w:val="0"/>
                  <w:vAlign w:val="center"/>
                </w:tcPr>
                <w:p w14:paraId="43183BF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0F6B0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478954F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6951FA5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0B60890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3E1A0A3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2738664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1FA3096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6A1B6081">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6069C70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西</w:t>
                  </w:r>
                </w:p>
              </w:tc>
              <w:tc>
                <w:tcPr>
                  <w:tcW w:w="583" w:type="dxa"/>
                  <w:tcBorders>
                    <w:tl2br w:val="nil"/>
                    <w:tr2bl w:val="nil"/>
                  </w:tcBorders>
                  <w:noWrap w:val="0"/>
                  <w:vAlign w:val="center"/>
                </w:tcPr>
                <w:p w14:paraId="769408F2">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68</w:t>
                  </w:r>
                </w:p>
              </w:tc>
              <w:tc>
                <w:tcPr>
                  <w:tcW w:w="924" w:type="dxa"/>
                  <w:tcBorders>
                    <w:tl2br w:val="nil"/>
                    <w:tr2bl w:val="nil"/>
                  </w:tcBorders>
                  <w:noWrap w:val="0"/>
                  <w:vAlign w:val="center"/>
                </w:tcPr>
                <w:p w14:paraId="0EA5EB30">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70.05 </w:t>
                  </w:r>
                </w:p>
              </w:tc>
              <w:tc>
                <w:tcPr>
                  <w:tcW w:w="405" w:type="dxa"/>
                  <w:vMerge w:val="continue"/>
                  <w:tcBorders>
                    <w:tl2br w:val="nil"/>
                    <w:tr2bl w:val="nil"/>
                  </w:tcBorders>
                  <w:noWrap w:val="0"/>
                  <w:vAlign w:val="center"/>
                </w:tcPr>
                <w:p w14:paraId="7BCDE8A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3B7D990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3F2D06CB">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44.05 </w:t>
                  </w:r>
                </w:p>
              </w:tc>
              <w:tc>
                <w:tcPr>
                  <w:tcW w:w="454" w:type="dxa"/>
                  <w:tcBorders>
                    <w:tl2br w:val="nil"/>
                    <w:tr2bl w:val="nil"/>
                  </w:tcBorders>
                  <w:noWrap w:val="0"/>
                  <w:vAlign w:val="center"/>
                </w:tcPr>
                <w:p w14:paraId="417FF31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2CF26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Merge w:val="continue"/>
                  <w:tcBorders>
                    <w:tl2br w:val="nil"/>
                    <w:tr2bl w:val="nil"/>
                  </w:tcBorders>
                  <w:noWrap w:val="0"/>
                  <w:vAlign w:val="center"/>
                </w:tcPr>
                <w:p w14:paraId="3E0348C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49" w:type="dxa"/>
                  <w:vMerge w:val="continue"/>
                  <w:tcBorders>
                    <w:tl2br w:val="nil"/>
                    <w:tr2bl w:val="nil"/>
                  </w:tcBorders>
                  <w:noWrap w:val="0"/>
                  <w:vAlign w:val="center"/>
                </w:tcPr>
                <w:p w14:paraId="7A405E1A">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49" w:type="dxa"/>
                  <w:vMerge w:val="continue"/>
                  <w:tcBorders>
                    <w:tl2br w:val="nil"/>
                    <w:tr2bl w:val="nil"/>
                  </w:tcBorders>
                  <w:noWrap w:val="0"/>
                  <w:vAlign w:val="center"/>
                </w:tcPr>
                <w:p w14:paraId="627BCB7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18" w:type="dxa"/>
                  <w:vMerge w:val="continue"/>
                  <w:tcBorders>
                    <w:tl2br w:val="nil"/>
                    <w:tr2bl w:val="nil"/>
                  </w:tcBorders>
                  <w:noWrap w:val="0"/>
                  <w:vAlign w:val="center"/>
                </w:tcPr>
                <w:p w14:paraId="557BC609">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vMerge w:val="continue"/>
                  <w:tcBorders>
                    <w:tl2br w:val="nil"/>
                    <w:tr2bl w:val="nil"/>
                  </w:tcBorders>
                  <w:noWrap w:val="0"/>
                  <w:vAlign w:val="center"/>
                </w:tcPr>
                <w:p w14:paraId="47C44D8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1" w:type="dxa"/>
                  <w:vMerge w:val="continue"/>
                  <w:tcBorders>
                    <w:tl2br w:val="nil"/>
                    <w:tr2bl w:val="nil"/>
                  </w:tcBorders>
                  <w:noWrap w:val="0"/>
                  <w:vAlign w:val="center"/>
                </w:tcPr>
                <w:p w14:paraId="7337FFB4">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585" w:type="dxa"/>
                  <w:vMerge w:val="continue"/>
                  <w:tcBorders>
                    <w:tl2br w:val="nil"/>
                    <w:tr2bl w:val="nil"/>
                  </w:tcBorders>
                  <w:noWrap w:val="0"/>
                  <w:vAlign w:val="center"/>
                </w:tcPr>
                <w:p w14:paraId="466A9D3C">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53" w:type="dxa"/>
                  <w:tcBorders>
                    <w:tl2br w:val="nil"/>
                    <w:tr2bl w:val="nil"/>
                  </w:tcBorders>
                  <w:noWrap w:val="0"/>
                  <w:vAlign w:val="center"/>
                </w:tcPr>
                <w:p w14:paraId="4019A2DE">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北</w:t>
                  </w:r>
                </w:p>
              </w:tc>
              <w:tc>
                <w:tcPr>
                  <w:tcW w:w="583" w:type="dxa"/>
                  <w:tcBorders>
                    <w:tl2br w:val="nil"/>
                    <w:tr2bl w:val="nil"/>
                  </w:tcBorders>
                  <w:noWrap w:val="0"/>
                  <w:vAlign w:val="center"/>
                </w:tcPr>
                <w:p w14:paraId="1844EEE7">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40</w:t>
                  </w:r>
                </w:p>
              </w:tc>
              <w:tc>
                <w:tcPr>
                  <w:tcW w:w="924" w:type="dxa"/>
                  <w:tcBorders>
                    <w:tl2br w:val="nil"/>
                    <w:tr2bl w:val="nil"/>
                  </w:tcBorders>
                  <w:noWrap w:val="0"/>
                  <w:vAlign w:val="center"/>
                </w:tcPr>
                <w:p w14:paraId="2C2EBD14">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70.05 </w:t>
                  </w:r>
                </w:p>
              </w:tc>
              <w:tc>
                <w:tcPr>
                  <w:tcW w:w="405" w:type="dxa"/>
                  <w:vMerge w:val="continue"/>
                  <w:tcBorders>
                    <w:tl2br w:val="nil"/>
                    <w:tr2bl w:val="nil"/>
                  </w:tcBorders>
                  <w:noWrap w:val="0"/>
                  <w:vAlign w:val="center"/>
                </w:tcPr>
                <w:p w14:paraId="0E8A6EFB">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499" w:type="dxa"/>
                  <w:vMerge w:val="continue"/>
                  <w:tcBorders>
                    <w:tl2br w:val="nil"/>
                    <w:tr2bl w:val="nil"/>
                  </w:tcBorders>
                  <w:noWrap w:val="0"/>
                  <w:vAlign w:val="center"/>
                </w:tcPr>
                <w:p w14:paraId="54AFC1B8">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p>
              </w:tc>
              <w:tc>
                <w:tcPr>
                  <w:tcW w:w="987" w:type="dxa"/>
                  <w:tcBorders>
                    <w:tl2br w:val="nil"/>
                    <w:tr2bl w:val="nil"/>
                  </w:tcBorders>
                  <w:noWrap w:val="0"/>
                  <w:vAlign w:val="center"/>
                </w:tcPr>
                <w:p w14:paraId="06D7B41A">
                  <w:pPr>
                    <w:adjustRightInd w:val="0"/>
                    <w:snapToGrid w:val="0"/>
                    <w:spacing w:line="240" w:lineRule="auto"/>
                    <w:jc w:val="center"/>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 xml:space="preserve">44.05 </w:t>
                  </w:r>
                </w:p>
              </w:tc>
              <w:tc>
                <w:tcPr>
                  <w:tcW w:w="454" w:type="dxa"/>
                  <w:tcBorders>
                    <w:tl2br w:val="nil"/>
                    <w:tr2bl w:val="nil"/>
                  </w:tcBorders>
                  <w:noWrap w:val="0"/>
                  <w:vAlign w:val="center"/>
                </w:tcPr>
                <w:p w14:paraId="4A173E06">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r>
            <w:tr w14:paraId="07DD3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77" w:type="dxa"/>
                  <w:gridSpan w:val="14"/>
                  <w:noWrap w:val="0"/>
                  <w:vAlign w:val="center"/>
                </w:tcPr>
                <w:p w14:paraId="312532AD">
                  <w:pPr>
                    <w:adjustRightInd w:val="0"/>
                    <w:snapToGrid w:val="0"/>
                    <w:spacing w:line="240" w:lineRule="auto"/>
                    <w:jc w:val="center"/>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single" w:color="auto"/>
                      <w:lang w:val="en-US" w:eastAsia="zh-CN"/>
                    </w:rPr>
                    <w:t>注</w:t>
                  </w:r>
                  <w:r>
                    <w:rPr>
                      <w:rFonts w:hint="eastAsia" w:ascii="Times New Roman" w:hAnsi="Times New Roman" w:eastAsia="宋体" w:cs="Times New Roman"/>
                      <w:color w:val="auto"/>
                      <w:sz w:val="21"/>
                      <w:szCs w:val="21"/>
                      <w:u w:val="single" w:color="auto"/>
                      <w:lang w:val="en-US" w:eastAsia="zh-CN"/>
                    </w:rPr>
                    <w:t>：</w:t>
                  </w:r>
                  <w:r>
                    <w:rPr>
                      <w:rFonts w:hint="default" w:ascii="Times New Roman" w:hAnsi="Times New Roman" w:eastAsia="宋体" w:cs="Times New Roman"/>
                      <w:color w:val="auto"/>
                      <w:sz w:val="21"/>
                      <w:szCs w:val="21"/>
                      <w:u w:val="single" w:color="auto"/>
                      <w:lang w:val="en-US" w:eastAsia="zh-CN"/>
                    </w:rPr>
                    <w:t>表中坐标以</w:t>
                  </w:r>
                  <w:r>
                    <w:rPr>
                      <w:rFonts w:hint="eastAsia" w:ascii="Times New Roman" w:hAnsi="Times New Roman" w:eastAsia="宋体" w:cs="Times New Roman"/>
                      <w:color w:val="auto"/>
                      <w:sz w:val="21"/>
                      <w:szCs w:val="21"/>
                      <w:u w:val="single" w:color="auto"/>
                      <w:lang w:val="en-US" w:eastAsia="zh-CN"/>
                    </w:rPr>
                    <w:t>（112.935205141</w:t>
                  </w:r>
                  <w:r>
                    <w:rPr>
                      <w:rFonts w:hint="eastAsia" w:cs="Times New Roman"/>
                      <w:color w:val="auto"/>
                      <w:sz w:val="21"/>
                      <w:szCs w:val="21"/>
                      <w:u w:val="single" w:color="auto"/>
                      <w:lang w:val="en-US" w:eastAsia="zh-CN"/>
                    </w:rPr>
                    <w:t>，</w:t>
                  </w:r>
                  <w:r>
                    <w:rPr>
                      <w:rFonts w:hint="eastAsia" w:ascii="Times New Roman" w:hAnsi="Times New Roman" w:eastAsia="宋体" w:cs="Times New Roman"/>
                      <w:color w:val="auto"/>
                      <w:sz w:val="21"/>
                      <w:szCs w:val="21"/>
                      <w:u w:val="single" w:color="auto"/>
                      <w:lang w:val="en-US" w:eastAsia="zh-CN"/>
                    </w:rPr>
                    <w:t>27.740353724</w:t>
                  </w:r>
                  <w:r>
                    <w:rPr>
                      <w:rFonts w:hint="eastAsia" w:cs="Times New Roman"/>
                      <w:color w:val="auto"/>
                      <w:sz w:val="21"/>
                      <w:szCs w:val="21"/>
                      <w:u w:val="single" w:color="auto"/>
                      <w:lang w:val="en-US" w:eastAsia="zh-CN"/>
                    </w:rPr>
                    <w:t>，</w:t>
                  </w:r>
                  <w:r>
                    <w:rPr>
                      <w:rFonts w:hint="eastAsia" w:ascii="Times New Roman" w:hAnsi="Times New Roman" w:eastAsia="宋体" w:cs="Times New Roman"/>
                      <w:color w:val="auto"/>
                      <w:sz w:val="21"/>
                      <w:szCs w:val="21"/>
                      <w:u w:val="single" w:color="auto"/>
                      <w:lang w:val="en-US" w:eastAsia="zh-CN"/>
                    </w:rPr>
                    <w:t>66.113</w:t>
                  </w:r>
                  <w:r>
                    <w:rPr>
                      <w:rFonts w:hint="default" w:ascii="Times New Roman" w:hAnsi="Times New Roman" w:eastAsia="宋体" w:cs="Times New Roman"/>
                      <w:color w:val="auto"/>
                      <w:sz w:val="21"/>
                      <w:szCs w:val="21"/>
                      <w:u w:val="single" w:color="auto"/>
                      <w:lang w:val="en-US" w:eastAsia="zh-CN"/>
                    </w:rPr>
                    <w:t>）为坐标原点，</w:t>
                  </w:r>
                  <w:r>
                    <w:rPr>
                      <w:rFonts w:hint="eastAsia" w:ascii="Times New Roman" w:hAnsi="Times New Roman" w:eastAsia="宋体" w:cs="Times New Roman"/>
                      <w:color w:val="auto"/>
                      <w:sz w:val="21"/>
                      <w:szCs w:val="21"/>
                      <w:u w:val="single" w:color="auto"/>
                      <w:lang w:val="en-US" w:eastAsia="zh-CN"/>
                    </w:rPr>
                    <w:t>东向</w:t>
                  </w:r>
                  <w:r>
                    <w:rPr>
                      <w:rFonts w:hint="default" w:ascii="Times New Roman" w:hAnsi="Times New Roman" w:eastAsia="宋体" w:cs="Times New Roman"/>
                      <w:color w:val="auto"/>
                      <w:sz w:val="21"/>
                      <w:szCs w:val="21"/>
                      <w:u w:val="single" w:color="auto"/>
                      <w:lang w:val="en-US" w:eastAsia="zh-CN"/>
                    </w:rPr>
                    <w:t>为X轴正方向，北向为Y轴正方向</w:t>
                  </w:r>
                  <w:r>
                    <w:rPr>
                      <w:rFonts w:hint="eastAsia" w:cs="Times New Roman"/>
                      <w:color w:val="auto"/>
                      <w:sz w:val="21"/>
                      <w:szCs w:val="21"/>
                      <w:u w:val="single" w:color="auto"/>
                      <w:lang w:val="en-US" w:eastAsia="zh-CN"/>
                    </w:rPr>
                    <w:t>；设备设置在室内，通过建筑隔声阻挡噪声的传播，降噪效果约为20dB（A）。根据公式Lp2=Lp1-（TL+6），本评价建筑物隔声量取值为20dB(A)，建筑物插入损失为26dB(A)</w:t>
                  </w:r>
                </w:p>
              </w:tc>
            </w:tr>
          </w:tbl>
          <w:p w14:paraId="0547A0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u w:val="single" w:color="auto"/>
              </w:rPr>
            </w:pPr>
            <w:r>
              <w:rPr>
                <w:rFonts w:hint="default" w:ascii="Times New Roman" w:hAnsi="Times New Roman" w:eastAsia="宋体" w:cs="Times New Roman"/>
                <w:b/>
                <w:bCs/>
                <w:color w:val="auto"/>
                <w:sz w:val="21"/>
                <w:szCs w:val="21"/>
                <w:highlight w:val="none"/>
                <w:u w:val="single" w:color="auto"/>
                <w:lang w:val="en-US" w:eastAsia="zh-CN"/>
              </w:rPr>
              <w:t>表4-</w:t>
            </w:r>
            <w:r>
              <w:rPr>
                <w:rFonts w:hint="eastAsia" w:cs="Times New Roman"/>
                <w:b/>
                <w:bCs/>
                <w:color w:val="auto"/>
                <w:sz w:val="21"/>
                <w:szCs w:val="21"/>
                <w:highlight w:val="none"/>
                <w:u w:val="single" w:color="auto"/>
                <w:lang w:val="en-US" w:eastAsia="zh-CN"/>
              </w:rPr>
              <w:t>13</w:t>
            </w:r>
            <w:r>
              <w:rPr>
                <w:rFonts w:hint="default" w:ascii="Times New Roman" w:hAnsi="Times New Roman" w:eastAsia="宋体" w:cs="Times New Roman"/>
                <w:b/>
                <w:bCs/>
                <w:color w:val="auto"/>
                <w:sz w:val="21"/>
                <w:szCs w:val="21"/>
                <w:highlight w:val="none"/>
                <w:u w:val="single" w:color="auto"/>
                <w:lang w:val="en-US" w:eastAsia="zh-CN"/>
              </w:rPr>
              <w:t xml:space="preserve">   </w:t>
            </w:r>
            <w:r>
              <w:rPr>
                <w:rFonts w:hint="eastAsia" w:ascii="Times New Roman" w:hAnsi="Times New Roman" w:eastAsia="宋体" w:cs="Times New Roman"/>
                <w:b/>
                <w:bCs/>
                <w:color w:val="auto"/>
                <w:sz w:val="21"/>
                <w:szCs w:val="21"/>
                <w:highlight w:val="none"/>
                <w:u w:val="single" w:color="auto"/>
                <w:lang w:val="en-US" w:eastAsia="zh-CN"/>
              </w:rPr>
              <w:t>本项目</w:t>
            </w:r>
            <w:r>
              <w:rPr>
                <w:rFonts w:hint="default" w:ascii="Times New Roman" w:hAnsi="Times New Roman" w:eastAsia="宋体" w:cs="Times New Roman"/>
                <w:b/>
                <w:bCs/>
                <w:color w:val="auto"/>
                <w:sz w:val="21"/>
                <w:szCs w:val="21"/>
                <w:highlight w:val="none"/>
                <w:u w:val="single" w:color="auto"/>
                <w:lang w:val="en-US" w:eastAsia="zh-CN"/>
              </w:rPr>
              <w:t>主要设备噪声源强一览表</w:t>
            </w:r>
            <w:r>
              <w:rPr>
                <w:rFonts w:hint="eastAsia" w:cs="Times New Roman"/>
                <w:b/>
                <w:bCs/>
                <w:color w:val="auto"/>
                <w:sz w:val="21"/>
                <w:szCs w:val="21"/>
                <w:highlight w:val="none"/>
                <w:u w:val="single" w:color="auto"/>
                <w:lang w:val="en-US" w:eastAsia="zh-CN"/>
              </w:rPr>
              <w:t>（室外声源）</w:t>
            </w:r>
          </w:p>
          <w:tbl>
            <w:tblPr>
              <w:tblStyle w:val="32"/>
              <w:tblW w:w="8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345"/>
              <w:gridCol w:w="642"/>
              <w:gridCol w:w="696"/>
              <w:gridCol w:w="829"/>
              <w:gridCol w:w="642"/>
              <w:gridCol w:w="826"/>
              <w:gridCol w:w="1309"/>
              <w:gridCol w:w="573"/>
              <w:gridCol w:w="708"/>
            </w:tblGrid>
            <w:tr w14:paraId="09FE0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6" w:type="dxa"/>
                  <w:vMerge w:val="restart"/>
                  <w:tcBorders>
                    <w:tl2br w:val="nil"/>
                    <w:tr2bl w:val="nil"/>
                  </w:tcBorders>
                  <w:shd w:val="clear" w:color="auto" w:fill="auto"/>
                  <w:noWrap w:val="0"/>
                  <w:vAlign w:val="center"/>
                </w:tcPr>
                <w:p w14:paraId="7128C58D">
                  <w:pPr>
                    <w:adjustRightInd w:val="0"/>
                    <w:snapToGrid w:val="0"/>
                    <w:spacing w:line="240" w:lineRule="auto"/>
                    <w:jc w:val="center"/>
                    <w:rPr>
                      <w:rFonts w:hint="eastAsia" w:ascii="Times New Roman" w:hAnsi="Times New Roman" w:eastAsia="宋体" w:cs="Times New Roman"/>
                      <w:b/>
                      <w:bCs/>
                      <w:color w:val="auto"/>
                      <w:kern w:val="2"/>
                      <w:sz w:val="21"/>
                      <w:szCs w:val="21"/>
                      <w:u w:val="single" w:color="auto"/>
                      <w:lang w:val="en-US" w:eastAsia="zh-CN" w:bidi="ar-SA"/>
                    </w:rPr>
                  </w:pPr>
                  <w:r>
                    <w:rPr>
                      <w:rFonts w:hint="default" w:ascii="Times New Roman" w:hAnsi="Times New Roman" w:eastAsia="宋体" w:cs="Times New Roman"/>
                      <w:b/>
                      <w:bCs/>
                      <w:color w:val="auto"/>
                      <w:sz w:val="21"/>
                      <w:szCs w:val="21"/>
                      <w:u w:val="single" w:color="auto"/>
                      <w:lang w:val="en-US" w:eastAsia="zh-CN"/>
                    </w:rPr>
                    <w:t>序号</w:t>
                  </w:r>
                </w:p>
              </w:tc>
              <w:tc>
                <w:tcPr>
                  <w:tcW w:w="1345" w:type="dxa"/>
                  <w:vMerge w:val="restart"/>
                  <w:tcBorders>
                    <w:tl2br w:val="nil"/>
                    <w:tr2bl w:val="nil"/>
                  </w:tcBorders>
                  <w:shd w:val="clear" w:color="auto" w:fill="auto"/>
                  <w:noWrap w:val="0"/>
                  <w:vAlign w:val="center"/>
                </w:tcPr>
                <w:p w14:paraId="72AA2D4D">
                  <w:pPr>
                    <w:adjustRightInd w:val="0"/>
                    <w:snapToGrid w:val="0"/>
                    <w:spacing w:line="240" w:lineRule="auto"/>
                    <w:jc w:val="center"/>
                    <w:rPr>
                      <w:rFonts w:hint="eastAsia" w:ascii="Times New Roman" w:hAnsi="Times New Roman" w:eastAsia="宋体" w:cs="Times New Roman"/>
                      <w:b/>
                      <w:bCs/>
                      <w:color w:val="auto"/>
                      <w:kern w:val="2"/>
                      <w:sz w:val="21"/>
                      <w:szCs w:val="21"/>
                      <w:u w:val="single" w:color="auto"/>
                      <w:lang w:val="en-US" w:eastAsia="zh-CN" w:bidi="ar-SA"/>
                    </w:rPr>
                  </w:pPr>
                  <w:r>
                    <w:rPr>
                      <w:rFonts w:hint="default" w:ascii="Times New Roman" w:hAnsi="Times New Roman" w:eastAsia="宋体" w:cs="Times New Roman"/>
                      <w:b/>
                      <w:bCs/>
                      <w:color w:val="auto"/>
                      <w:sz w:val="21"/>
                      <w:szCs w:val="21"/>
                      <w:u w:val="single" w:color="auto"/>
                      <w:lang w:val="en-US" w:eastAsia="zh-CN"/>
                    </w:rPr>
                    <w:t>声源名称</w:t>
                  </w:r>
                </w:p>
              </w:tc>
              <w:tc>
                <w:tcPr>
                  <w:tcW w:w="2167" w:type="dxa"/>
                  <w:gridSpan w:val="3"/>
                  <w:tcBorders>
                    <w:tl2br w:val="nil"/>
                    <w:tr2bl w:val="nil"/>
                  </w:tcBorders>
                  <w:shd w:val="clear" w:color="auto" w:fill="auto"/>
                  <w:noWrap w:val="0"/>
                  <w:vAlign w:val="center"/>
                </w:tcPr>
                <w:p w14:paraId="58BA8BC2">
                  <w:pPr>
                    <w:adjustRightInd w:val="0"/>
                    <w:snapToGrid w:val="0"/>
                    <w:spacing w:line="240" w:lineRule="auto"/>
                    <w:jc w:val="center"/>
                    <w:rPr>
                      <w:rFonts w:hint="eastAsia" w:ascii="Times New Roman" w:hAnsi="Times New Roman" w:eastAsia="宋体" w:cs="Times New Roman"/>
                      <w:b/>
                      <w:bCs/>
                      <w:color w:val="auto"/>
                      <w:kern w:val="2"/>
                      <w:sz w:val="21"/>
                      <w:szCs w:val="21"/>
                      <w:u w:val="single" w:color="auto"/>
                      <w:lang w:val="en-US" w:eastAsia="zh-CN" w:bidi="ar-SA"/>
                    </w:rPr>
                  </w:pPr>
                  <w:r>
                    <w:rPr>
                      <w:rFonts w:hint="default" w:ascii="Times New Roman" w:hAnsi="Times New Roman" w:eastAsia="宋体" w:cs="Times New Roman"/>
                      <w:b/>
                      <w:bCs/>
                      <w:color w:val="auto"/>
                      <w:sz w:val="21"/>
                      <w:szCs w:val="21"/>
                      <w:u w:val="single" w:color="auto"/>
                      <w:lang w:val="en-US" w:eastAsia="zh-CN"/>
                    </w:rPr>
                    <w:t>空间相对位置/m</w:t>
                  </w:r>
                </w:p>
              </w:tc>
              <w:tc>
                <w:tcPr>
                  <w:tcW w:w="1468" w:type="dxa"/>
                  <w:gridSpan w:val="2"/>
                  <w:vMerge w:val="restart"/>
                  <w:tcBorders>
                    <w:tl2br w:val="nil"/>
                    <w:tr2bl w:val="nil"/>
                  </w:tcBorders>
                  <w:shd w:val="clear" w:color="auto" w:fill="auto"/>
                  <w:noWrap w:val="0"/>
                  <w:vAlign w:val="center"/>
                </w:tcPr>
                <w:p w14:paraId="18003BC8">
                  <w:pPr>
                    <w:adjustRightInd w:val="0"/>
                    <w:snapToGrid w:val="0"/>
                    <w:spacing w:line="240" w:lineRule="auto"/>
                    <w:jc w:val="center"/>
                    <w:rPr>
                      <w:rFonts w:hint="eastAsia" w:ascii="Times New Roman" w:hAnsi="Times New Roman" w:eastAsia="宋体" w:cs="Times New Roman"/>
                      <w:b/>
                      <w:bCs/>
                      <w:color w:val="auto"/>
                      <w:kern w:val="2"/>
                      <w:sz w:val="21"/>
                      <w:szCs w:val="21"/>
                      <w:u w:val="single" w:color="auto"/>
                      <w:lang w:val="en-US" w:eastAsia="zh-CN" w:bidi="ar-SA"/>
                    </w:rPr>
                  </w:pPr>
                  <w:r>
                    <w:rPr>
                      <w:rFonts w:hint="default" w:ascii="Times New Roman" w:hAnsi="Times New Roman" w:eastAsia="宋体" w:cs="Times New Roman"/>
                      <w:b/>
                      <w:bCs/>
                      <w:color w:val="auto"/>
                      <w:sz w:val="21"/>
                      <w:szCs w:val="21"/>
                      <w:u w:val="single" w:color="auto"/>
                      <w:lang w:val="en-US" w:eastAsia="zh-CN"/>
                    </w:rPr>
                    <w:t>距室内边界距离/m</w:t>
                  </w:r>
                </w:p>
              </w:tc>
              <w:tc>
                <w:tcPr>
                  <w:tcW w:w="1309" w:type="dxa"/>
                  <w:vMerge w:val="restart"/>
                  <w:tcBorders>
                    <w:tl2br w:val="nil"/>
                    <w:tr2bl w:val="nil"/>
                  </w:tcBorders>
                  <w:shd w:val="clear" w:color="auto" w:fill="auto"/>
                  <w:noWrap w:val="0"/>
                  <w:vAlign w:val="center"/>
                </w:tcPr>
                <w:p w14:paraId="442EC8DB">
                  <w:pPr>
                    <w:adjustRightInd w:val="0"/>
                    <w:snapToGrid w:val="0"/>
                    <w:spacing w:line="240" w:lineRule="auto"/>
                    <w:jc w:val="center"/>
                    <w:rPr>
                      <w:rFonts w:hint="eastAsia" w:ascii="Times New Roman" w:hAnsi="Times New Roman" w:eastAsia="宋体" w:cs="Times New Roman"/>
                      <w:b/>
                      <w:bCs/>
                      <w:color w:val="auto"/>
                      <w:kern w:val="2"/>
                      <w:sz w:val="21"/>
                      <w:szCs w:val="21"/>
                      <w:u w:val="single" w:color="auto"/>
                      <w:lang w:val="en-US" w:eastAsia="zh-CN" w:bidi="ar-SA"/>
                    </w:rPr>
                  </w:pPr>
                  <w:r>
                    <w:rPr>
                      <w:rFonts w:hint="default" w:ascii="Times New Roman" w:hAnsi="Times New Roman" w:eastAsia="宋体" w:cs="Times New Roman"/>
                      <w:b/>
                      <w:bCs/>
                      <w:color w:val="auto"/>
                      <w:sz w:val="21"/>
                      <w:szCs w:val="21"/>
                      <w:u w:val="single" w:color="auto"/>
                      <w:lang w:val="en-US" w:eastAsia="zh-CN"/>
                    </w:rPr>
                    <w:t>室内边界声级/dB(A)</w:t>
                  </w:r>
                </w:p>
              </w:tc>
              <w:tc>
                <w:tcPr>
                  <w:tcW w:w="573" w:type="dxa"/>
                  <w:vMerge w:val="restart"/>
                  <w:tcBorders>
                    <w:tl2br w:val="nil"/>
                    <w:tr2bl w:val="nil"/>
                  </w:tcBorders>
                  <w:shd w:val="clear" w:color="auto" w:fill="auto"/>
                  <w:noWrap w:val="0"/>
                  <w:vAlign w:val="center"/>
                </w:tcPr>
                <w:p w14:paraId="155AAEDE">
                  <w:pPr>
                    <w:adjustRightInd w:val="0"/>
                    <w:snapToGrid w:val="0"/>
                    <w:spacing w:line="240" w:lineRule="auto"/>
                    <w:jc w:val="center"/>
                    <w:rPr>
                      <w:rFonts w:hint="default" w:ascii="Times New Roman" w:hAnsi="Times New Roman" w:eastAsia="宋体" w:cs="Times New Roman"/>
                      <w:b/>
                      <w:bCs/>
                      <w:color w:val="auto"/>
                      <w:kern w:val="2"/>
                      <w:sz w:val="21"/>
                      <w:szCs w:val="21"/>
                      <w:u w:val="single" w:color="auto"/>
                      <w:lang w:val="en-US" w:eastAsia="zh-CN" w:bidi="ar-SA"/>
                    </w:rPr>
                  </w:pPr>
                  <w:r>
                    <w:rPr>
                      <w:rFonts w:hint="default" w:ascii="Times New Roman" w:hAnsi="Times New Roman" w:eastAsia="宋体" w:cs="Times New Roman"/>
                      <w:b/>
                      <w:bCs/>
                      <w:color w:val="auto"/>
                      <w:sz w:val="21"/>
                      <w:szCs w:val="21"/>
                      <w:u w:val="single" w:color="auto"/>
                      <w:lang w:val="en-US" w:eastAsia="zh-CN"/>
                    </w:rPr>
                    <w:t>运行时段</w:t>
                  </w:r>
                </w:p>
              </w:tc>
              <w:tc>
                <w:tcPr>
                  <w:tcW w:w="708" w:type="dxa"/>
                  <w:vMerge w:val="restart"/>
                  <w:tcBorders>
                    <w:tl2br w:val="nil"/>
                    <w:tr2bl w:val="nil"/>
                  </w:tcBorders>
                  <w:shd w:val="clear" w:color="auto" w:fill="auto"/>
                  <w:noWrap w:val="0"/>
                  <w:vAlign w:val="center"/>
                </w:tcPr>
                <w:p w14:paraId="232137DA">
                  <w:pPr>
                    <w:adjustRightInd w:val="0"/>
                    <w:snapToGrid w:val="0"/>
                    <w:spacing w:line="240" w:lineRule="auto"/>
                    <w:jc w:val="center"/>
                    <w:rPr>
                      <w:rFonts w:hint="default" w:ascii="Times New Roman" w:hAnsi="Times New Roman" w:eastAsia="宋体" w:cs="Times New Roman"/>
                      <w:b/>
                      <w:bCs/>
                      <w:color w:val="auto"/>
                      <w:kern w:val="2"/>
                      <w:sz w:val="21"/>
                      <w:szCs w:val="21"/>
                      <w:u w:val="single" w:color="auto"/>
                      <w:lang w:val="en-US" w:eastAsia="zh-CN" w:bidi="ar-SA"/>
                    </w:rPr>
                  </w:pPr>
                  <w:r>
                    <w:rPr>
                      <w:rFonts w:hint="eastAsia" w:cs="Times New Roman"/>
                      <w:b/>
                      <w:bCs/>
                      <w:color w:val="auto"/>
                      <w:kern w:val="2"/>
                      <w:sz w:val="21"/>
                      <w:szCs w:val="21"/>
                      <w:u w:val="single" w:color="auto"/>
                      <w:lang w:val="en-US" w:eastAsia="zh-CN" w:bidi="ar-SA"/>
                    </w:rPr>
                    <w:t>声源控制措施</w:t>
                  </w:r>
                </w:p>
              </w:tc>
            </w:tr>
            <w:tr w14:paraId="3A2C5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6" w:type="dxa"/>
                  <w:vMerge w:val="continue"/>
                  <w:tcBorders>
                    <w:tl2br w:val="nil"/>
                    <w:tr2bl w:val="nil"/>
                  </w:tcBorders>
                  <w:noWrap w:val="0"/>
                  <w:vAlign w:val="center"/>
                </w:tcPr>
                <w:p w14:paraId="575B3875">
                  <w:pPr>
                    <w:adjustRightInd w:val="0"/>
                    <w:snapToGrid w:val="0"/>
                    <w:spacing w:line="240" w:lineRule="auto"/>
                    <w:jc w:val="center"/>
                    <w:rPr>
                      <w:rFonts w:hint="eastAsia" w:ascii="Times New Roman" w:hAnsi="Times New Roman" w:eastAsia="宋体" w:cs="Times New Roman"/>
                      <w:color w:val="auto"/>
                      <w:sz w:val="21"/>
                      <w:szCs w:val="21"/>
                      <w:u w:val="single" w:color="auto"/>
                      <w:lang w:val="en-US" w:eastAsia="zh-CN"/>
                    </w:rPr>
                  </w:pPr>
                </w:p>
              </w:tc>
              <w:tc>
                <w:tcPr>
                  <w:tcW w:w="1345" w:type="dxa"/>
                  <w:vMerge w:val="continue"/>
                  <w:tcBorders>
                    <w:tl2br w:val="nil"/>
                    <w:tr2bl w:val="nil"/>
                  </w:tcBorders>
                  <w:noWrap w:val="0"/>
                  <w:vAlign w:val="center"/>
                </w:tcPr>
                <w:p w14:paraId="40C6FA2D">
                  <w:pPr>
                    <w:adjustRightInd w:val="0"/>
                    <w:snapToGrid w:val="0"/>
                    <w:spacing w:line="240" w:lineRule="auto"/>
                    <w:jc w:val="center"/>
                    <w:rPr>
                      <w:rFonts w:hint="eastAsia" w:ascii="Times New Roman" w:hAnsi="Times New Roman" w:eastAsia="宋体" w:cs="Times New Roman"/>
                      <w:color w:val="auto"/>
                      <w:sz w:val="21"/>
                      <w:szCs w:val="21"/>
                      <w:u w:val="single" w:color="auto"/>
                      <w:lang w:val="en-US" w:eastAsia="zh-CN"/>
                    </w:rPr>
                  </w:pPr>
                </w:p>
              </w:tc>
              <w:tc>
                <w:tcPr>
                  <w:tcW w:w="642" w:type="dxa"/>
                  <w:tcBorders>
                    <w:tl2br w:val="nil"/>
                    <w:tr2bl w:val="nil"/>
                  </w:tcBorders>
                  <w:shd w:val="clear" w:color="auto" w:fill="auto"/>
                  <w:noWrap w:val="0"/>
                  <w:vAlign w:val="center"/>
                </w:tcPr>
                <w:p w14:paraId="34438E8E">
                  <w:pPr>
                    <w:adjustRightInd w:val="0"/>
                    <w:snapToGrid w:val="0"/>
                    <w:spacing w:line="240" w:lineRule="auto"/>
                    <w:jc w:val="center"/>
                    <w:rPr>
                      <w:rFonts w:hint="eastAsia" w:ascii="Times New Roman" w:hAnsi="Times New Roman" w:eastAsia="宋体" w:cs="Times New Roman"/>
                      <w:b/>
                      <w:bCs/>
                      <w:color w:val="auto"/>
                      <w:kern w:val="2"/>
                      <w:sz w:val="21"/>
                      <w:szCs w:val="21"/>
                      <w:u w:val="single" w:color="auto"/>
                      <w:lang w:val="en-US" w:eastAsia="zh-CN" w:bidi="ar-SA"/>
                    </w:rPr>
                  </w:pPr>
                  <w:r>
                    <w:rPr>
                      <w:rFonts w:hint="default" w:ascii="Times New Roman" w:hAnsi="Times New Roman" w:eastAsia="宋体" w:cs="Times New Roman"/>
                      <w:b/>
                      <w:bCs/>
                      <w:color w:val="auto"/>
                      <w:sz w:val="21"/>
                      <w:szCs w:val="21"/>
                      <w:u w:val="single" w:color="auto"/>
                      <w:lang w:val="en-US" w:eastAsia="zh-CN"/>
                    </w:rPr>
                    <w:t>X</w:t>
                  </w:r>
                </w:p>
              </w:tc>
              <w:tc>
                <w:tcPr>
                  <w:tcW w:w="696" w:type="dxa"/>
                  <w:tcBorders>
                    <w:tl2br w:val="nil"/>
                    <w:tr2bl w:val="nil"/>
                  </w:tcBorders>
                  <w:shd w:val="clear" w:color="auto" w:fill="auto"/>
                  <w:noWrap w:val="0"/>
                  <w:vAlign w:val="center"/>
                </w:tcPr>
                <w:p w14:paraId="6F5094F8">
                  <w:pPr>
                    <w:adjustRightInd w:val="0"/>
                    <w:snapToGrid w:val="0"/>
                    <w:spacing w:line="240" w:lineRule="auto"/>
                    <w:jc w:val="center"/>
                    <w:rPr>
                      <w:rFonts w:hint="eastAsia" w:ascii="Times New Roman" w:hAnsi="Times New Roman" w:eastAsia="宋体" w:cs="Times New Roman"/>
                      <w:b/>
                      <w:bCs/>
                      <w:color w:val="auto"/>
                      <w:kern w:val="2"/>
                      <w:sz w:val="21"/>
                      <w:szCs w:val="21"/>
                      <w:u w:val="single" w:color="auto"/>
                      <w:lang w:val="en-US" w:eastAsia="zh-CN" w:bidi="ar-SA"/>
                    </w:rPr>
                  </w:pPr>
                  <w:r>
                    <w:rPr>
                      <w:rFonts w:hint="default" w:ascii="Times New Roman" w:hAnsi="Times New Roman" w:eastAsia="宋体" w:cs="Times New Roman"/>
                      <w:b/>
                      <w:bCs/>
                      <w:color w:val="auto"/>
                      <w:sz w:val="21"/>
                      <w:szCs w:val="21"/>
                      <w:u w:val="single" w:color="auto"/>
                      <w:lang w:val="en-US" w:eastAsia="zh-CN"/>
                    </w:rPr>
                    <w:t>Y</w:t>
                  </w:r>
                </w:p>
              </w:tc>
              <w:tc>
                <w:tcPr>
                  <w:tcW w:w="829" w:type="dxa"/>
                  <w:tcBorders>
                    <w:tl2br w:val="nil"/>
                    <w:tr2bl w:val="nil"/>
                  </w:tcBorders>
                  <w:shd w:val="clear" w:color="auto" w:fill="auto"/>
                  <w:noWrap w:val="0"/>
                  <w:vAlign w:val="center"/>
                </w:tcPr>
                <w:p w14:paraId="32D0EECF">
                  <w:pPr>
                    <w:adjustRightInd w:val="0"/>
                    <w:snapToGrid w:val="0"/>
                    <w:spacing w:line="240" w:lineRule="auto"/>
                    <w:jc w:val="center"/>
                    <w:rPr>
                      <w:rFonts w:hint="eastAsia" w:ascii="Times New Roman" w:hAnsi="Times New Roman" w:eastAsia="宋体" w:cs="Times New Roman"/>
                      <w:b/>
                      <w:bCs/>
                      <w:color w:val="auto"/>
                      <w:kern w:val="2"/>
                      <w:sz w:val="21"/>
                      <w:szCs w:val="21"/>
                      <w:u w:val="single" w:color="auto"/>
                      <w:lang w:val="en-US" w:eastAsia="zh-CN" w:bidi="ar-SA"/>
                    </w:rPr>
                  </w:pPr>
                  <w:r>
                    <w:rPr>
                      <w:rFonts w:hint="default" w:ascii="Times New Roman" w:hAnsi="Times New Roman" w:eastAsia="宋体" w:cs="Times New Roman"/>
                      <w:b/>
                      <w:bCs/>
                      <w:color w:val="auto"/>
                      <w:sz w:val="21"/>
                      <w:szCs w:val="21"/>
                      <w:u w:val="single" w:color="auto"/>
                      <w:lang w:val="en-US" w:eastAsia="zh-CN"/>
                    </w:rPr>
                    <w:t>Z</w:t>
                  </w:r>
                </w:p>
              </w:tc>
              <w:tc>
                <w:tcPr>
                  <w:tcW w:w="1468" w:type="dxa"/>
                  <w:gridSpan w:val="2"/>
                  <w:vMerge w:val="continue"/>
                  <w:tcBorders>
                    <w:tl2br w:val="nil"/>
                    <w:tr2bl w:val="nil"/>
                  </w:tcBorders>
                  <w:noWrap w:val="0"/>
                  <w:vAlign w:val="center"/>
                </w:tcPr>
                <w:p w14:paraId="077E7209">
                  <w:pPr>
                    <w:adjustRightInd w:val="0"/>
                    <w:snapToGrid w:val="0"/>
                    <w:spacing w:line="240" w:lineRule="auto"/>
                    <w:jc w:val="center"/>
                    <w:rPr>
                      <w:rFonts w:hint="eastAsia" w:ascii="Times New Roman" w:hAnsi="Times New Roman" w:eastAsia="宋体" w:cs="Times New Roman"/>
                      <w:color w:val="auto"/>
                      <w:sz w:val="21"/>
                      <w:szCs w:val="21"/>
                      <w:u w:val="single" w:color="auto"/>
                      <w:lang w:val="en-US" w:eastAsia="zh-CN"/>
                    </w:rPr>
                  </w:pPr>
                </w:p>
              </w:tc>
              <w:tc>
                <w:tcPr>
                  <w:tcW w:w="1309" w:type="dxa"/>
                  <w:vMerge w:val="continue"/>
                  <w:tcBorders>
                    <w:tl2br w:val="nil"/>
                    <w:tr2bl w:val="nil"/>
                  </w:tcBorders>
                  <w:noWrap w:val="0"/>
                  <w:vAlign w:val="center"/>
                </w:tcPr>
                <w:p w14:paraId="5214845F">
                  <w:pPr>
                    <w:adjustRightInd w:val="0"/>
                    <w:snapToGrid w:val="0"/>
                    <w:spacing w:line="240" w:lineRule="auto"/>
                    <w:jc w:val="center"/>
                    <w:rPr>
                      <w:rFonts w:hint="eastAsia" w:ascii="Times New Roman" w:hAnsi="Times New Roman" w:eastAsia="宋体" w:cs="Times New Roman"/>
                      <w:color w:val="auto"/>
                      <w:sz w:val="21"/>
                      <w:szCs w:val="21"/>
                      <w:u w:val="single" w:color="auto"/>
                      <w:lang w:val="en-US" w:eastAsia="zh-CN"/>
                    </w:rPr>
                  </w:pPr>
                </w:p>
              </w:tc>
              <w:tc>
                <w:tcPr>
                  <w:tcW w:w="573" w:type="dxa"/>
                  <w:vMerge w:val="continue"/>
                  <w:tcBorders>
                    <w:tl2br w:val="nil"/>
                    <w:tr2bl w:val="nil"/>
                  </w:tcBorders>
                  <w:noWrap w:val="0"/>
                  <w:vAlign w:val="center"/>
                </w:tcPr>
                <w:p w14:paraId="0280B7DA">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708" w:type="dxa"/>
                  <w:vMerge w:val="continue"/>
                  <w:tcBorders>
                    <w:tl2br w:val="nil"/>
                    <w:tr2bl w:val="nil"/>
                  </w:tcBorders>
                  <w:shd w:val="clear" w:color="auto" w:fill="auto"/>
                  <w:noWrap w:val="0"/>
                  <w:vAlign w:val="center"/>
                </w:tcPr>
                <w:p w14:paraId="0507D882">
                  <w:pPr>
                    <w:adjustRightInd w:val="0"/>
                    <w:snapToGrid w:val="0"/>
                    <w:spacing w:line="240" w:lineRule="auto"/>
                    <w:jc w:val="center"/>
                    <w:rPr>
                      <w:rFonts w:hint="default" w:ascii="Times New Roman" w:hAnsi="Times New Roman" w:eastAsia="宋体" w:cs="Times New Roman"/>
                      <w:b/>
                      <w:bCs/>
                      <w:color w:val="auto"/>
                      <w:kern w:val="2"/>
                      <w:sz w:val="21"/>
                      <w:szCs w:val="21"/>
                      <w:u w:val="single" w:color="auto"/>
                      <w:lang w:val="en-US" w:eastAsia="zh-CN" w:bidi="ar-SA"/>
                    </w:rPr>
                  </w:pPr>
                </w:p>
              </w:tc>
            </w:tr>
            <w:tr w14:paraId="7B29D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6" w:type="dxa"/>
                  <w:vMerge w:val="restart"/>
                  <w:tcBorders>
                    <w:tl2br w:val="nil"/>
                    <w:tr2bl w:val="nil"/>
                  </w:tcBorders>
                  <w:noWrap w:val="0"/>
                  <w:vAlign w:val="center"/>
                </w:tcPr>
                <w:p w14:paraId="26F3F416">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1</w:t>
                  </w:r>
                </w:p>
              </w:tc>
              <w:tc>
                <w:tcPr>
                  <w:tcW w:w="1345" w:type="dxa"/>
                  <w:vMerge w:val="restart"/>
                  <w:tcBorders>
                    <w:tl2br w:val="nil"/>
                    <w:tr2bl w:val="nil"/>
                  </w:tcBorders>
                  <w:noWrap w:val="0"/>
                  <w:vAlign w:val="center"/>
                </w:tcPr>
                <w:p w14:paraId="0F808179">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风机</w:t>
                  </w:r>
                </w:p>
              </w:tc>
              <w:tc>
                <w:tcPr>
                  <w:tcW w:w="642" w:type="dxa"/>
                  <w:vMerge w:val="restart"/>
                  <w:tcBorders>
                    <w:tl2br w:val="nil"/>
                    <w:tr2bl w:val="nil"/>
                  </w:tcBorders>
                  <w:noWrap w:val="0"/>
                  <w:vAlign w:val="center"/>
                </w:tcPr>
                <w:p w14:paraId="1CCE5972">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13</w:t>
                  </w:r>
                </w:p>
              </w:tc>
              <w:tc>
                <w:tcPr>
                  <w:tcW w:w="696" w:type="dxa"/>
                  <w:vMerge w:val="restart"/>
                  <w:tcBorders>
                    <w:tl2br w:val="nil"/>
                    <w:tr2bl w:val="nil"/>
                  </w:tcBorders>
                  <w:noWrap w:val="0"/>
                  <w:vAlign w:val="center"/>
                </w:tcPr>
                <w:p w14:paraId="24F87F3B">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30</w:t>
                  </w:r>
                </w:p>
              </w:tc>
              <w:tc>
                <w:tcPr>
                  <w:tcW w:w="829" w:type="dxa"/>
                  <w:vMerge w:val="restart"/>
                  <w:tcBorders>
                    <w:tl2br w:val="nil"/>
                    <w:tr2bl w:val="nil"/>
                  </w:tcBorders>
                  <w:noWrap w:val="0"/>
                  <w:vAlign w:val="center"/>
                </w:tcPr>
                <w:p w14:paraId="25FD7069">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0.5</w:t>
                  </w:r>
                </w:p>
              </w:tc>
              <w:tc>
                <w:tcPr>
                  <w:tcW w:w="642" w:type="dxa"/>
                  <w:tcBorders>
                    <w:tl2br w:val="nil"/>
                    <w:tr2bl w:val="nil"/>
                  </w:tcBorders>
                  <w:noWrap w:val="0"/>
                  <w:vAlign w:val="center"/>
                </w:tcPr>
                <w:p w14:paraId="150C85F6">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东</w:t>
                  </w:r>
                </w:p>
              </w:tc>
              <w:tc>
                <w:tcPr>
                  <w:tcW w:w="826" w:type="dxa"/>
                  <w:tcBorders>
                    <w:tl2br w:val="nil"/>
                    <w:tr2bl w:val="nil"/>
                  </w:tcBorders>
                  <w:noWrap w:val="0"/>
                  <w:vAlign w:val="center"/>
                </w:tcPr>
                <w:p w14:paraId="0DFE46A8">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50</w:t>
                  </w:r>
                </w:p>
              </w:tc>
              <w:tc>
                <w:tcPr>
                  <w:tcW w:w="1309" w:type="dxa"/>
                  <w:tcBorders>
                    <w:tl2br w:val="nil"/>
                    <w:tr2bl w:val="nil"/>
                  </w:tcBorders>
                  <w:noWrap w:val="0"/>
                  <w:vAlign w:val="center"/>
                </w:tcPr>
                <w:p w14:paraId="595DD70A">
                  <w:pPr>
                    <w:adjustRightInd w:val="0"/>
                    <w:snapToGrid w:val="0"/>
                    <w:spacing w:line="240" w:lineRule="auto"/>
                    <w:jc w:val="center"/>
                    <w:rPr>
                      <w:rFonts w:hint="eastAsia"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 xml:space="preserve">72.06 </w:t>
                  </w:r>
                </w:p>
              </w:tc>
              <w:tc>
                <w:tcPr>
                  <w:tcW w:w="573" w:type="dxa"/>
                  <w:vMerge w:val="restart"/>
                  <w:tcBorders>
                    <w:tl2br w:val="nil"/>
                    <w:tr2bl w:val="nil"/>
                  </w:tcBorders>
                  <w:noWrap w:val="0"/>
                  <w:vAlign w:val="center"/>
                </w:tcPr>
                <w:p w14:paraId="1042E754">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cs="Times New Roman"/>
                      <w:color w:val="auto"/>
                      <w:sz w:val="21"/>
                      <w:szCs w:val="21"/>
                      <w:u w:val="single" w:color="auto"/>
                      <w:lang w:val="en-US" w:eastAsia="zh-CN"/>
                    </w:rPr>
                    <w:t>昼间</w:t>
                  </w:r>
                </w:p>
              </w:tc>
              <w:tc>
                <w:tcPr>
                  <w:tcW w:w="708" w:type="dxa"/>
                  <w:vMerge w:val="restart"/>
                  <w:tcBorders>
                    <w:tl2br w:val="nil"/>
                    <w:tr2bl w:val="nil"/>
                  </w:tcBorders>
                  <w:noWrap w:val="0"/>
                  <w:vAlign w:val="center"/>
                </w:tcPr>
                <w:p w14:paraId="34ED9D81">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cs="Times New Roman"/>
                      <w:color w:val="auto"/>
                      <w:sz w:val="21"/>
                      <w:szCs w:val="21"/>
                      <w:u w:val="single" w:color="auto"/>
                      <w:lang w:val="en-US" w:eastAsia="zh-CN"/>
                    </w:rPr>
                    <w:t>基础减振</w:t>
                  </w:r>
                </w:p>
              </w:tc>
            </w:tr>
            <w:tr w14:paraId="472A9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6" w:type="dxa"/>
                  <w:vMerge w:val="continue"/>
                  <w:tcBorders>
                    <w:tl2br w:val="nil"/>
                    <w:tr2bl w:val="nil"/>
                  </w:tcBorders>
                  <w:noWrap w:val="0"/>
                  <w:vAlign w:val="center"/>
                </w:tcPr>
                <w:p w14:paraId="18456597">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1345" w:type="dxa"/>
                  <w:vMerge w:val="continue"/>
                  <w:tcBorders>
                    <w:tl2br w:val="nil"/>
                    <w:tr2bl w:val="nil"/>
                  </w:tcBorders>
                  <w:noWrap w:val="0"/>
                  <w:vAlign w:val="center"/>
                </w:tcPr>
                <w:p w14:paraId="18503622">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42" w:type="dxa"/>
                  <w:vMerge w:val="continue"/>
                  <w:tcBorders>
                    <w:tl2br w:val="nil"/>
                    <w:tr2bl w:val="nil"/>
                  </w:tcBorders>
                  <w:noWrap w:val="0"/>
                  <w:vAlign w:val="center"/>
                </w:tcPr>
                <w:p w14:paraId="42A3CFF6">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96" w:type="dxa"/>
                  <w:vMerge w:val="continue"/>
                  <w:tcBorders>
                    <w:tl2br w:val="nil"/>
                    <w:tr2bl w:val="nil"/>
                  </w:tcBorders>
                  <w:noWrap w:val="0"/>
                  <w:vAlign w:val="center"/>
                </w:tcPr>
                <w:p w14:paraId="0774053E">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829" w:type="dxa"/>
                  <w:vMerge w:val="continue"/>
                  <w:tcBorders>
                    <w:tl2br w:val="nil"/>
                    <w:tr2bl w:val="nil"/>
                  </w:tcBorders>
                  <w:noWrap w:val="0"/>
                  <w:vAlign w:val="center"/>
                </w:tcPr>
                <w:p w14:paraId="34074A3A">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42" w:type="dxa"/>
                  <w:tcBorders>
                    <w:tl2br w:val="nil"/>
                    <w:tr2bl w:val="nil"/>
                  </w:tcBorders>
                  <w:noWrap w:val="0"/>
                  <w:vAlign w:val="center"/>
                </w:tcPr>
                <w:p w14:paraId="2BE96865">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南</w:t>
                  </w:r>
                </w:p>
              </w:tc>
              <w:tc>
                <w:tcPr>
                  <w:tcW w:w="826" w:type="dxa"/>
                  <w:tcBorders>
                    <w:tl2br w:val="nil"/>
                    <w:tr2bl w:val="nil"/>
                  </w:tcBorders>
                  <w:noWrap w:val="0"/>
                  <w:vAlign w:val="center"/>
                </w:tcPr>
                <w:p w14:paraId="689327CF">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78</w:t>
                  </w:r>
                </w:p>
              </w:tc>
              <w:tc>
                <w:tcPr>
                  <w:tcW w:w="1309" w:type="dxa"/>
                  <w:tcBorders>
                    <w:tl2br w:val="nil"/>
                    <w:tr2bl w:val="nil"/>
                  </w:tcBorders>
                  <w:noWrap w:val="0"/>
                  <w:vAlign w:val="center"/>
                </w:tcPr>
                <w:p w14:paraId="6B803D26">
                  <w:pPr>
                    <w:adjustRightInd w:val="0"/>
                    <w:snapToGrid w:val="0"/>
                    <w:spacing w:line="240" w:lineRule="auto"/>
                    <w:jc w:val="center"/>
                    <w:rPr>
                      <w:rFonts w:hint="eastAsia"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 xml:space="preserve">72.05 </w:t>
                  </w:r>
                </w:p>
              </w:tc>
              <w:tc>
                <w:tcPr>
                  <w:tcW w:w="573" w:type="dxa"/>
                  <w:vMerge w:val="continue"/>
                  <w:tcBorders>
                    <w:tl2br w:val="nil"/>
                    <w:tr2bl w:val="nil"/>
                  </w:tcBorders>
                  <w:noWrap w:val="0"/>
                  <w:vAlign w:val="center"/>
                </w:tcPr>
                <w:p w14:paraId="2DAA0082">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708" w:type="dxa"/>
                  <w:vMerge w:val="continue"/>
                  <w:tcBorders>
                    <w:tl2br w:val="nil"/>
                    <w:tr2bl w:val="nil"/>
                  </w:tcBorders>
                  <w:noWrap w:val="0"/>
                  <w:vAlign w:val="center"/>
                </w:tcPr>
                <w:p w14:paraId="3122C538">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r>
            <w:tr w14:paraId="6D6AE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6" w:type="dxa"/>
                  <w:vMerge w:val="continue"/>
                  <w:tcBorders>
                    <w:tl2br w:val="nil"/>
                    <w:tr2bl w:val="nil"/>
                  </w:tcBorders>
                  <w:noWrap w:val="0"/>
                  <w:vAlign w:val="center"/>
                </w:tcPr>
                <w:p w14:paraId="0F6EE167">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1345" w:type="dxa"/>
                  <w:vMerge w:val="continue"/>
                  <w:tcBorders>
                    <w:tl2br w:val="nil"/>
                    <w:tr2bl w:val="nil"/>
                  </w:tcBorders>
                  <w:noWrap w:val="0"/>
                  <w:vAlign w:val="center"/>
                </w:tcPr>
                <w:p w14:paraId="0FECD6AB">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42" w:type="dxa"/>
                  <w:vMerge w:val="continue"/>
                  <w:tcBorders>
                    <w:tl2br w:val="nil"/>
                    <w:tr2bl w:val="nil"/>
                  </w:tcBorders>
                  <w:noWrap w:val="0"/>
                  <w:vAlign w:val="center"/>
                </w:tcPr>
                <w:p w14:paraId="63884533">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96" w:type="dxa"/>
                  <w:vMerge w:val="continue"/>
                  <w:tcBorders>
                    <w:tl2br w:val="nil"/>
                    <w:tr2bl w:val="nil"/>
                  </w:tcBorders>
                  <w:noWrap w:val="0"/>
                  <w:vAlign w:val="center"/>
                </w:tcPr>
                <w:p w14:paraId="117552B5">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829" w:type="dxa"/>
                  <w:vMerge w:val="continue"/>
                  <w:tcBorders>
                    <w:tl2br w:val="nil"/>
                    <w:tr2bl w:val="nil"/>
                  </w:tcBorders>
                  <w:noWrap w:val="0"/>
                  <w:vAlign w:val="center"/>
                </w:tcPr>
                <w:p w14:paraId="19BB8AD8">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42" w:type="dxa"/>
                  <w:tcBorders>
                    <w:tl2br w:val="nil"/>
                    <w:tr2bl w:val="nil"/>
                  </w:tcBorders>
                  <w:noWrap w:val="0"/>
                  <w:vAlign w:val="center"/>
                </w:tcPr>
                <w:p w14:paraId="35E84B29">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西</w:t>
                  </w:r>
                </w:p>
              </w:tc>
              <w:tc>
                <w:tcPr>
                  <w:tcW w:w="826" w:type="dxa"/>
                  <w:tcBorders>
                    <w:tl2br w:val="nil"/>
                    <w:tr2bl w:val="nil"/>
                  </w:tcBorders>
                  <w:noWrap w:val="0"/>
                  <w:vAlign w:val="center"/>
                </w:tcPr>
                <w:p w14:paraId="6A5442DB">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26</w:t>
                  </w:r>
                </w:p>
              </w:tc>
              <w:tc>
                <w:tcPr>
                  <w:tcW w:w="1309" w:type="dxa"/>
                  <w:tcBorders>
                    <w:tl2br w:val="nil"/>
                    <w:tr2bl w:val="nil"/>
                  </w:tcBorders>
                  <w:noWrap w:val="0"/>
                  <w:vAlign w:val="center"/>
                </w:tcPr>
                <w:p w14:paraId="2E11248B">
                  <w:pPr>
                    <w:adjustRightInd w:val="0"/>
                    <w:snapToGrid w:val="0"/>
                    <w:spacing w:line="240" w:lineRule="auto"/>
                    <w:jc w:val="center"/>
                    <w:rPr>
                      <w:rFonts w:hint="eastAsia"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 xml:space="preserve">72.10 </w:t>
                  </w:r>
                </w:p>
              </w:tc>
              <w:tc>
                <w:tcPr>
                  <w:tcW w:w="573" w:type="dxa"/>
                  <w:vMerge w:val="continue"/>
                  <w:tcBorders>
                    <w:tl2br w:val="nil"/>
                    <w:tr2bl w:val="nil"/>
                  </w:tcBorders>
                  <w:noWrap w:val="0"/>
                  <w:vAlign w:val="center"/>
                </w:tcPr>
                <w:p w14:paraId="4FD6029D">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708" w:type="dxa"/>
                  <w:vMerge w:val="continue"/>
                  <w:tcBorders>
                    <w:tl2br w:val="nil"/>
                    <w:tr2bl w:val="nil"/>
                  </w:tcBorders>
                  <w:noWrap w:val="0"/>
                  <w:vAlign w:val="center"/>
                </w:tcPr>
                <w:p w14:paraId="4FC5A7FD">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r>
            <w:tr w14:paraId="4FFB2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6" w:type="dxa"/>
                  <w:vMerge w:val="continue"/>
                  <w:tcBorders>
                    <w:tl2br w:val="nil"/>
                    <w:tr2bl w:val="nil"/>
                  </w:tcBorders>
                  <w:noWrap w:val="0"/>
                  <w:vAlign w:val="center"/>
                </w:tcPr>
                <w:p w14:paraId="28C9085A">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1345" w:type="dxa"/>
                  <w:vMerge w:val="continue"/>
                  <w:tcBorders>
                    <w:tl2br w:val="nil"/>
                    <w:tr2bl w:val="nil"/>
                  </w:tcBorders>
                  <w:noWrap w:val="0"/>
                  <w:vAlign w:val="center"/>
                </w:tcPr>
                <w:p w14:paraId="26ADE5A4">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42" w:type="dxa"/>
                  <w:vMerge w:val="continue"/>
                  <w:tcBorders>
                    <w:tl2br w:val="nil"/>
                    <w:tr2bl w:val="nil"/>
                  </w:tcBorders>
                  <w:noWrap w:val="0"/>
                  <w:vAlign w:val="center"/>
                </w:tcPr>
                <w:p w14:paraId="22C73858">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96" w:type="dxa"/>
                  <w:vMerge w:val="continue"/>
                  <w:tcBorders>
                    <w:tl2br w:val="nil"/>
                    <w:tr2bl w:val="nil"/>
                  </w:tcBorders>
                  <w:noWrap w:val="0"/>
                  <w:vAlign w:val="center"/>
                </w:tcPr>
                <w:p w14:paraId="17A1A0D6">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829" w:type="dxa"/>
                  <w:vMerge w:val="continue"/>
                  <w:tcBorders>
                    <w:tl2br w:val="nil"/>
                    <w:tr2bl w:val="nil"/>
                  </w:tcBorders>
                  <w:noWrap w:val="0"/>
                  <w:vAlign w:val="center"/>
                </w:tcPr>
                <w:p w14:paraId="5B457F24">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42" w:type="dxa"/>
                  <w:tcBorders>
                    <w:tl2br w:val="nil"/>
                    <w:tr2bl w:val="nil"/>
                  </w:tcBorders>
                  <w:noWrap w:val="0"/>
                  <w:vAlign w:val="center"/>
                </w:tcPr>
                <w:p w14:paraId="3C050A29">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北</w:t>
                  </w:r>
                </w:p>
              </w:tc>
              <w:tc>
                <w:tcPr>
                  <w:tcW w:w="826" w:type="dxa"/>
                  <w:tcBorders>
                    <w:tl2br w:val="nil"/>
                    <w:tr2bl w:val="nil"/>
                  </w:tcBorders>
                  <w:noWrap w:val="0"/>
                  <w:vAlign w:val="center"/>
                </w:tcPr>
                <w:p w14:paraId="5DD322BC">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15</w:t>
                  </w:r>
                </w:p>
              </w:tc>
              <w:tc>
                <w:tcPr>
                  <w:tcW w:w="1309" w:type="dxa"/>
                  <w:tcBorders>
                    <w:tl2br w:val="nil"/>
                    <w:tr2bl w:val="nil"/>
                  </w:tcBorders>
                  <w:noWrap w:val="0"/>
                  <w:vAlign w:val="center"/>
                </w:tcPr>
                <w:p w14:paraId="560CB304">
                  <w:pPr>
                    <w:adjustRightInd w:val="0"/>
                    <w:snapToGrid w:val="0"/>
                    <w:spacing w:line="240" w:lineRule="auto"/>
                    <w:jc w:val="center"/>
                    <w:rPr>
                      <w:rFonts w:hint="eastAsia"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 xml:space="preserve">72.23 </w:t>
                  </w:r>
                </w:p>
              </w:tc>
              <w:tc>
                <w:tcPr>
                  <w:tcW w:w="573" w:type="dxa"/>
                  <w:vMerge w:val="continue"/>
                  <w:tcBorders>
                    <w:tl2br w:val="nil"/>
                    <w:tr2bl w:val="nil"/>
                  </w:tcBorders>
                  <w:noWrap w:val="0"/>
                  <w:vAlign w:val="center"/>
                </w:tcPr>
                <w:p w14:paraId="77663F73">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708" w:type="dxa"/>
                  <w:vMerge w:val="continue"/>
                  <w:tcBorders>
                    <w:tl2br w:val="nil"/>
                    <w:tr2bl w:val="nil"/>
                  </w:tcBorders>
                  <w:noWrap w:val="0"/>
                  <w:vAlign w:val="center"/>
                </w:tcPr>
                <w:p w14:paraId="726595F5">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r>
            <w:tr w14:paraId="005BA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6" w:type="dxa"/>
                  <w:vMerge w:val="restart"/>
                  <w:tcBorders>
                    <w:tl2br w:val="nil"/>
                    <w:tr2bl w:val="nil"/>
                  </w:tcBorders>
                  <w:noWrap w:val="0"/>
                  <w:vAlign w:val="center"/>
                </w:tcPr>
                <w:p w14:paraId="682A87E2">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2</w:t>
                  </w:r>
                </w:p>
              </w:tc>
              <w:tc>
                <w:tcPr>
                  <w:tcW w:w="1345" w:type="dxa"/>
                  <w:vMerge w:val="restart"/>
                  <w:tcBorders>
                    <w:tl2br w:val="nil"/>
                    <w:tr2bl w:val="nil"/>
                  </w:tcBorders>
                  <w:noWrap w:val="0"/>
                  <w:vAlign w:val="center"/>
                </w:tcPr>
                <w:p w14:paraId="24088F6B">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风机</w:t>
                  </w:r>
                </w:p>
              </w:tc>
              <w:tc>
                <w:tcPr>
                  <w:tcW w:w="642" w:type="dxa"/>
                  <w:vMerge w:val="restart"/>
                  <w:tcBorders>
                    <w:tl2br w:val="nil"/>
                    <w:tr2bl w:val="nil"/>
                  </w:tcBorders>
                  <w:noWrap w:val="0"/>
                  <w:vAlign w:val="center"/>
                </w:tcPr>
                <w:p w14:paraId="313403A4">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12</w:t>
                  </w:r>
                </w:p>
              </w:tc>
              <w:tc>
                <w:tcPr>
                  <w:tcW w:w="696" w:type="dxa"/>
                  <w:vMerge w:val="restart"/>
                  <w:tcBorders>
                    <w:tl2br w:val="nil"/>
                    <w:tr2bl w:val="nil"/>
                  </w:tcBorders>
                  <w:noWrap w:val="0"/>
                  <w:vAlign w:val="center"/>
                </w:tcPr>
                <w:p w14:paraId="6B32F7CA">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40</w:t>
                  </w:r>
                </w:p>
              </w:tc>
              <w:tc>
                <w:tcPr>
                  <w:tcW w:w="829" w:type="dxa"/>
                  <w:vMerge w:val="restart"/>
                  <w:tcBorders>
                    <w:tl2br w:val="nil"/>
                    <w:tr2bl w:val="nil"/>
                  </w:tcBorders>
                  <w:noWrap w:val="0"/>
                  <w:vAlign w:val="center"/>
                </w:tcPr>
                <w:p w14:paraId="45FEF089">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0.5</w:t>
                  </w:r>
                </w:p>
              </w:tc>
              <w:tc>
                <w:tcPr>
                  <w:tcW w:w="642" w:type="dxa"/>
                  <w:tcBorders>
                    <w:tl2br w:val="nil"/>
                    <w:tr2bl w:val="nil"/>
                  </w:tcBorders>
                  <w:noWrap w:val="0"/>
                  <w:vAlign w:val="center"/>
                </w:tcPr>
                <w:p w14:paraId="6579F0EE">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东</w:t>
                  </w:r>
                </w:p>
              </w:tc>
              <w:tc>
                <w:tcPr>
                  <w:tcW w:w="826" w:type="dxa"/>
                  <w:tcBorders>
                    <w:tl2br w:val="nil"/>
                    <w:tr2bl w:val="nil"/>
                  </w:tcBorders>
                  <w:noWrap w:val="0"/>
                  <w:vAlign w:val="center"/>
                </w:tcPr>
                <w:p w14:paraId="776D3DE6">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45</w:t>
                  </w:r>
                </w:p>
              </w:tc>
              <w:tc>
                <w:tcPr>
                  <w:tcW w:w="1309" w:type="dxa"/>
                  <w:tcBorders>
                    <w:tl2br w:val="nil"/>
                    <w:tr2bl w:val="nil"/>
                  </w:tcBorders>
                  <w:noWrap w:val="0"/>
                  <w:vAlign w:val="center"/>
                </w:tcPr>
                <w:p w14:paraId="5832A43E">
                  <w:pPr>
                    <w:adjustRightInd w:val="0"/>
                    <w:snapToGrid w:val="0"/>
                    <w:spacing w:line="240" w:lineRule="auto"/>
                    <w:jc w:val="center"/>
                    <w:rPr>
                      <w:rFonts w:hint="eastAsia"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 xml:space="preserve">72.06 </w:t>
                  </w:r>
                </w:p>
              </w:tc>
              <w:tc>
                <w:tcPr>
                  <w:tcW w:w="573" w:type="dxa"/>
                  <w:vMerge w:val="continue"/>
                  <w:tcBorders>
                    <w:tl2br w:val="nil"/>
                    <w:tr2bl w:val="nil"/>
                  </w:tcBorders>
                  <w:noWrap w:val="0"/>
                  <w:vAlign w:val="center"/>
                </w:tcPr>
                <w:p w14:paraId="2794BE80">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708" w:type="dxa"/>
                  <w:vMerge w:val="continue"/>
                  <w:tcBorders>
                    <w:tl2br w:val="nil"/>
                    <w:tr2bl w:val="nil"/>
                  </w:tcBorders>
                  <w:noWrap w:val="0"/>
                  <w:vAlign w:val="center"/>
                </w:tcPr>
                <w:p w14:paraId="2D170CEE">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r>
            <w:tr w14:paraId="6611B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6" w:type="dxa"/>
                  <w:vMerge w:val="continue"/>
                  <w:noWrap w:val="0"/>
                  <w:vAlign w:val="center"/>
                </w:tcPr>
                <w:p w14:paraId="33EBD0F4">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1345" w:type="dxa"/>
                  <w:vMerge w:val="continue"/>
                  <w:noWrap w:val="0"/>
                  <w:vAlign w:val="center"/>
                </w:tcPr>
                <w:p w14:paraId="4F48A1AD">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42" w:type="dxa"/>
                  <w:vMerge w:val="continue"/>
                  <w:noWrap w:val="0"/>
                  <w:vAlign w:val="center"/>
                </w:tcPr>
                <w:p w14:paraId="4A9AD6FE">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96" w:type="dxa"/>
                  <w:vMerge w:val="continue"/>
                  <w:noWrap w:val="0"/>
                  <w:vAlign w:val="center"/>
                </w:tcPr>
                <w:p w14:paraId="496E1BCB">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829" w:type="dxa"/>
                  <w:vMerge w:val="continue"/>
                  <w:noWrap w:val="0"/>
                  <w:vAlign w:val="center"/>
                </w:tcPr>
                <w:p w14:paraId="223FDF1B">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42" w:type="dxa"/>
                  <w:noWrap w:val="0"/>
                  <w:vAlign w:val="center"/>
                </w:tcPr>
                <w:p w14:paraId="46B3A170">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南</w:t>
                  </w:r>
                </w:p>
              </w:tc>
              <w:tc>
                <w:tcPr>
                  <w:tcW w:w="826" w:type="dxa"/>
                  <w:noWrap w:val="0"/>
                  <w:vAlign w:val="center"/>
                </w:tcPr>
                <w:p w14:paraId="1E99F255">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88</w:t>
                  </w:r>
                </w:p>
              </w:tc>
              <w:tc>
                <w:tcPr>
                  <w:tcW w:w="1309" w:type="dxa"/>
                  <w:noWrap w:val="0"/>
                  <w:vAlign w:val="center"/>
                </w:tcPr>
                <w:p w14:paraId="6C5763D3">
                  <w:pPr>
                    <w:adjustRightInd w:val="0"/>
                    <w:snapToGrid w:val="0"/>
                    <w:spacing w:line="240" w:lineRule="auto"/>
                    <w:jc w:val="center"/>
                    <w:rPr>
                      <w:rFonts w:hint="eastAsia"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 xml:space="preserve">72.05 </w:t>
                  </w:r>
                </w:p>
              </w:tc>
              <w:tc>
                <w:tcPr>
                  <w:tcW w:w="573" w:type="dxa"/>
                  <w:vMerge w:val="continue"/>
                  <w:noWrap w:val="0"/>
                  <w:vAlign w:val="center"/>
                </w:tcPr>
                <w:p w14:paraId="41ED5F85">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708" w:type="dxa"/>
                  <w:vMerge w:val="continue"/>
                  <w:noWrap w:val="0"/>
                  <w:vAlign w:val="center"/>
                </w:tcPr>
                <w:p w14:paraId="21880ED4">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r>
            <w:tr w14:paraId="52D0D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6" w:type="dxa"/>
                  <w:vMerge w:val="continue"/>
                  <w:noWrap w:val="0"/>
                  <w:vAlign w:val="center"/>
                </w:tcPr>
                <w:p w14:paraId="0F6B806D">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1345" w:type="dxa"/>
                  <w:vMerge w:val="continue"/>
                  <w:noWrap w:val="0"/>
                  <w:vAlign w:val="center"/>
                </w:tcPr>
                <w:p w14:paraId="7E5F83CE">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42" w:type="dxa"/>
                  <w:vMerge w:val="continue"/>
                  <w:noWrap w:val="0"/>
                  <w:vAlign w:val="center"/>
                </w:tcPr>
                <w:p w14:paraId="65EAFAD6">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96" w:type="dxa"/>
                  <w:vMerge w:val="continue"/>
                  <w:noWrap w:val="0"/>
                  <w:vAlign w:val="center"/>
                </w:tcPr>
                <w:p w14:paraId="7388B94A">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829" w:type="dxa"/>
                  <w:vMerge w:val="continue"/>
                  <w:noWrap w:val="0"/>
                  <w:vAlign w:val="center"/>
                </w:tcPr>
                <w:p w14:paraId="4A20198A">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42" w:type="dxa"/>
                  <w:noWrap w:val="0"/>
                  <w:vAlign w:val="center"/>
                </w:tcPr>
                <w:p w14:paraId="29BDFEBF">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西</w:t>
                  </w:r>
                </w:p>
              </w:tc>
              <w:tc>
                <w:tcPr>
                  <w:tcW w:w="826" w:type="dxa"/>
                  <w:noWrap w:val="0"/>
                  <w:vAlign w:val="center"/>
                </w:tcPr>
                <w:p w14:paraId="6D0272C1">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26</w:t>
                  </w:r>
                </w:p>
              </w:tc>
              <w:tc>
                <w:tcPr>
                  <w:tcW w:w="1309" w:type="dxa"/>
                  <w:noWrap w:val="0"/>
                  <w:vAlign w:val="center"/>
                </w:tcPr>
                <w:p w14:paraId="3D09DD0C">
                  <w:pPr>
                    <w:adjustRightInd w:val="0"/>
                    <w:snapToGrid w:val="0"/>
                    <w:spacing w:line="240" w:lineRule="auto"/>
                    <w:jc w:val="center"/>
                    <w:rPr>
                      <w:rFonts w:hint="eastAsia"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 xml:space="preserve">72.10 </w:t>
                  </w:r>
                </w:p>
              </w:tc>
              <w:tc>
                <w:tcPr>
                  <w:tcW w:w="573" w:type="dxa"/>
                  <w:vMerge w:val="continue"/>
                  <w:noWrap w:val="0"/>
                  <w:vAlign w:val="center"/>
                </w:tcPr>
                <w:p w14:paraId="332099ED">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708" w:type="dxa"/>
                  <w:vMerge w:val="continue"/>
                  <w:noWrap w:val="0"/>
                  <w:vAlign w:val="center"/>
                </w:tcPr>
                <w:p w14:paraId="03EE7E7F">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r>
            <w:tr w14:paraId="4C93B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6" w:type="dxa"/>
                  <w:vMerge w:val="continue"/>
                  <w:noWrap w:val="0"/>
                  <w:vAlign w:val="center"/>
                </w:tcPr>
                <w:p w14:paraId="749C405D">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1345" w:type="dxa"/>
                  <w:vMerge w:val="continue"/>
                  <w:noWrap w:val="0"/>
                  <w:vAlign w:val="center"/>
                </w:tcPr>
                <w:p w14:paraId="05ADF0A6">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42" w:type="dxa"/>
                  <w:vMerge w:val="continue"/>
                  <w:noWrap w:val="0"/>
                  <w:vAlign w:val="center"/>
                </w:tcPr>
                <w:p w14:paraId="75DD0D14">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96" w:type="dxa"/>
                  <w:vMerge w:val="continue"/>
                  <w:noWrap w:val="0"/>
                  <w:vAlign w:val="center"/>
                </w:tcPr>
                <w:p w14:paraId="2750AF34">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829" w:type="dxa"/>
                  <w:vMerge w:val="continue"/>
                  <w:noWrap w:val="0"/>
                  <w:vAlign w:val="center"/>
                </w:tcPr>
                <w:p w14:paraId="2637DD3D">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642" w:type="dxa"/>
                  <w:noWrap w:val="0"/>
                  <w:vAlign w:val="center"/>
                </w:tcPr>
                <w:p w14:paraId="5B38E3DD">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北</w:t>
                  </w:r>
                </w:p>
              </w:tc>
              <w:tc>
                <w:tcPr>
                  <w:tcW w:w="826" w:type="dxa"/>
                  <w:noWrap w:val="0"/>
                  <w:vAlign w:val="center"/>
                </w:tcPr>
                <w:p w14:paraId="44491512">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6</w:t>
                  </w:r>
                </w:p>
              </w:tc>
              <w:tc>
                <w:tcPr>
                  <w:tcW w:w="1309" w:type="dxa"/>
                  <w:noWrap w:val="0"/>
                  <w:vAlign w:val="center"/>
                </w:tcPr>
                <w:p w14:paraId="0E02893B">
                  <w:pPr>
                    <w:adjustRightInd w:val="0"/>
                    <w:snapToGrid w:val="0"/>
                    <w:spacing w:line="240" w:lineRule="auto"/>
                    <w:jc w:val="center"/>
                    <w:rPr>
                      <w:rFonts w:hint="eastAsia"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 xml:space="preserve">73.10 </w:t>
                  </w:r>
                </w:p>
              </w:tc>
              <w:tc>
                <w:tcPr>
                  <w:tcW w:w="573" w:type="dxa"/>
                  <w:vMerge w:val="continue"/>
                  <w:noWrap w:val="0"/>
                  <w:vAlign w:val="center"/>
                </w:tcPr>
                <w:p w14:paraId="1D3CBA22">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c>
                <w:tcPr>
                  <w:tcW w:w="708" w:type="dxa"/>
                  <w:vMerge w:val="continue"/>
                  <w:noWrap w:val="0"/>
                  <w:vAlign w:val="center"/>
                </w:tcPr>
                <w:p w14:paraId="7E79FD3D">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p>
              </w:tc>
            </w:tr>
            <w:tr w14:paraId="1A6D2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16" w:type="dxa"/>
                  <w:gridSpan w:val="10"/>
                  <w:noWrap w:val="0"/>
                  <w:vAlign w:val="center"/>
                </w:tcPr>
                <w:p w14:paraId="731E0289">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注</w:t>
                  </w:r>
                  <w:r>
                    <w:rPr>
                      <w:rFonts w:hint="eastAsia" w:ascii="Times New Roman" w:hAnsi="Times New Roman" w:eastAsia="宋体" w:cs="Times New Roman"/>
                      <w:color w:val="auto"/>
                      <w:sz w:val="21"/>
                      <w:szCs w:val="21"/>
                      <w:u w:val="single" w:color="auto"/>
                      <w:lang w:val="en-US" w:eastAsia="zh-CN"/>
                    </w:rPr>
                    <w:t>：</w:t>
                  </w:r>
                  <w:r>
                    <w:rPr>
                      <w:rFonts w:hint="default" w:ascii="Times New Roman" w:hAnsi="Times New Roman" w:eastAsia="宋体" w:cs="Times New Roman"/>
                      <w:color w:val="auto"/>
                      <w:sz w:val="21"/>
                      <w:szCs w:val="21"/>
                      <w:u w:val="single" w:color="auto"/>
                      <w:lang w:val="en-US" w:eastAsia="zh-CN"/>
                    </w:rPr>
                    <w:t>表中坐标以</w:t>
                  </w:r>
                  <w:r>
                    <w:rPr>
                      <w:rFonts w:hint="eastAsia" w:ascii="Times New Roman" w:hAnsi="Times New Roman" w:eastAsia="宋体" w:cs="Times New Roman"/>
                      <w:color w:val="auto"/>
                      <w:sz w:val="21"/>
                      <w:szCs w:val="21"/>
                      <w:u w:val="single" w:color="auto"/>
                      <w:lang w:val="en-US" w:eastAsia="zh-CN"/>
                    </w:rPr>
                    <w:t>（112.935205141</w:t>
                  </w:r>
                  <w:r>
                    <w:rPr>
                      <w:rFonts w:hint="eastAsia" w:cs="Times New Roman"/>
                      <w:color w:val="auto"/>
                      <w:sz w:val="21"/>
                      <w:szCs w:val="21"/>
                      <w:u w:val="single" w:color="auto"/>
                      <w:lang w:val="en-US" w:eastAsia="zh-CN"/>
                    </w:rPr>
                    <w:t>，</w:t>
                  </w:r>
                  <w:r>
                    <w:rPr>
                      <w:rFonts w:hint="eastAsia" w:ascii="Times New Roman" w:hAnsi="Times New Roman" w:eastAsia="宋体" w:cs="Times New Roman"/>
                      <w:color w:val="auto"/>
                      <w:sz w:val="21"/>
                      <w:szCs w:val="21"/>
                      <w:u w:val="single" w:color="auto"/>
                      <w:lang w:val="en-US" w:eastAsia="zh-CN"/>
                    </w:rPr>
                    <w:t>27.740353724</w:t>
                  </w:r>
                  <w:r>
                    <w:rPr>
                      <w:rFonts w:hint="eastAsia" w:cs="Times New Roman"/>
                      <w:color w:val="auto"/>
                      <w:sz w:val="21"/>
                      <w:szCs w:val="21"/>
                      <w:u w:val="single" w:color="auto"/>
                      <w:lang w:val="en-US" w:eastAsia="zh-CN"/>
                    </w:rPr>
                    <w:t>，</w:t>
                  </w:r>
                  <w:r>
                    <w:rPr>
                      <w:rFonts w:hint="eastAsia" w:ascii="Times New Roman" w:hAnsi="Times New Roman" w:eastAsia="宋体" w:cs="Times New Roman"/>
                      <w:color w:val="auto"/>
                      <w:sz w:val="21"/>
                      <w:szCs w:val="21"/>
                      <w:u w:val="single" w:color="auto"/>
                      <w:lang w:val="en-US" w:eastAsia="zh-CN"/>
                    </w:rPr>
                    <w:t>66.113</w:t>
                  </w:r>
                  <w:r>
                    <w:rPr>
                      <w:rFonts w:hint="default" w:ascii="Times New Roman" w:hAnsi="Times New Roman" w:eastAsia="宋体" w:cs="Times New Roman"/>
                      <w:color w:val="auto"/>
                      <w:sz w:val="21"/>
                      <w:szCs w:val="21"/>
                      <w:u w:val="single" w:color="auto"/>
                      <w:lang w:val="en-US" w:eastAsia="zh-CN"/>
                    </w:rPr>
                    <w:t>）为坐标原点，</w:t>
                  </w:r>
                  <w:r>
                    <w:rPr>
                      <w:rFonts w:hint="eastAsia" w:ascii="Times New Roman" w:hAnsi="Times New Roman" w:eastAsia="宋体" w:cs="Times New Roman"/>
                      <w:color w:val="auto"/>
                      <w:sz w:val="21"/>
                      <w:szCs w:val="21"/>
                      <w:u w:val="single" w:color="auto"/>
                      <w:lang w:val="en-US" w:eastAsia="zh-CN"/>
                    </w:rPr>
                    <w:t>东向</w:t>
                  </w:r>
                  <w:r>
                    <w:rPr>
                      <w:rFonts w:hint="default" w:ascii="Times New Roman" w:hAnsi="Times New Roman" w:eastAsia="宋体" w:cs="Times New Roman"/>
                      <w:color w:val="auto"/>
                      <w:sz w:val="21"/>
                      <w:szCs w:val="21"/>
                      <w:u w:val="single" w:color="auto"/>
                      <w:lang w:val="en-US" w:eastAsia="zh-CN"/>
                    </w:rPr>
                    <w:t>为X轴正方向，北向为Y轴正方向</w:t>
                  </w:r>
                  <w:r>
                    <w:rPr>
                      <w:rFonts w:hint="eastAsia" w:cs="Times New Roman"/>
                      <w:color w:val="auto"/>
                      <w:sz w:val="21"/>
                      <w:szCs w:val="21"/>
                      <w:u w:val="single" w:color="auto"/>
                      <w:lang w:val="en-US" w:eastAsia="zh-CN"/>
                    </w:rPr>
                    <w:t>；设备设置在室外，通过基础减振措施，降噪效果约为20dB（A）。</w:t>
                  </w:r>
                </w:p>
              </w:tc>
            </w:tr>
          </w:tbl>
          <w:p w14:paraId="593D197D">
            <w:pPr>
              <w:pStyle w:val="39"/>
              <w:rPr>
                <w:rFonts w:hint="default"/>
                <w:color w:val="auto"/>
                <w:sz w:val="24"/>
                <w:highlight w:val="none"/>
                <w:u w:val="none" w:color="auto"/>
                <w:lang w:val="en-US" w:eastAsia="zh-CN"/>
              </w:rPr>
            </w:pPr>
          </w:p>
        </w:tc>
      </w:tr>
    </w:tbl>
    <w:p w14:paraId="64DA86C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eastAsia="宋体" w:cs="Times New Roman"/>
          <w:b/>
          <w:bCs/>
          <w:color w:val="auto"/>
          <w:szCs w:val="24"/>
          <w:highlight w:val="none"/>
          <w:lang w:val="en-US" w:eastAsia="zh-CN"/>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1"/>
        <w:tblW w:w="901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08"/>
        <w:gridCol w:w="8611"/>
      </w:tblGrid>
      <w:tr w14:paraId="09B5AD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49" w:hRule="atLeast"/>
          <w:jc w:val="center"/>
        </w:trPr>
        <w:tc>
          <w:tcPr>
            <w:tcW w:w="408" w:type="dxa"/>
            <w:noWrap w:val="0"/>
            <w:tcMar>
              <w:left w:w="28" w:type="dxa"/>
              <w:right w:w="28" w:type="dxa"/>
            </w:tcMar>
            <w:vAlign w:val="center"/>
          </w:tcPr>
          <w:p w14:paraId="1175A8C7">
            <w:pPr>
              <w:adjustRightInd w:val="0"/>
              <w:snapToGrid w:val="0"/>
              <w:jc w:val="center"/>
              <w:rPr>
                <w:rFonts w:hint="default" w:ascii="Times New Roman" w:hAnsi="Times New Roman" w:eastAsia="宋体" w:cs="Times New Roman"/>
                <w:bCs/>
                <w:color w:val="auto"/>
                <w:sz w:val="21"/>
                <w:szCs w:val="21"/>
                <w:highlight w:val="yellow"/>
                <w:u w:val="none" w:color="auto"/>
              </w:rPr>
            </w:pPr>
            <w:bookmarkStart w:id="16" w:name="_Toc167"/>
            <w:bookmarkStart w:id="17" w:name="_Toc21873"/>
            <w:bookmarkStart w:id="18" w:name="_Toc2845"/>
            <w:r>
              <w:rPr>
                <w:rFonts w:hint="default" w:ascii="Times New Roman" w:hAnsi="Times New Roman" w:eastAsia="宋体" w:cs="Times New Roman"/>
                <w:color w:val="auto"/>
                <w:kern w:val="0"/>
                <w:sz w:val="21"/>
                <w:szCs w:val="21"/>
                <w:highlight w:val="none"/>
                <w:u w:val="none" w:color="auto"/>
                <w:lang w:val="en-US" w:eastAsia="zh-CN" w:bidi="ar-SA"/>
              </w:rPr>
              <w:t>运营期环境影响和保护措施</w:t>
            </w:r>
          </w:p>
        </w:tc>
        <w:tc>
          <w:tcPr>
            <w:tcW w:w="8611" w:type="dxa"/>
            <w:noWrap w:val="0"/>
            <w:vAlign w:val="center"/>
          </w:tcPr>
          <w:p w14:paraId="552B4187">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2、噪声污染防治措施</w:t>
            </w:r>
          </w:p>
          <w:p w14:paraId="5BC91A8F">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工程对噪声的控制主要采取控制噪声源与隔断噪声传播途径相结合的办法，以控制噪声对外环境的影响。</w:t>
            </w:r>
            <w:r>
              <w:rPr>
                <w:rFonts w:hint="eastAsia" w:ascii="Times New Roman" w:hAnsi="Times New Roman" w:eastAsia="宋体" w:cs="Times New Roman"/>
                <w:color w:val="auto"/>
                <w:sz w:val="24"/>
                <w:szCs w:val="24"/>
                <w:highlight w:val="none"/>
                <w:u w:val="none" w:color="auto"/>
                <w:lang w:val="en-US" w:eastAsia="zh-CN"/>
              </w:rPr>
              <w:t>主要采取如下噪声污染防治措施：</w:t>
            </w:r>
          </w:p>
          <w:p w14:paraId="5C2AF7DE">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（1）选用低噪设备，从噪声源上控制噪声</w:t>
            </w:r>
            <w:r>
              <w:rPr>
                <w:rFonts w:hint="eastAsia" w:ascii="Times New Roman" w:hAnsi="Times New Roman" w:eastAsia="宋体" w:cs="Times New Roman"/>
                <w:color w:val="auto"/>
                <w:sz w:val="24"/>
                <w:szCs w:val="24"/>
                <w:highlight w:val="none"/>
                <w:u w:val="none" w:color="auto"/>
                <w:lang w:val="en-US" w:eastAsia="zh-CN"/>
              </w:rPr>
              <w:t>源强。</w:t>
            </w:r>
          </w:p>
          <w:p w14:paraId="31C15779">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（2）将</w:t>
            </w:r>
            <w:r>
              <w:rPr>
                <w:rFonts w:hint="eastAsia" w:ascii="Times New Roman" w:hAnsi="Times New Roman" w:eastAsia="宋体" w:cs="Times New Roman"/>
                <w:color w:val="auto"/>
                <w:sz w:val="24"/>
                <w:szCs w:val="24"/>
                <w:highlight w:val="none"/>
                <w:u w:val="none" w:color="auto"/>
                <w:lang w:val="en-US" w:eastAsia="zh-CN"/>
              </w:rPr>
              <w:t>设备</w:t>
            </w:r>
            <w:r>
              <w:rPr>
                <w:rFonts w:hint="default" w:ascii="Times New Roman" w:hAnsi="Times New Roman" w:eastAsia="宋体" w:cs="Times New Roman"/>
                <w:color w:val="auto"/>
                <w:sz w:val="24"/>
                <w:szCs w:val="24"/>
                <w:highlight w:val="none"/>
                <w:u w:val="none" w:color="auto"/>
                <w:lang w:val="en-US" w:eastAsia="zh-CN"/>
              </w:rPr>
              <w:t>设置在</w:t>
            </w:r>
            <w:r>
              <w:rPr>
                <w:rFonts w:hint="eastAsia" w:ascii="Times New Roman" w:hAnsi="Times New Roman" w:eastAsia="宋体" w:cs="Times New Roman"/>
                <w:color w:val="auto"/>
                <w:sz w:val="24"/>
                <w:szCs w:val="24"/>
                <w:highlight w:val="none"/>
                <w:u w:val="none" w:color="auto"/>
                <w:lang w:val="en-US" w:eastAsia="zh-CN"/>
              </w:rPr>
              <w:t>室</w:t>
            </w:r>
            <w:r>
              <w:rPr>
                <w:rFonts w:hint="default" w:ascii="Times New Roman" w:hAnsi="Times New Roman" w:eastAsia="宋体" w:cs="Times New Roman"/>
                <w:color w:val="auto"/>
                <w:sz w:val="24"/>
                <w:szCs w:val="24"/>
                <w:highlight w:val="none"/>
                <w:u w:val="none" w:color="auto"/>
                <w:lang w:val="en-US" w:eastAsia="zh-CN"/>
              </w:rPr>
              <w:t>内，通过</w:t>
            </w:r>
            <w:r>
              <w:rPr>
                <w:rFonts w:hint="eastAsia" w:ascii="Times New Roman" w:hAnsi="Times New Roman" w:eastAsia="宋体" w:cs="Times New Roman"/>
                <w:color w:val="auto"/>
                <w:sz w:val="24"/>
                <w:szCs w:val="24"/>
                <w:highlight w:val="none"/>
                <w:u w:val="none" w:color="auto"/>
                <w:lang w:val="en-US" w:eastAsia="zh-CN"/>
              </w:rPr>
              <w:t>建筑</w:t>
            </w:r>
            <w:r>
              <w:rPr>
                <w:rFonts w:hint="default" w:ascii="Times New Roman" w:hAnsi="Times New Roman" w:eastAsia="宋体" w:cs="Times New Roman"/>
                <w:color w:val="auto"/>
                <w:sz w:val="24"/>
                <w:szCs w:val="24"/>
                <w:highlight w:val="none"/>
                <w:u w:val="none" w:color="auto"/>
                <w:lang w:val="en-US" w:eastAsia="zh-CN"/>
              </w:rPr>
              <w:t>隔声阻挡噪声的传播</w:t>
            </w:r>
            <w:r>
              <w:rPr>
                <w:rFonts w:hint="eastAsia" w:ascii="Times New Roman" w:hAnsi="Times New Roman" w:eastAsia="宋体" w:cs="Times New Roman"/>
                <w:color w:val="auto"/>
                <w:sz w:val="24"/>
                <w:szCs w:val="24"/>
                <w:highlight w:val="none"/>
                <w:u w:val="none" w:color="auto"/>
                <w:lang w:val="en-US" w:eastAsia="zh-CN"/>
              </w:rPr>
              <w:t>，降噪效果约15~20dB（A）以上。</w:t>
            </w:r>
          </w:p>
          <w:p w14:paraId="74605343">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（3）</w:t>
            </w:r>
            <w:r>
              <w:rPr>
                <w:rFonts w:hint="eastAsia" w:ascii="Times New Roman" w:hAnsi="Times New Roman" w:eastAsia="宋体" w:cs="Times New Roman"/>
                <w:color w:val="auto"/>
                <w:sz w:val="24"/>
                <w:szCs w:val="24"/>
                <w:highlight w:val="none"/>
                <w:u w:val="none" w:color="auto"/>
                <w:lang w:val="en-US" w:eastAsia="zh-CN"/>
              </w:rPr>
              <w:t>在切割机</w:t>
            </w:r>
            <w:r>
              <w:rPr>
                <w:rFonts w:hint="default" w:ascii="Times New Roman" w:hAnsi="Times New Roman" w:eastAsia="宋体" w:cs="Times New Roman"/>
                <w:color w:val="auto"/>
                <w:sz w:val="24"/>
                <w:szCs w:val="24"/>
                <w:highlight w:val="none"/>
                <w:u w:val="none" w:color="auto"/>
                <w:lang w:val="en-US" w:eastAsia="zh-CN"/>
              </w:rPr>
              <w:t>、空气压缩机、风机等</w:t>
            </w:r>
            <w:r>
              <w:rPr>
                <w:rFonts w:hint="eastAsia" w:ascii="Times New Roman" w:hAnsi="Times New Roman" w:eastAsia="宋体" w:cs="Times New Roman"/>
                <w:color w:val="auto"/>
                <w:sz w:val="24"/>
                <w:szCs w:val="24"/>
                <w:highlight w:val="none"/>
                <w:u w:val="none" w:color="auto"/>
                <w:lang w:val="en-US" w:eastAsia="zh-CN"/>
              </w:rPr>
              <w:t>设备的基座下设置减振基础，可有效降低结构噪声，降噪效果约1</w:t>
            </w:r>
            <w:r>
              <w:rPr>
                <w:rFonts w:hint="eastAsia" w:cs="Times New Roman"/>
                <w:color w:val="auto"/>
                <w:sz w:val="24"/>
                <w:szCs w:val="24"/>
                <w:highlight w:val="none"/>
                <w:u w:val="none" w:color="auto"/>
                <w:lang w:val="en-US" w:eastAsia="zh-CN"/>
              </w:rPr>
              <w:t>0</w:t>
            </w:r>
            <w:r>
              <w:rPr>
                <w:rFonts w:hint="eastAsia" w:ascii="Times New Roman" w:hAnsi="Times New Roman" w:eastAsia="宋体" w:cs="Times New Roman"/>
                <w:color w:val="auto"/>
                <w:sz w:val="24"/>
                <w:szCs w:val="24"/>
                <w:highlight w:val="none"/>
                <w:u w:val="none" w:color="auto"/>
                <w:lang w:val="en-US" w:eastAsia="zh-CN"/>
              </w:rPr>
              <w:t>～</w:t>
            </w:r>
            <w:r>
              <w:rPr>
                <w:rFonts w:hint="eastAsia" w:cs="Times New Roman"/>
                <w:color w:val="auto"/>
                <w:sz w:val="24"/>
                <w:szCs w:val="24"/>
                <w:highlight w:val="none"/>
                <w:u w:val="none" w:color="auto"/>
                <w:lang w:val="en-US" w:eastAsia="zh-CN"/>
              </w:rPr>
              <w:t>20</w:t>
            </w:r>
            <w:r>
              <w:rPr>
                <w:rFonts w:hint="eastAsia" w:ascii="Times New Roman" w:hAnsi="Times New Roman" w:eastAsia="宋体" w:cs="Times New Roman"/>
                <w:color w:val="auto"/>
                <w:sz w:val="24"/>
                <w:szCs w:val="24"/>
                <w:highlight w:val="none"/>
                <w:u w:val="none" w:color="auto"/>
                <w:lang w:val="en-US" w:eastAsia="zh-CN"/>
              </w:rPr>
              <w:t>dB（A）。</w:t>
            </w:r>
          </w:p>
          <w:p w14:paraId="3789D762">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（4）</w:t>
            </w:r>
            <w:r>
              <w:rPr>
                <w:rFonts w:hint="default" w:ascii="Times New Roman" w:hAnsi="Times New Roman" w:eastAsia="宋体" w:cs="Times New Roman"/>
                <w:color w:val="auto"/>
                <w:sz w:val="24"/>
                <w:szCs w:val="24"/>
                <w:highlight w:val="none"/>
                <w:u w:val="none" w:color="auto"/>
                <w:lang w:val="en-US" w:eastAsia="zh-CN"/>
              </w:rPr>
              <w:t>风机进风口安装消声器</w:t>
            </w:r>
            <w:r>
              <w:rPr>
                <w:rFonts w:hint="eastAsia" w:ascii="Times New Roman" w:hAnsi="Times New Roman" w:eastAsia="宋体"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管道采用软连接</w:t>
            </w:r>
            <w:r>
              <w:rPr>
                <w:rFonts w:hint="eastAsia" w:ascii="Times New Roman" w:hAnsi="Times New Roman" w:eastAsia="宋体" w:cs="Times New Roman"/>
                <w:color w:val="auto"/>
                <w:sz w:val="24"/>
                <w:szCs w:val="24"/>
                <w:highlight w:val="none"/>
                <w:u w:val="none" w:color="auto"/>
                <w:lang w:val="en-US" w:eastAsia="zh-CN"/>
              </w:rPr>
              <w:t>，可有效降低空气动力性噪声，降噪效果约15～25dB（A）</w:t>
            </w:r>
            <w:r>
              <w:rPr>
                <w:rFonts w:hint="default" w:ascii="Times New Roman" w:hAnsi="Times New Roman" w:eastAsia="宋体" w:cs="Times New Roman"/>
                <w:color w:val="auto"/>
                <w:sz w:val="24"/>
                <w:szCs w:val="24"/>
                <w:highlight w:val="none"/>
                <w:u w:val="none" w:color="auto"/>
                <w:lang w:val="en-US" w:eastAsia="zh-CN"/>
              </w:rPr>
              <w:t>。</w:t>
            </w:r>
          </w:p>
          <w:p w14:paraId="48743BB9">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3、噪声预测</w:t>
            </w:r>
          </w:p>
          <w:p w14:paraId="47C05D30">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本项目采用的噪声预测模型为《环境影响评价技术导则 声环境》(HJ2.4-2021)附录 A（规范性附录）户外声传播的衰减和附录B（规范性附录）中“B.1工业噪声预测计算模型”。</w:t>
            </w:r>
            <w:r>
              <w:rPr>
                <w:rFonts w:hint="default" w:ascii="Times New Roman" w:hAnsi="Times New Roman" w:eastAsia="宋体" w:cs="Times New Roman"/>
                <w:color w:val="auto"/>
                <w:sz w:val="24"/>
                <w:szCs w:val="24"/>
                <w:highlight w:val="none"/>
                <w:u w:val="none" w:color="auto"/>
                <w:lang w:val="en-US" w:eastAsia="zh-CN"/>
              </w:rPr>
              <w:t>设备</w:t>
            </w:r>
            <w:r>
              <w:rPr>
                <w:rFonts w:hint="eastAsia" w:ascii="Times New Roman" w:hAnsi="Times New Roman" w:eastAsia="宋体" w:cs="Times New Roman"/>
                <w:color w:val="auto"/>
                <w:sz w:val="24"/>
                <w:szCs w:val="24"/>
                <w:highlight w:val="none"/>
                <w:u w:val="none" w:color="auto"/>
                <w:lang w:val="en-US" w:eastAsia="zh-CN"/>
              </w:rPr>
              <w:t>均</w:t>
            </w:r>
            <w:r>
              <w:rPr>
                <w:rFonts w:hint="default" w:ascii="Times New Roman" w:hAnsi="Times New Roman" w:eastAsia="宋体" w:cs="Times New Roman"/>
                <w:color w:val="auto"/>
                <w:sz w:val="24"/>
                <w:szCs w:val="24"/>
                <w:highlight w:val="none"/>
                <w:u w:val="none" w:color="auto"/>
                <w:lang w:val="en-US" w:eastAsia="zh-CN"/>
              </w:rPr>
              <w:t>安装在车间内。</w:t>
            </w:r>
          </w:p>
          <w:p w14:paraId="797D4665">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（1）室内声源等效室外声源声功率级计算方法</w:t>
            </w:r>
          </w:p>
          <w:p w14:paraId="7639CFB8">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如图所示，声源位于室内，室内声源可采用等效室外声源声功率级法进行计算。设靠近开口处（或窗户）室内、室外某倍频带的声压级分别为 L</w:t>
            </w:r>
            <w:r>
              <w:rPr>
                <w:rFonts w:hint="eastAsia" w:ascii="Times New Roman" w:hAnsi="Times New Roman" w:eastAsia="宋体" w:cs="Times New Roman"/>
                <w:color w:val="auto"/>
                <w:sz w:val="24"/>
                <w:szCs w:val="24"/>
                <w:highlight w:val="none"/>
                <w:u w:val="none" w:color="auto"/>
                <w:vertAlign w:val="subscript"/>
                <w:lang w:val="en-US" w:eastAsia="zh-CN"/>
              </w:rPr>
              <w:t xml:space="preserve">p1 </w:t>
            </w:r>
            <w:r>
              <w:rPr>
                <w:rFonts w:hint="eastAsia" w:ascii="Times New Roman" w:hAnsi="Times New Roman" w:eastAsia="宋体" w:cs="Times New Roman"/>
                <w:color w:val="auto"/>
                <w:sz w:val="24"/>
                <w:szCs w:val="24"/>
                <w:highlight w:val="none"/>
                <w:u w:val="none" w:color="auto"/>
                <w:lang w:val="en-US" w:eastAsia="zh-CN"/>
              </w:rPr>
              <w:t>和 L</w:t>
            </w:r>
            <w:r>
              <w:rPr>
                <w:rFonts w:hint="eastAsia" w:ascii="Times New Roman" w:hAnsi="Times New Roman" w:eastAsia="宋体" w:cs="Times New Roman"/>
                <w:color w:val="auto"/>
                <w:sz w:val="24"/>
                <w:szCs w:val="24"/>
                <w:highlight w:val="none"/>
                <w:u w:val="none" w:color="auto"/>
                <w:vertAlign w:val="subscript"/>
                <w:lang w:val="en-US" w:eastAsia="zh-CN"/>
              </w:rPr>
              <w:t>p2</w:t>
            </w:r>
            <w:r>
              <w:rPr>
                <w:rFonts w:hint="eastAsia" w:ascii="Times New Roman" w:hAnsi="Times New Roman" w:eastAsia="宋体" w:cs="Times New Roman"/>
                <w:color w:val="auto"/>
                <w:sz w:val="24"/>
                <w:szCs w:val="24"/>
                <w:highlight w:val="none"/>
                <w:u w:val="none" w:color="auto"/>
                <w:lang w:val="en-US" w:eastAsia="zh-CN"/>
              </w:rPr>
              <w:t>。若声源所在室内声场为近似扩散声场，则室外的倍频带声压级可按下式近似求出：</w:t>
            </w:r>
          </w:p>
          <w:p w14:paraId="4832AD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L</w:t>
            </w:r>
            <w:r>
              <w:rPr>
                <w:rFonts w:hint="eastAsia" w:ascii="Times New Roman" w:hAnsi="Times New Roman" w:eastAsia="宋体" w:cs="Times New Roman"/>
                <w:color w:val="auto"/>
                <w:sz w:val="24"/>
                <w:szCs w:val="24"/>
                <w:highlight w:val="none"/>
                <w:u w:val="none" w:color="auto"/>
                <w:vertAlign w:val="subscript"/>
                <w:lang w:val="en-US" w:eastAsia="zh-CN"/>
              </w:rPr>
              <w:t>p2</w:t>
            </w:r>
            <w:r>
              <w:rPr>
                <w:rFonts w:hint="eastAsia" w:ascii="Times New Roman" w:hAnsi="Times New Roman" w:eastAsia="宋体" w:cs="Times New Roman"/>
                <w:color w:val="auto"/>
                <w:sz w:val="24"/>
                <w:szCs w:val="24"/>
                <w:highlight w:val="none"/>
                <w:u w:val="none" w:color="auto"/>
                <w:lang w:val="en-US" w:eastAsia="zh-CN"/>
              </w:rPr>
              <w:t>=L</w:t>
            </w:r>
            <w:r>
              <w:rPr>
                <w:rFonts w:hint="eastAsia" w:ascii="Times New Roman" w:hAnsi="Times New Roman" w:eastAsia="宋体" w:cs="Times New Roman"/>
                <w:color w:val="auto"/>
                <w:sz w:val="24"/>
                <w:szCs w:val="24"/>
                <w:highlight w:val="none"/>
                <w:u w:val="none" w:color="auto"/>
                <w:vertAlign w:val="subscript"/>
                <w:lang w:val="en-US" w:eastAsia="zh-CN"/>
              </w:rPr>
              <w:t>p1</w:t>
            </w:r>
            <w:r>
              <w:rPr>
                <w:rFonts w:hint="eastAsia" w:ascii="Times New Roman" w:hAnsi="Times New Roman" w:eastAsia="宋体" w:cs="Times New Roman"/>
                <w:color w:val="auto"/>
                <w:sz w:val="24"/>
                <w:szCs w:val="24"/>
                <w:highlight w:val="none"/>
                <w:u w:val="none" w:color="auto"/>
                <w:lang w:val="en-US" w:eastAsia="zh-CN"/>
              </w:rPr>
              <w:t>-（TL+6）</w:t>
            </w:r>
          </w:p>
          <w:p w14:paraId="27154308">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式中：L</w:t>
            </w:r>
            <w:r>
              <w:rPr>
                <w:rFonts w:hint="eastAsia" w:ascii="Times New Roman" w:hAnsi="Times New Roman" w:eastAsia="宋体" w:cs="Times New Roman"/>
                <w:color w:val="auto"/>
                <w:sz w:val="24"/>
                <w:szCs w:val="24"/>
                <w:highlight w:val="none"/>
                <w:u w:val="none" w:color="auto"/>
                <w:vertAlign w:val="subscript"/>
                <w:lang w:val="en-US" w:eastAsia="zh-CN"/>
              </w:rPr>
              <w:t>p1</w:t>
            </w:r>
            <w:r>
              <w:rPr>
                <w:rFonts w:hint="eastAsia" w:ascii="Times New Roman" w:hAnsi="Times New Roman" w:eastAsia="宋体" w:cs="Times New Roman"/>
                <w:color w:val="auto"/>
                <w:sz w:val="24"/>
                <w:szCs w:val="24"/>
                <w:highlight w:val="none"/>
                <w:u w:val="none" w:color="auto"/>
                <w:lang w:val="en-US" w:eastAsia="zh-CN"/>
              </w:rPr>
              <w:t>——靠近开口处（或窗户）室内某倍频带的声压级或 A 声级，dB；</w:t>
            </w:r>
          </w:p>
          <w:p w14:paraId="4C600B09">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L</w:t>
            </w:r>
            <w:r>
              <w:rPr>
                <w:rFonts w:hint="eastAsia" w:ascii="Times New Roman" w:hAnsi="Times New Roman" w:eastAsia="宋体" w:cs="Times New Roman"/>
                <w:color w:val="auto"/>
                <w:sz w:val="24"/>
                <w:szCs w:val="24"/>
                <w:highlight w:val="none"/>
                <w:u w:val="none" w:color="auto"/>
                <w:vertAlign w:val="subscript"/>
                <w:lang w:val="en-US" w:eastAsia="zh-CN"/>
              </w:rPr>
              <w:t>p2</w:t>
            </w:r>
            <w:r>
              <w:rPr>
                <w:rFonts w:hint="eastAsia" w:ascii="Times New Roman" w:hAnsi="Times New Roman" w:eastAsia="宋体" w:cs="Times New Roman"/>
                <w:color w:val="auto"/>
                <w:sz w:val="24"/>
                <w:szCs w:val="24"/>
                <w:highlight w:val="none"/>
                <w:u w:val="none" w:color="auto"/>
                <w:lang w:val="en-US" w:eastAsia="zh-CN"/>
              </w:rPr>
              <w:t>——靠近开口处（或窗户）室外某倍频带的声压级或 A 声级，dB；</w:t>
            </w:r>
          </w:p>
          <w:p w14:paraId="02222E83">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TL——隔墙（或窗户）倍频带或 A 声级的隔声量，dB。</w:t>
            </w:r>
          </w:p>
          <w:p w14:paraId="319666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highlight w:val="none"/>
                <w:u w:val="none" w:color="auto"/>
                <w:lang w:val="en-US" w:eastAsia="zh-CN"/>
              </w:rPr>
            </w:pPr>
            <w:r>
              <w:rPr>
                <w:rFonts w:hint="eastAsia" w:ascii="Times New Roman" w:hAnsi="Times New Roman" w:eastAsia="宋体" w:cs="Times New Roman"/>
                <w:color w:val="auto"/>
                <w:highlight w:val="none"/>
                <w:u w:val="none" w:color="auto"/>
                <w:lang w:val="en-US" w:eastAsia="zh-CN"/>
              </w:rPr>
              <w:drawing>
                <wp:inline distT="0" distB="0" distL="114300" distR="114300">
                  <wp:extent cx="2028825" cy="1076325"/>
                  <wp:effectExtent l="0" t="0" r="9525" b="9525"/>
                  <wp:docPr id="168" name="图片 85" descr="51a27275c7fa403ec0fc07f4fc83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85" descr="51a27275c7fa403ec0fc07f4fc83510"/>
                          <pic:cNvPicPr>
                            <a:picLocks noChangeAspect="1"/>
                          </pic:cNvPicPr>
                        </pic:nvPicPr>
                        <pic:blipFill>
                          <a:blip r:embed="rId10"/>
                          <a:stretch>
                            <a:fillRect/>
                          </a:stretch>
                        </pic:blipFill>
                        <pic:spPr>
                          <a:xfrm>
                            <a:off x="0" y="0"/>
                            <a:ext cx="2028825" cy="1076325"/>
                          </a:xfrm>
                          <a:prstGeom prst="rect">
                            <a:avLst/>
                          </a:prstGeom>
                          <a:noFill/>
                          <a:ln>
                            <a:noFill/>
                          </a:ln>
                        </pic:spPr>
                      </pic:pic>
                    </a:graphicData>
                  </a:graphic>
                </wp:inline>
              </w:drawing>
            </w:r>
          </w:p>
          <w:p w14:paraId="18C65E9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也可按下式计算某一室内声源靠近围护结构处产生的倍频带声压级或 A 声级：</w:t>
            </w:r>
          </w:p>
          <w:p w14:paraId="341C621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drawing>
                <wp:inline distT="0" distB="0" distL="114300" distR="114300">
                  <wp:extent cx="1654810" cy="326390"/>
                  <wp:effectExtent l="0" t="0" r="2540" b="16510"/>
                  <wp:docPr id="169"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86"/>
                          <pic:cNvPicPr>
                            <a:picLocks noChangeAspect="1"/>
                          </pic:cNvPicPr>
                        </pic:nvPicPr>
                        <pic:blipFill>
                          <a:blip r:embed="rId11"/>
                          <a:stretch>
                            <a:fillRect/>
                          </a:stretch>
                        </pic:blipFill>
                        <pic:spPr>
                          <a:xfrm>
                            <a:off x="0" y="0"/>
                            <a:ext cx="1654810" cy="326390"/>
                          </a:xfrm>
                          <a:prstGeom prst="rect">
                            <a:avLst/>
                          </a:prstGeom>
                          <a:noFill/>
                          <a:ln>
                            <a:noFill/>
                          </a:ln>
                        </pic:spPr>
                      </pic:pic>
                    </a:graphicData>
                  </a:graphic>
                </wp:inline>
              </w:drawing>
            </w:r>
          </w:p>
          <w:p w14:paraId="038E77EE">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式中：L</w:t>
            </w:r>
            <w:r>
              <w:rPr>
                <w:rFonts w:hint="eastAsia" w:ascii="Times New Roman" w:hAnsi="Times New Roman" w:eastAsia="宋体" w:cs="Times New Roman"/>
                <w:color w:val="auto"/>
                <w:sz w:val="24"/>
                <w:szCs w:val="24"/>
                <w:highlight w:val="none"/>
                <w:u w:val="none" w:color="auto"/>
                <w:vertAlign w:val="subscript"/>
                <w:lang w:val="en-US" w:eastAsia="zh-CN"/>
              </w:rPr>
              <w:t>p1</w:t>
            </w:r>
            <w:r>
              <w:rPr>
                <w:rFonts w:hint="eastAsia" w:ascii="Times New Roman" w:hAnsi="Times New Roman" w:eastAsia="宋体" w:cs="Times New Roman"/>
                <w:color w:val="auto"/>
                <w:sz w:val="24"/>
                <w:szCs w:val="24"/>
                <w:highlight w:val="none"/>
                <w:u w:val="none" w:color="auto"/>
                <w:lang w:val="en-US" w:eastAsia="zh-CN"/>
              </w:rPr>
              <w:t>——靠近开口处（或窗户）室内某倍频带的声压级或 A 声级，dB；</w:t>
            </w:r>
          </w:p>
          <w:p w14:paraId="02A4C21A">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L</w:t>
            </w:r>
            <w:r>
              <w:rPr>
                <w:rFonts w:hint="eastAsia" w:ascii="Times New Roman" w:hAnsi="Times New Roman" w:eastAsia="宋体" w:cs="Times New Roman"/>
                <w:color w:val="auto"/>
                <w:sz w:val="24"/>
                <w:szCs w:val="24"/>
                <w:highlight w:val="none"/>
                <w:u w:val="none" w:color="auto"/>
                <w:vertAlign w:val="subscript"/>
                <w:lang w:val="en-US" w:eastAsia="zh-CN"/>
              </w:rPr>
              <w:t>w</w:t>
            </w:r>
            <w:r>
              <w:rPr>
                <w:rFonts w:hint="eastAsia" w:ascii="Times New Roman" w:hAnsi="Times New Roman" w:eastAsia="宋体" w:cs="Times New Roman"/>
                <w:color w:val="auto"/>
                <w:sz w:val="24"/>
                <w:szCs w:val="24"/>
                <w:highlight w:val="none"/>
                <w:u w:val="none" w:color="auto"/>
                <w:lang w:val="en-US" w:eastAsia="zh-CN"/>
              </w:rPr>
              <w:t>——点声源声功率级（A计权或倍频带），dB；</w:t>
            </w:r>
          </w:p>
          <w:p w14:paraId="5248D1D7">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Q——指向性因数；通常对无指向性声源，当声源放在房间中心时，Q=1；当放在一面墙的中心时，Q=2；当放在两面墙夹角处时，Q=4，当放在三面墙夹角处时，Q=8；</w:t>
            </w:r>
          </w:p>
          <w:p w14:paraId="20711D54">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R——房间常数，R=Sα/(1-α)，S 为房间内表面面积，m</w:t>
            </w:r>
            <w:r>
              <w:rPr>
                <w:rFonts w:hint="default" w:ascii="Times New Roman" w:hAnsi="Times New Roman" w:eastAsia="宋体" w:cs="Times New Roman"/>
                <w:color w:val="auto"/>
                <w:sz w:val="24"/>
                <w:szCs w:val="24"/>
                <w:highlight w:val="none"/>
                <w:u w:val="none" w:color="auto"/>
                <w:vertAlign w:val="superscript"/>
                <w:lang w:val="en-US" w:eastAsia="zh-CN"/>
              </w:rPr>
              <w:t>2</w:t>
            </w:r>
            <w:r>
              <w:rPr>
                <w:rFonts w:hint="default" w:ascii="Times New Roman" w:hAnsi="Times New Roman" w:eastAsia="宋体" w:cs="Times New Roman"/>
                <w:color w:val="auto"/>
                <w:sz w:val="24"/>
                <w:szCs w:val="24"/>
                <w:highlight w:val="none"/>
                <w:u w:val="none" w:color="auto"/>
                <w:lang w:val="en-US" w:eastAsia="zh-CN"/>
              </w:rPr>
              <w:t>，α为平均吸声系数</w:t>
            </w:r>
            <w:r>
              <w:rPr>
                <w:rFonts w:hint="eastAsia" w:ascii="Times New Roman" w:hAnsi="Times New Roman" w:eastAsia="宋体" w:cs="Times New Roman"/>
                <w:color w:val="auto"/>
                <w:sz w:val="24"/>
                <w:szCs w:val="24"/>
                <w:highlight w:val="none"/>
                <w:u w:val="none" w:color="auto"/>
                <w:lang w:val="en-US" w:eastAsia="zh-CN"/>
              </w:rPr>
              <w:t>；</w:t>
            </w:r>
          </w:p>
          <w:p w14:paraId="70DD8333">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r——声源到靠近围护结构某点处的距离，m。</w:t>
            </w:r>
          </w:p>
          <w:p w14:paraId="747850CE">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然后按下式计算出所有室内声源在围护结构处产生的 i 倍频带叠加声压级：</w:t>
            </w:r>
          </w:p>
          <w:p w14:paraId="482DD4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drawing>
                <wp:inline distT="0" distB="0" distL="114300" distR="114300">
                  <wp:extent cx="1941195" cy="314325"/>
                  <wp:effectExtent l="0" t="0" r="1905" b="9525"/>
                  <wp:docPr id="173"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87"/>
                          <pic:cNvPicPr>
                            <a:picLocks noChangeAspect="1"/>
                          </pic:cNvPicPr>
                        </pic:nvPicPr>
                        <pic:blipFill>
                          <a:blip r:embed="rId12"/>
                          <a:stretch>
                            <a:fillRect/>
                          </a:stretch>
                        </pic:blipFill>
                        <pic:spPr>
                          <a:xfrm>
                            <a:off x="0" y="0"/>
                            <a:ext cx="1941195" cy="314325"/>
                          </a:xfrm>
                          <a:prstGeom prst="rect">
                            <a:avLst/>
                          </a:prstGeom>
                          <a:noFill/>
                          <a:ln>
                            <a:noFill/>
                          </a:ln>
                        </pic:spPr>
                      </pic:pic>
                    </a:graphicData>
                  </a:graphic>
                </wp:inline>
              </w:drawing>
            </w:r>
          </w:p>
          <w:p w14:paraId="7B58CA71">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式中：L</w:t>
            </w:r>
            <w:r>
              <w:rPr>
                <w:rFonts w:hint="eastAsia" w:ascii="Times New Roman" w:hAnsi="Times New Roman" w:eastAsia="宋体" w:cs="Times New Roman"/>
                <w:color w:val="auto"/>
                <w:sz w:val="24"/>
                <w:szCs w:val="24"/>
                <w:highlight w:val="none"/>
                <w:u w:val="none" w:color="auto"/>
                <w:vertAlign w:val="subscript"/>
                <w:lang w:val="en-US" w:eastAsia="zh-CN"/>
              </w:rPr>
              <w:t>pli</w:t>
            </w:r>
            <w:r>
              <w:rPr>
                <w:rFonts w:hint="eastAsia" w:ascii="Times New Roman" w:hAnsi="Times New Roman" w:eastAsia="宋体" w:cs="Times New Roman"/>
                <w:color w:val="auto"/>
                <w:sz w:val="24"/>
                <w:szCs w:val="24"/>
                <w:highlight w:val="none"/>
                <w:u w:val="none" w:color="auto"/>
                <w:lang w:val="en-US" w:eastAsia="zh-CN"/>
              </w:rPr>
              <w:t>(T)——靠近围护结构处室内 N 个声源 i 倍频带的叠加声压级，dB；</w:t>
            </w:r>
          </w:p>
          <w:p w14:paraId="02B4EA75">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L</w:t>
            </w:r>
            <w:r>
              <w:rPr>
                <w:rFonts w:hint="eastAsia" w:ascii="Times New Roman" w:hAnsi="Times New Roman" w:eastAsia="宋体" w:cs="Times New Roman"/>
                <w:color w:val="auto"/>
                <w:sz w:val="24"/>
                <w:szCs w:val="24"/>
                <w:highlight w:val="none"/>
                <w:u w:val="none" w:color="auto"/>
                <w:vertAlign w:val="subscript"/>
                <w:lang w:val="en-US" w:eastAsia="zh-CN"/>
              </w:rPr>
              <w:t>plij</w:t>
            </w:r>
            <w:r>
              <w:rPr>
                <w:rFonts w:hint="eastAsia" w:ascii="Times New Roman" w:hAnsi="Times New Roman" w:eastAsia="宋体" w:cs="Times New Roman"/>
                <w:color w:val="auto"/>
                <w:sz w:val="24"/>
                <w:szCs w:val="24"/>
                <w:highlight w:val="none"/>
                <w:u w:val="none" w:color="auto"/>
                <w:lang w:val="en-US" w:eastAsia="zh-CN"/>
              </w:rPr>
              <w:t>——室内 j 声源 i 倍频带的声压级，dB；</w:t>
            </w:r>
          </w:p>
          <w:p w14:paraId="3E8A0D50">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N——室内声源总数。</w:t>
            </w:r>
          </w:p>
          <w:p w14:paraId="31F50DB9">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在室内近似为扩散声场时，按下式计算出靠近室外围护结构处的声压级：</w:t>
            </w:r>
          </w:p>
          <w:p w14:paraId="49286B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L</w:t>
            </w:r>
            <w:r>
              <w:rPr>
                <w:rFonts w:hint="eastAsia" w:ascii="Times New Roman" w:hAnsi="Times New Roman" w:eastAsia="宋体" w:cs="Times New Roman"/>
                <w:color w:val="auto"/>
                <w:sz w:val="24"/>
                <w:szCs w:val="24"/>
                <w:highlight w:val="none"/>
                <w:u w:val="none" w:color="auto"/>
                <w:vertAlign w:val="subscript"/>
                <w:lang w:val="en-US" w:eastAsia="zh-CN"/>
              </w:rPr>
              <w:t>p2i</w:t>
            </w:r>
            <w:r>
              <w:rPr>
                <w:rFonts w:hint="eastAsia" w:ascii="Times New Roman" w:hAnsi="Times New Roman" w:eastAsia="宋体" w:cs="Times New Roman"/>
                <w:color w:val="auto"/>
                <w:sz w:val="24"/>
                <w:szCs w:val="24"/>
                <w:highlight w:val="none"/>
                <w:u w:val="none" w:color="auto"/>
                <w:lang w:val="en-US" w:eastAsia="zh-CN"/>
              </w:rPr>
              <w:t>(T)=L</w:t>
            </w:r>
            <w:r>
              <w:rPr>
                <w:rFonts w:hint="eastAsia" w:ascii="Times New Roman" w:hAnsi="Times New Roman" w:eastAsia="宋体" w:cs="Times New Roman"/>
                <w:color w:val="auto"/>
                <w:sz w:val="24"/>
                <w:szCs w:val="24"/>
                <w:highlight w:val="none"/>
                <w:u w:val="none" w:color="auto"/>
                <w:vertAlign w:val="subscript"/>
                <w:lang w:val="en-US" w:eastAsia="zh-CN"/>
              </w:rPr>
              <w:t>pli</w:t>
            </w:r>
            <w:r>
              <w:rPr>
                <w:rFonts w:hint="eastAsia" w:ascii="Times New Roman" w:hAnsi="Times New Roman" w:eastAsia="宋体" w:cs="Times New Roman"/>
                <w:color w:val="auto"/>
                <w:sz w:val="24"/>
                <w:szCs w:val="24"/>
                <w:highlight w:val="none"/>
                <w:u w:val="none" w:color="auto"/>
                <w:lang w:val="en-US" w:eastAsia="zh-CN"/>
              </w:rPr>
              <w:t>(T)-(TL</w:t>
            </w:r>
            <w:r>
              <w:rPr>
                <w:rFonts w:hint="eastAsia" w:ascii="Times New Roman" w:hAnsi="Times New Roman" w:eastAsia="宋体" w:cs="Times New Roman"/>
                <w:color w:val="auto"/>
                <w:sz w:val="24"/>
                <w:szCs w:val="24"/>
                <w:highlight w:val="none"/>
                <w:u w:val="none" w:color="auto"/>
                <w:vertAlign w:val="subscript"/>
                <w:lang w:val="en-US" w:eastAsia="zh-CN"/>
              </w:rPr>
              <w:t>i</w:t>
            </w:r>
            <w:r>
              <w:rPr>
                <w:rFonts w:hint="eastAsia" w:ascii="Times New Roman" w:hAnsi="Times New Roman" w:eastAsia="宋体" w:cs="Times New Roman"/>
                <w:color w:val="auto"/>
                <w:sz w:val="24"/>
                <w:szCs w:val="24"/>
                <w:highlight w:val="none"/>
                <w:u w:val="none" w:color="auto"/>
                <w:lang w:val="en-US" w:eastAsia="zh-CN"/>
              </w:rPr>
              <w:t>+6)</w:t>
            </w:r>
          </w:p>
          <w:p w14:paraId="17E3EE7A">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式中：L</w:t>
            </w:r>
            <w:r>
              <w:rPr>
                <w:rFonts w:hint="eastAsia" w:ascii="Times New Roman" w:hAnsi="Times New Roman" w:eastAsia="宋体" w:cs="Times New Roman"/>
                <w:color w:val="auto"/>
                <w:sz w:val="24"/>
                <w:szCs w:val="24"/>
                <w:highlight w:val="none"/>
                <w:u w:val="none" w:color="auto"/>
                <w:vertAlign w:val="subscript"/>
                <w:lang w:val="en-US" w:eastAsia="zh-CN"/>
              </w:rPr>
              <w:t>p2i</w:t>
            </w:r>
            <w:r>
              <w:rPr>
                <w:rFonts w:hint="eastAsia" w:ascii="Times New Roman" w:hAnsi="Times New Roman" w:eastAsia="宋体" w:cs="Times New Roman"/>
                <w:color w:val="auto"/>
                <w:sz w:val="24"/>
                <w:szCs w:val="24"/>
                <w:highlight w:val="none"/>
                <w:u w:val="none" w:color="auto"/>
                <w:lang w:val="en-US" w:eastAsia="zh-CN"/>
              </w:rPr>
              <w:t>(T)——靠近围护结构处室外N个声源i倍频带的叠加声压级，dB；</w:t>
            </w:r>
          </w:p>
          <w:p w14:paraId="2C34A72B">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L</w:t>
            </w:r>
            <w:r>
              <w:rPr>
                <w:rFonts w:hint="eastAsia" w:ascii="Times New Roman" w:hAnsi="Times New Roman" w:eastAsia="宋体" w:cs="Times New Roman"/>
                <w:color w:val="auto"/>
                <w:sz w:val="24"/>
                <w:szCs w:val="24"/>
                <w:highlight w:val="none"/>
                <w:u w:val="none" w:color="auto"/>
                <w:vertAlign w:val="subscript"/>
                <w:lang w:val="en-US" w:eastAsia="zh-CN"/>
              </w:rPr>
              <w:t>p1i</w:t>
            </w:r>
            <w:r>
              <w:rPr>
                <w:rFonts w:hint="eastAsia" w:ascii="Times New Roman" w:hAnsi="Times New Roman" w:eastAsia="宋体" w:cs="Times New Roman"/>
                <w:color w:val="auto"/>
                <w:sz w:val="24"/>
                <w:szCs w:val="24"/>
                <w:highlight w:val="none"/>
                <w:u w:val="none" w:color="auto"/>
                <w:lang w:val="en-US" w:eastAsia="zh-CN"/>
              </w:rPr>
              <w:t>(T)——靠近围护结构处室内N个声源i倍频带的叠加声压级，dB；</w:t>
            </w:r>
          </w:p>
          <w:p w14:paraId="12422BFE">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TL</w:t>
            </w:r>
            <w:r>
              <w:rPr>
                <w:rFonts w:hint="eastAsia" w:ascii="Times New Roman" w:hAnsi="Times New Roman" w:eastAsia="宋体" w:cs="Times New Roman"/>
                <w:color w:val="auto"/>
                <w:sz w:val="24"/>
                <w:szCs w:val="24"/>
                <w:highlight w:val="none"/>
                <w:u w:val="none" w:color="auto"/>
                <w:vertAlign w:val="subscript"/>
                <w:lang w:val="en-US" w:eastAsia="zh-CN"/>
              </w:rPr>
              <w:t>i</w:t>
            </w:r>
            <w:r>
              <w:rPr>
                <w:rFonts w:hint="eastAsia" w:ascii="Times New Roman" w:hAnsi="Times New Roman" w:eastAsia="宋体" w:cs="Times New Roman"/>
                <w:color w:val="auto"/>
                <w:sz w:val="24"/>
                <w:szCs w:val="24"/>
                <w:highlight w:val="none"/>
                <w:u w:val="none" w:color="auto"/>
                <w:lang w:val="en-US" w:eastAsia="zh-CN"/>
              </w:rPr>
              <w:t>——围护结构i倍频带的隔声量，dB。</w:t>
            </w:r>
          </w:p>
          <w:p w14:paraId="29C690D6">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然后按下式将室外声源的声压级和透过面积换算成等效的室外声源，计算出中心位置位于透声面积（S）处的等效声源的倍频带声功率级。</w:t>
            </w:r>
          </w:p>
          <w:p w14:paraId="6C9DC9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L</w:t>
            </w:r>
            <w:r>
              <w:rPr>
                <w:rFonts w:hint="eastAsia" w:ascii="Times New Roman" w:hAnsi="Times New Roman" w:eastAsia="宋体" w:cs="Times New Roman"/>
                <w:color w:val="auto"/>
                <w:sz w:val="24"/>
                <w:szCs w:val="24"/>
                <w:highlight w:val="none"/>
                <w:u w:val="none" w:color="auto"/>
                <w:vertAlign w:val="subscript"/>
                <w:lang w:val="en-US" w:eastAsia="zh-CN"/>
              </w:rPr>
              <w:t>w</w:t>
            </w:r>
            <w:r>
              <w:rPr>
                <w:rFonts w:hint="eastAsia" w:ascii="Times New Roman" w:hAnsi="Times New Roman" w:eastAsia="宋体" w:cs="Times New Roman"/>
                <w:color w:val="auto"/>
                <w:sz w:val="24"/>
                <w:szCs w:val="24"/>
                <w:highlight w:val="none"/>
                <w:u w:val="none" w:color="auto"/>
                <w:lang w:val="en-US" w:eastAsia="zh-CN"/>
              </w:rPr>
              <w:t>=L</w:t>
            </w:r>
            <w:r>
              <w:rPr>
                <w:rFonts w:hint="eastAsia" w:ascii="Times New Roman" w:hAnsi="Times New Roman" w:eastAsia="宋体" w:cs="Times New Roman"/>
                <w:color w:val="auto"/>
                <w:sz w:val="24"/>
                <w:szCs w:val="24"/>
                <w:highlight w:val="none"/>
                <w:u w:val="none" w:color="auto"/>
                <w:vertAlign w:val="subscript"/>
                <w:lang w:val="en-US" w:eastAsia="zh-CN"/>
              </w:rPr>
              <w:t>p2</w:t>
            </w:r>
            <w:r>
              <w:rPr>
                <w:rFonts w:hint="eastAsia" w:ascii="Times New Roman" w:hAnsi="Times New Roman" w:eastAsia="宋体" w:cs="Times New Roman"/>
                <w:color w:val="auto"/>
                <w:sz w:val="24"/>
                <w:szCs w:val="24"/>
                <w:highlight w:val="none"/>
                <w:u w:val="none" w:color="auto"/>
                <w:lang w:val="en-US" w:eastAsia="zh-CN"/>
              </w:rPr>
              <w:t>(T)+10lgS</w:t>
            </w:r>
          </w:p>
          <w:p w14:paraId="323B5CCF">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式中：L</w:t>
            </w:r>
            <w:r>
              <w:rPr>
                <w:rFonts w:hint="eastAsia" w:ascii="Times New Roman" w:hAnsi="Times New Roman" w:eastAsia="宋体" w:cs="Times New Roman"/>
                <w:color w:val="auto"/>
                <w:sz w:val="24"/>
                <w:szCs w:val="24"/>
                <w:highlight w:val="none"/>
                <w:u w:val="none" w:color="auto"/>
                <w:vertAlign w:val="subscript"/>
                <w:lang w:val="en-US" w:eastAsia="zh-CN"/>
              </w:rPr>
              <w:t>w</w:t>
            </w:r>
            <w:r>
              <w:rPr>
                <w:rFonts w:hint="eastAsia" w:ascii="Times New Roman" w:hAnsi="Times New Roman" w:eastAsia="宋体" w:cs="Times New Roman"/>
                <w:color w:val="auto"/>
                <w:sz w:val="24"/>
                <w:szCs w:val="24"/>
                <w:highlight w:val="none"/>
                <w:u w:val="none" w:color="auto"/>
                <w:lang w:val="en-US" w:eastAsia="zh-CN"/>
              </w:rPr>
              <w:t>——中心位置位于透声面积（S）处的等效声源的倍频带声功率级，dB；</w:t>
            </w:r>
          </w:p>
          <w:p w14:paraId="2DD36ECF">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L</w:t>
            </w:r>
            <w:r>
              <w:rPr>
                <w:rFonts w:hint="eastAsia" w:ascii="Times New Roman" w:hAnsi="Times New Roman" w:eastAsia="宋体" w:cs="Times New Roman"/>
                <w:color w:val="auto"/>
                <w:sz w:val="24"/>
                <w:szCs w:val="24"/>
                <w:highlight w:val="none"/>
                <w:u w:val="none" w:color="auto"/>
                <w:vertAlign w:val="subscript"/>
                <w:lang w:val="en-US" w:eastAsia="zh-CN"/>
              </w:rPr>
              <w:t>p2</w:t>
            </w:r>
            <w:r>
              <w:rPr>
                <w:rFonts w:hint="eastAsia" w:ascii="Times New Roman" w:hAnsi="Times New Roman" w:eastAsia="宋体" w:cs="Times New Roman"/>
                <w:color w:val="auto"/>
                <w:sz w:val="24"/>
                <w:szCs w:val="24"/>
                <w:highlight w:val="none"/>
                <w:u w:val="none" w:color="auto"/>
                <w:lang w:val="en-US" w:eastAsia="zh-CN"/>
              </w:rPr>
              <w:t>(T)——靠近围护结构处室外声源的声压级，dB；</w:t>
            </w:r>
          </w:p>
          <w:p w14:paraId="19BF43C8">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S——透声面积，m</w:t>
            </w:r>
            <w:r>
              <w:rPr>
                <w:rFonts w:hint="eastAsia" w:ascii="Times New Roman" w:hAnsi="Times New Roman" w:eastAsia="宋体" w:cs="Times New Roman"/>
                <w:color w:val="auto"/>
                <w:sz w:val="24"/>
                <w:szCs w:val="24"/>
                <w:highlight w:val="none"/>
                <w:u w:val="none" w:color="auto"/>
                <w:vertAlign w:val="superscript"/>
                <w:lang w:val="en-US" w:eastAsia="zh-CN"/>
              </w:rPr>
              <w:t>2</w:t>
            </w:r>
            <w:r>
              <w:rPr>
                <w:rFonts w:hint="eastAsia" w:ascii="Times New Roman" w:hAnsi="Times New Roman" w:eastAsia="宋体" w:cs="Times New Roman"/>
                <w:color w:val="auto"/>
                <w:sz w:val="24"/>
                <w:szCs w:val="24"/>
                <w:highlight w:val="none"/>
                <w:u w:val="none" w:color="auto"/>
                <w:lang w:val="en-US" w:eastAsia="zh-CN"/>
              </w:rPr>
              <w:t>。</w:t>
            </w:r>
          </w:p>
          <w:p w14:paraId="578A5B4E">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然后按室外声源预测方法计算预测点处的A声级。</w:t>
            </w:r>
          </w:p>
          <w:p w14:paraId="3BFA4A1B">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 xml:space="preserve">（2）室外声源在预测点的声压级计算 </w:t>
            </w:r>
          </w:p>
          <w:p w14:paraId="60C73634">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根据声源声功率级或参考位置处的声压级、户外声传播衰减，计算预测点的声级。 如已知声源的倍频带声功率级 Lw，预测点位置的倍频带声压级 L</w:t>
            </w:r>
            <w:r>
              <w:rPr>
                <w:rFonts w:hint="eastAsia" w:ascii="Times New Roman" w:hAnsi="Times New Roman" w:eastAsia="宋体" w:cs="Times New Roman"/>
                <w:color w:val="auto"/>
                <w:sz w:val="24"/>
                <w:szCs w:val="24"/>
                <w:highlight w:val="none"/>
                <w:u w:val="none" w:color="auto"/>
                <w:vertAlign w:val="subscript"/>
                <w:lang w:val="en-US" w:eastAsia="zh-CN"/>
              </w:rPr>
              <w:t>p</w:t>
            </w:r>
            <w:r>
              <w:rPr>
                <w:rFonts w:hint="eastAsia" w:ascii="Times New Roman" w:hAnsi="Times New Roman" w:eastAsia="宋体" w:cs="Times New Roman"/>
                <w:color w:val="auto"/>
                <w:sz w:val="24"/>
                <w:szCs w:val="24"/>
                <w:highlight w:val="none"/>
                <w:u w:val="none" w:color="auto"/>
                <w:lang w:val="en-US" w:eastAsia="zh-CN"/>
              </w:rPr>
              <w:t xml:space="preserve">(r)按以下公式计算得到： </w:t>
            </w:r>
          </w:p>
          <w:p w14:paraId="59BD573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L</w:t>
            </w:r>
            <w:r>
              <w:rPr>
                <w:rFonts w:hint="eastAsia" w:ascii="Times New Roman" w:hAnsi="Times New Roman" w:eastAsia="宋体" w:cs="Times New Roman"/>
                <w:color w:val="auto"/>
                <w:sz w:val="24"/>
                <w:szCs w:val="24"/>
                <w:highlight w:val="none"/>
                <w:u w:val="none" w:color="auto"/>
                <w:vertAlign w:val="subscript"/>
                <w:lang w:val="en-US" w:eastAsia="zh-CN"/>
              </w:rPr>
              <w:t>p</w:t>
            </w:r>
            <w:r>
              <w:rPr>
                <w:rFonts w:hint="eastAsia" w:ascii="Times New Roman" w:hAnsi="Times New Roman" w:eastAsia="宋体" w:cs="Times New Roman"/>
                <w:color w:val="auto"/>
                <w:sz w:val="24"/>
                <w:szCs w:val="24"/>
                <w:highlight w:val="none"/>
                <w:u w:val="none" w:color="auto"/>
                <w:lang w:val="en-US" w:eastAsia="zh-CN"/>
              </w:rPr>
              <w:t>(r)＝L</w:t>
            </w:r>
            <w:r>
              <w:rPr>
                <w:rFonts w:hint="eastAsia" w:ascii="Times New Roman" w:hAnsi="Times New Roman" w:eastAsia="宋体" w:cs="Times New Roman"/>
                <w:color w:val="auto"/>
                <w:sz w:val="24"/>
                <w:szCs w:val="24"/>
                <w:highlight w:val="none"/>
                <w:u w:val="none" w:color="auto"/>
                <w:vertAlign w:val="subscript"/>
                <w:lang w:val="en-US" w:eastAsia="zh-CN"/>
              </w:rPr>
              <w:t>w</w:t>
            </w:r>
            <w:r>
              <w:rPr>
                <w:rFonts w:hint="eastAsia" w:ascii="Times New Roman" w:hAnsi="Times New Roman" w:eastAsia="宋体" w:cs="Times New Roman"/>
                <w:color w:val="auto"/>
                <w:sz w:val="24"/>
                <w:szCs w:val="24"/>
                <w:highlight w:val="none"/>
                <w:u w:val="none" w:color="auto"/>
                <w:lang w:val="en-US" w:eastAsia="zh-CN"/>
              </w:rPr>
              <w:t>+D</w:t>
            </w:r>
            <w:r>
              <w:rPr>
                <w:rFonts w:hint="eastAsia" w:ascii="Times New Roman" w:hAnsi="Times New Roman" w:eastAsia="宋体" w:cs="Times New Roman"/>
                <w:color w:val="auto"/>
                <w:sz w:val="24"/>
                <w:szCs w:val="24"/>
                <w:highlight w:val="none"/>
                <w:u w:val="none" w:color="auto"/>
                <w:vertAlign w:val="subscript"/>
                <w:lang w:val="en-US" w:eastAsia="zh-CN"/>
              </w:rPr>
              <w:t>c</w:t>
            </w:r>
            <w:r>
              <w:rPr>
                <w:rFonts w:hint="eastAsia" w:ascii="Times New Roman" w:hAnsi="Times New Roman" w:eastAsia="宋体" w:cs="Times New Roman"/>
                <w:color w:val="auto"/>
                <w:sz w:val="24"/>
                <w:szCs w:val="24"/>
                <w:highlight w:val="none"/>
                <w:u w:val="none" w:color="auto"/>
                <w:lang w:val="en-US" w:eastAsia="zh-CN"/>
              </w:rPr>
              <w:t>－A</w:t>
            </w:r>
          </w:p>
          <w:p w14:paraId="23644069">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式中：L</w:t>
            </w:r>
            <w:r>
              <w:rPr>
                <w:rFonts w:hint="eastAsia" w:ascii="Times New Roman" w:hAnsi="Times New Roman" w:eastAsia="宋体" w:cs="Times New Roman"/>
                <w:color w:val="auto"/>
                <w:sz w:val="24"/>
                <w:szCs w:val="24"/>
                <w:highlight w:val="none"/>
                <w:u w:val="none" w:color="auto"/>
                <w:vertAlign w:val="subscript"/>
                <w:lang w:val="en-US" w:eastAsia="zh-CN"/>
              </w:rPr>
              <w:t>p</w:t>
            </w:r>
            <w:r>
              <w:rPr>
                <w:rFonts w:hint="eastAsia" w:ascii="Times New Roman" w:hAnsi="Times New Roman" w:eastAsia="宋体" w:cs="Times New Roman"/>
                <w:color w:val="auto"/>
                <w:sz w:val="24"/>
                <w:szCs w:val="24"/>
                <w:highlight w:val="none"/>
                <w:u w:val="none" w:color="auto"/>
                <w:lang w:val="en-US" w:eastAsia="zh-CN"/>
              </w:rPr>
              <w:t xml:space="preserve">(r)——预测点r处的声级，dB； </w:t>
            </w:r>
          </w:p>
          <w:p w14:paraId="24B87AB8">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L</w:t>
            </w:r>
            <w:r>
              <w:rPr>
                <w:rFonts w:hint="eastAsia" w:ascii="Times New Roman" w:hAnsi="Times New Roman" w:eastAsia="宋体" w:cs="Times New Roman"/>
                <w:color w:val="auto"/>
                <w:sz w:val="24"/>
                <w:szCs w:val="24"/>
                <w:highlight w:val="none"/>
                <w:u w:val="none" w:color="auto"/>
                <w:vertAlign w:val="subscript"/>
                <w:lang w:val="en-US" w:eastAsia="zh-CN"/>
              </w:rPr>
              <w:t>w</w:t>
            </w:r>
            <w:r>
              <w:rPr>
                <w:rFonts w:hint="eastAsia" w:ascii="Times New Roman" w:hAnsi="Times New Roman" w:eastAsia="宋体" w:cs="Times New Roman"/>
                <w:color w:val="auto"/>
                <w:sz w:val="24"/>
                <w:szCs w:val="24"/>
                <w:highlight w:val="none"/>
                <w:u w:val="none" w:color="auto"/>
                <w:lang w:val="en-US" w:eastAsia="zh-CN"/>
              </w:rPr>
              <w:t xml:space="preserve">——由点声源产生的声功率级（A计权或倍频带），dB； </w:t>
            </w:r>
          </w:p>
          <w:p w14:paraId="1EA1893E">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D</w:t>
            </w:r>
            <w:r>
              <w:rPr>
                <w:rFonts w:hint="default" w:ascii="Times New Roman" w:hAnsi="Times New Roman" w:eastAsia="宋体" w:cs="Times New Roman"/>
                <w:color w:val="auto"/>
                <w:sz w:val="24"/>
                <w:szCs w:val="24"/>
                <w:highlight w:val="none"/>
                <w:u w:val="none" w:color="auto"/>
                <w:vertAlign w:val="subscript"/>
                <w:lang w:val="en-US" w:eastAsia="zh-CN"/>
              </w:rPr>
              <w:t>c</w:t>
            </w:r>
            <w:r>
              <w:rPr>
                <w:rFonts w:hint="default" w:ascii="Times New Roman" w:hAnsi="Times New Roman" w:eastAsia="宋体" w:cs="Times New Roman"/>
                <w:color w:val="auto"/>
                <w:sz w:val="24"/>
                <w:szCs w:val="24"/>
                <w:highlight w:val="none"/>
                <w:u w:val="none" w:color="auto"/>
                <w:lang w:val="en-US" w:eastAsia="zh-CN"/>
              </w:rPr>
              <w:t>——指向性校正，它描述点声源的等效连续声压级与产生声功率级L w 的全向点声源在规定方向的声级的偏差程度，dB，指向性校正等于点声源的指向性指数 DI 加上计到小于 4π球面度（sr）立体角的声传播指数 D</w:t>
            </w:r>
            <w:r>
              <w:rPr>
                <w:rFonts w:hint="default" w:ascii="Times New Roman" w:hAnsi="Times New Roman" w:eastAsia="宋体" w:cs="Times New Roman"/>
                <w:color w:val="auto"/>
                <w:sz w:val="24"/>
                <w:szCs w:val="24"/>
                <w:highlight w:val="none"/>
                <w:u w:val="none" w:color="auto"/>
                <w:vertAlign w:val="subscript"/>
                <w:lang w:val="en-US" w:eastAsia="zh-CN"/>
              </w:rPr>
              <w:t>Ω</w:t>
            </w:r>
            <w:r>
              <w:rPr>
                <w:rFonts w:hint="default" w:ascii="Times New Roman" w:hAnsi="Times New Roman" w:eastAsia="宋体" w:cs="Times New Roman"/>
                <w:color w:val="auto"/>
                <w:sz w:val="24"/>
                <w:szCs w:val="24"/>
                <w:highlight w:val="none"/>
                <w:u w:val="none" w:color="auto"/>
                <w:lang w:val="en-US" w:eastAsia="zh-CN"/>
              </w:rPr>
              <w:t>。对辐射到自由空间的全向点声源，D</w:t>
            </w:r>
            <w:r>
              <w:rPr>
                <w:rFonts w:hint="default" w:ascii="Times New Roman" w:hAnsi="Times New Roman" w:eastAsia="宋体" w:cs="Times New Roman"/>
                <w:color w:val="auto"/>
                <w:sz w:val="24"/>
                <w:szCs w:val="24"/>
                <w:highlight w:val="none"/>
                <w:u w:val="none" w:color="auto"/>
                <w:vertAlign w:val="subscript"/>
                <w:lang w:val="en-US" w:eastAsia="zh-CN"/>
              </w:rPr>
              <w:t>c</w:t>
            </w:r>
            <w:r>
              <w:rPr>
                <w:rFonts w:hint="default" w:ascii="Times New Roman" w:hAnsi="Times New Roman" w:eastAsia="宋体" w:cs="Times New Roman"/>
                <w:color w:val="auto"/>
                <w:sz w:val="24"/>
                <w:szCs w:val="24"/>
                <w:highlight w:val="none"/>
                <w:u w:val="none" w:color="auto"/>
                <w:lang w:val="en-US" w:eastAsia="zh-CN"/>
              </w:rPr>
              <w:t>=0dB</w:t>
            </w:r>
            <w:r>
              <w:rPr>
                <w:rFonts w:hint="eastAsia" w:ascii="Times New Roman" w:hAnsi="Times New Roman" w:eastAsia="宋体" w:cs="Times New Roman"/>
                <w:color w:val="auto"/>
                <w:sz w:val="24"/>
                <w:szCs w:val="24"/>
                <w:highlight w:val="none"/>
                <w:u w:val="none" w:color="auto"/>
                <w:lang w:val="en-US" w:eastAsia="zh-CN"/>
              </w:rPr>
              <w:t>；</w:t>
            </w:r>
          </w:p>
          <w:p w14:paraId="4D5AF1E4">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A——倍频带衰减，dB；主要考虑几何发散（A</w:t>
            </w:r>
            <w:r>
              <w:rPr>
                <w:rFonts w:hint="eastAsia" w:ascii="Times New Roman" w:hAnsi="Times New Roman" w:eastAsia="宋体" w:cs="Times New Roman"/>
                <w:color w:val="auto"/>
                <w:sz w:val="24"/>
                <w:szCs w:val="24"/>
                <w:highlight w:val="none"/>
                <w:u w:val="none" w:color="auto"/>
                <w:vertAlign w:val="subscript"/>
                <w:lang w:val="en-US" w:eastAsia="zh-CN"/>
              </w:rPr>
              <w:t>div</w:t>
            </w:r>
            <w:r>
              <w:rPr>
                <w:rFonts w:hint="eastAsia" w:ascii="Times New Roman" w:hAnsi="Times New Roman" w:eastAsia="宋体" w:cs="Times New Roman"/>
                <w:color w:val="auto"/>
                <w:sz w:val="24"/>
                <w:szCs w:val="24"/>
                <w:highlight w:val="none"/>
                <w:u w:val="none" w:color="auto"/>
                <w:lang w:val="en-US" w:eastAsia="zh-CN"/>
              </w:rPr>
              <w:t>）、大气吸收（A</w:t>
            </w:r>
            <w:r>
              <w:rPr>
                <w:rFonts w:hint="eastAsia" w:ascii="Times New Roman" w:hAnsi="Times New Roman" w:eastAsia="宋体" w:cs="Times New Roman"/>
                <w:color w:val="auto"/>
                <w:sz w:val="24"/>
                <w:szCs w:val="24"/>
                <w:highlight w:val="none"/>
                <w:u w:val="none" w:color="auto"/>
                <w:vertAlign w:val="subscript"/>
                <w:lang w:val="en-US" w:eastAsia="zh-CN"/>
              </w:rPr>
              <w:t>atm</w:t>
            </w:r>
            <w:r>
              <w:rPr>
                <w:rFonts w:hint="eastAsia" w:ascii="Times New Roman" w:hAnsi="Times New Roman" w:eastAsia="宋体" w:cs="Times New Roman"/>
                <w:color w:val="auto"/>
                <w:sz w:val="24"/>
                <w:szCs w:val="24"/>
                <w:highlight w:val="none"/>
                <w:u w:val="none" w:color="auto"/>
                <w:lang w:val="en-US" w:eastAsia="zh-CN"/>
              </w:rPr>
              <w:t>）、地面效应（A</w:t>
            </w:r>
            <w:r>
              <w:rPr>
                <w:rFonts w:hint="eastAsia" w:ascii="Times New Roman" w:hAnsi="Times New Roman" w:eastAsia="宋体" w:cs="Times New Roman"/>
                <w:color w:val="auto"/>
                <w:sz w:val="24"/>
                <w:szCs w:val="24"/>
                <w:highlight w:val="none"/>
                <w:u w:val="none" w:color="auto"/>
                <w:vertAlign w:val="subscript"/>
                <w:lang w:val="en-US" w:eastAsia="zh-CN"/>
              </w:rPr>
              <w:t>gr</w:t>
            </w:r>
            <w:r>
              <w:rPr>
                <w:rFonts w:hint="eastAsia" w:ascii="Times New Roman" w:hAnsi="Times New Roman" w:eastAsia="宋体" w:cs="Times New Roman"/>
                <w:color w:val="auto"/>
                <w:sz w:val="24"/>
                <w:szCs w:val="24"/>
                <w:highlight w:val="none"/>
                <w:u w:val="none" w:color="auto"/>
                <w:lang w:val="en-US" w:eastAsia="zh-CN"/>
              </w:rPr>
              <w:t>）、屏障屏蔽（A</w:t>
            </w:r>
            <w:r>
              <w:rPr>
                <w:rFonts w:hint="eastAsia" w:ascii="Times New Roman" w:hAnsi="Times New Roman" w:eastAsia="宋体" w:cs="Times New Roman"/>
                <w:color w:val="auto"/>
                <w:sz w:val="24"/>
                <w:szCs w:val="24"/>
                <w:highlight w:val="none"/>
                <w:u w:val="none" w:color="auto"/>
                <w:vertAlign w:val="subscript"/>
                <w:lang w:val="en-US" w:eastAsia="zh-CN"/>
              </w:rPr>
              <w:t>bar</w:t>
            </w:r>
            <w:r>
              <w:rPr>
                <w:rFonts w:hint="eastAsia" w:ascii="Times New Roman" w:hAnsi="Times New Roman" w:eastAsia="宋体" w:cs="Times New Roman"/>
                <w:color w:val="auto"/>
                <w:sz w:val="24"/>
                <w:szCs w:val="24"/>
                <w:highlight w:val="none"/>
                <w:u w:val="none" w:color="auto"/>
                <w:lang w:val="en-US" w:eastAsia="zh-CN"/>
              </w:rPr>
              <w:t>）、其他多方面效应（A</w:t>
            </w:r>
            <w:r>
              <w:rPr>
                <w:rFonts w:hint="eastAsia" w:ascii="Times New Roman" w:hAnsi="Times New Roman" w:eastAsia="宋体" w:cs="Times New Roman"/>
                <w:color w:val="auto"/>
                <w:sz w:val="24"/>
                <w:szCs w:val="24"/>
                <w:highlight w:val="none"/>
                <w:u w:val="none" w:color="auto"/>
                <w:vertAlign w:val="subscript"/>
                <w:lang w:val="en-US" w:eastAsia="zh-CN"/>
              </w:rPr>
              <w:t>misc</w:t>
            </w:r>
            <w:r>
              <w:rPr>
                <w:rFonts w:hint="eastAsia" w:ascii="Times New Roman" w:hAnsi="Times New Roman" w:eastAsia="宋体" w:cs="Times New Roman"/>
                <w:color w:val="auto"/>
                <w:sz w:val="24"/>
                <w:szCs w:val="24"/>
                <w:highlight w:val="none"/>
                <w:u w:val="none" w:color="auto"/>
                <w:lang w:val="en-US" w:eastAsia="zh-CN"/>
              </w:rPr>
              <w:t xml:space="preserve">）引起的衰减。在预测时，为留有较大余地，以噪声对环境最不利的情况为前提，只考虑几何发散衰减，其他因素的衰减，如大气吸收、屏障屏蔽、地面效应等均作为预测计算的安全系数而不计。 </w:t>
            </w:r>
          </w:p>
          <w:p w14:paraId="6AEE01D1">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几何发散衰减A</w:t>
            </w:r>
            <w:r>
              <w:rPr>
                <w:rFonts w:hint="eastAsia" w:ascii="Times New Roman" w:hAnsi="Times New Roman" w:eastAsia="宋体" w:cs="Times New Roman"/>
                <w:color w:val="auto"/>
                <w:sz w:val="24"/>
                <w:szCs w:val="24"/>
                <w:highlight w:val="none"/>
                <w:u w:val="none" w:color="auto"/>
                <w:vertAlign w:val="subscript"/>
                <w:lang w:val="en-US" w:eastAsia="zh-CN"/>
              </w:rPr>
              <w:t>div</w:t>
            </w:r>
            <w:r>
              <w:rPr>
                <w:rFonts w:hint="eastAsia" w:ascii="Times New Roman" w:hAnsi="Times New Roman" w:eastAsia="宋体" w:cs="Times New Roman"/>
                <w:color w:val="auto"/>
                <w:sz w:val="24"/>
                <w:szCs w:val="24"/>
                <w:highlight w:val="none"/>
                <w:u w:val="none" w:color="auto"/>
                <w:lang w:val="en-US" w:eastAsia="zh-CN"/>
              </w:rPr>
              <w:t>：若声源处于自由声场，A</w:t>
            </w:r>
            <w:r>
              <w:rPr>
                <w:rFonts w:hint="eastAsia" w:ascii="Times New Roman" w:hAnsi="Times New Roman" w:eastAsia="宋体" w:cs="Times New Roman"/>
                <w:color w:val="auto"/>
                <w:sz w:val="24"/>
                <w:szCs w:val="24"/>
                <w:highlight w:val="none"/>
                <w:u w:val="none" w:color="auto"/>
                <w:vertAlign w:val="subscript"/>
                <w:lang w:val="en-US" w:eastAsia="zh-CN"/>
              </w:rPr>
              <w:t>div</w:t>
            </w:r>
            <w:r>
              <w:rPr>
                <w:rFonts w:hint="eastAsia" w:ascii="Times New Roman" w:hAnsi="Times New Roman" w:eastAsia="宋体" w:cs="Times New Roman"/>
                <w:color w:val="auto"/>
                <w:sz w:val="24"/>
                <w:szCs w:val="24"/>
                <w:highlight w:val="none"/>
                <w:u w:val="none" w:color="auto"/>
                <w:lang w:val="en-US" w:eastAsia="zh-CN"/>
              </w:rPr>
              <w:t>=20lg(r)+11。</w:t>
            </w:r>
          </w:p>
          <w:p w14:paraId="2749AF1A">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（3）靠近声源处的预测点噪声预测模式</w:t>
            </w:r>
          </w:p>
          <w:p w14:paraId="3388C209">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如预测点在靠近声源处，但不能满足点声源条件时，需按线声源或面声源模式计算。</w:t>
            </w:r>
          </w:p>
          <w:p w14:paraId="56A663D4">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（4）工业企业噪声计算</w:t>
            </w:r>
          </w:p>
          <w:p w14:paraId="16155329">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设第 i 个室外声源在预测点产生的 A 声级为 L</w:t>
            </w:r>
            <w:r>
              <w:rPr>
                <w:rFonts w:hint="eastAsia" w:ascii="Times New Roman" w:hAnsi="Times New Roman" w:eastAsia="宋体" w:cs="Times New Roman"/>
                <w:color w:val="auto"/>
                <w:sz w:val="24"/>
                <w:szCs w:val="24"/>
                <w:highlight w:val="none"/>
                <w:u w:val="none" w:color="auto"/>
                <w:vertAlign w:val="subscript"/>
                <w:lang w:val="en-US" w:eastAsia="zh-CN"/>
              </w:rPr>
              <w:t>Ai</w:t>
            </w:r>
            <w:r>
              <w:rPr>
                <w:rFonts w:hint="eastAsia" w:ascii="Times New Roman" w:hAnsi="Times New Roman" w:eastAsia="宋体" w:cs="Times New Roman"/>
                <w:color w:val="auto"/>
                <w:sz w:val="24"/>
                <w:szCs w:val="24"/>
                <w:highlight w:val="none"/>
                <w:u w:val="none" w:color="auto"/>
                <w:lang w:val="en-US" w:eastAsia="zh-CN"/>
              </w:rPr>
              <w:t>，在 T 时间内该声源工作时间为 t</w:t>
            </w:r>
            <w:r>
              <w:rPr>
                <w:rFonts w:hint="eastAsia" w:ascii="Times New Roman" w:hAnsi="Times New Roman" w:eastAsia="宋体" w:cs="Times New Roman"/>
                <w:color w:val="auto"/>
                <w:sz w:val="24"/>
                <w:szCs w:val="24"/>
                <w:highlight w:val="none"/>
                <w:u w:val="none" w:color="auto"/>
                <w:vertAlign w:val="subscript"/>
                <w:lang w:val="en-US" w:eastAsia="zh-CN"/>
              </w:rPr>
              <w:t>i</w:t>
            </w:r>
            <w:r>
              <w:rPr>
                <w:rFonts w:hint="eastAsia" w:ascii="Times New Roman" w:hAnsi="Times New Roman" w:eastAsia="宋体" w:cs="Times New Roman"/>
                <w:color w:val="auto"/>
                <w:sz w:val="24"/>
                <w:szCs w:val="24"/>
                <w:highlight w:val="none"/>
                <w:u w:val="none" w:color="auto"/>
                <w:lang w:val="en-US" w:eastAsia="zh-CN"/>
              </w:rPr>
              <w:t>；第 j 个等效室外声源在预测点产生的 A 声级为 L</w:t>
            </w:r>
            <w:r>
              <w:rPr>
                <w:rFonts w:hint="eastAsia" w:ascii="Times New Roman" w:hAnsi="Times New Roman" w:eastAsia="宋体" w:cs="Times New Roman"/>
                <w:color w:val="auto"/>
                <w:sz w:val="24"/>
                <w:szCs w:val="24"/>
                <w:highlight w:val="none"/>
                <w:u w:val="none" w:color="auto"/>
                <w:vertAlign w:val="subscript"/>
                <w:lang w:val="en-US" w:eastAsia="zh-CN"/>
              </w:rPr>
              <w:t>Aj</w:t>
            </w:r>
            <w:r>
              <w:rPr>
                <w:rFonts w:hint="eastAsia" w:ascii="Times New Roman" w:hAnsi="Times New Roman" w:eastAsia="宋体" w:cs="Times New Roman"/>
                <w:color w:val="auto"/>
                <w:sz w:val="24"/>
                <w:szCs w:val="24"/>
                <w:highlight w:val="none"/>
                <w:u w:val="none" w:color="auto"/>
                <w:lang w:val="en-US" w:eastAsia="zh-CN"/>
              </w:rPr>
              <w:t>，在 T 时间内该声源工作时间为 t</w:t>
            </w:r>
            <w:r>
              <w:rPr>
                <w:rFonts w:hint="eastAsia" w:ascii="Times New Roman" w:hAnsi="Times New Roman" w:eastAsia="宋体" w:cs="Times New Roman"/>
                <w:color w:val="auto"/>
                <w:sz w:val="24"/>
                <w:szCs w:val="24"/>
                <w:highlight w:val="none"/>
                <w:u w:val="none" w:color="auto"/>
                <w:vertAlign w:val="subscript"/>
                <w:lang w:val="en-US" w:eastAsia="zh-CN"/>
              </w:rPr>
              <w:t>j</w:t>
            </w:r>
            <w:r>
              <w:rPr>
                <w:rFonts w:hint="eastAsia" w:ascii="Times New Roman" w:hAnsi="Times New Roman" w:eastAsia="宋体" w:cs="Times New Roman"/>
                <w:color w:val="auto"/>
                <w:sz w:val="24"/>
                <w:szCs w:val="24"/>
                <w:highlight w:val="none"/>
                <w:u w:val="none" w:color="auto"/>
                <w:lang w:val="en-US" w:eastAsia="zh-CN"/>
              </w:rPr>
              <w:t>，则拟建工程声源对预测点产生的贡献值（Leqg）为：</w:t>
            </w:r>
          </w:p>
          <w:p w14:paraId="08518C9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drawing>
                <wp:inline distT="0" distB="0" distL="114300" distR="114300">
                  <wp:extent cx="2762885" cy="324485"/>
                  <wp:effectExtent l="0" t="0" r="18415" b="18415"/>
                  <wp:docPr id="164"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88"/>
                          <pic:cNvPicPr>
                            <a:picLocks noChangeAspect="1"/>
                          </pic:cNvPicPr>
                        </pic:nvPicPr>
                        <pic:blipFill>
                          <a:blip r:embed="rId13"/>
                          <a:stretch>
                            <a:fillRect/>
                          </a:stretch>
                        </pic:blipFill>
                        <pic:spPr>
                          <a:xfrm>
                            <a:off x="0" y="0"/>
                            <a:ext cx="2762885" cy="324485"/>
                          </a:xfrm>
                          <a:prstGeom prst="rect">
                            <a:avLst/>
                          </a:prstGeom>
                          <a:noFill/>
                          <a:ln>
                            <a:noFill/>
                          </a:ln>
                        </pic:spPr>
                      </pic:pic>
                    </a:graphicData>
                  </a:graphic>
                </wp:inline>
              </w:drawing>
            </w:r>
          </w:p>
          <w:p w14:paraId="64E3E338">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式中：L</w:t>
            </w:r>
            <w:r>
              <w:rPr>
                <w:rFonts w:hint="eastAsia" w:ascii="Times New Roman" w:hAnsi="Times New Roman" w:eastAsia="宋体" w:cs="Times New Roman"/>
                <w:color w:val="auto"/>
                <w:sz w:val="24"/>
                <w:szCs w:val="24"/>
                <w:highlight w:val="none"/>
                <w:u w:val="none" w:color="auto"/>
                <w:vertAlign w:val="subscript"/>
                <w:lang w:val="en-US" w:eastAsia="zh-CN"/>
              </w:rPr>
              <w:t>eqg</w:t>
            </w:r>
            <w:r>
              <w:rPr>
                <w:rFonts w:hint="eastAsia" w:ascii="Times New Roman" w:hAnsi="Times New Roman" w:eastAsia="宋体" w:cs="Times New Roman"/>
                <w:color w:val="auto"/>
                <w:sz w:val="24"/>
                <w:szCs w:val="24"/>
                <w:highlight w:val="none"/>
                <w:u w:val="none" w:color="auto"/>
                <w:lang w:val="en-US" w:eastAsia="zh-CN"/>
              </w:rPr>
              <w:t>——建设项目声源在预测点产生的噪声贡献值，dB；</w:t>
            </w:r>
          </w:p>
          <w:p w14:paraId="2BB34D37">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t</w:t>
            </w:r>
            <w:r>
              <w:rPr>
                <w:rFonts w:hint="eastAsia" w:ascii="Times New Roman" w:hAnsi="Times New Roman" w:eastAsia="宋体" w:cs="Times New Roman"/>
                <w:color w:val="auto"/>
                <w:sz w:val="24"/>
                <w:szCs w:val="24"/>
                <w:highlight w:val="none"/>
                <w:u w:val="none" w:color="auto"/>
                <w:vertAlign w:val="subscript"/>
                <w:lang w:val="en-US" w:eastAsia="zh-CN"/>
              </w:rPr>
              <w:t>j</w:t>
            </w:r>
            <w:r>
              <w:rPr>
                <w:rFonts w:hint="eastAsia" w:ascii="Times New Roman" w:hAnsi="Times New Roman" w:eastAsia="宋体" w:cs="Times New Roman"/>
                <w:color w:val="auto"/>
                <w:sz w:val="24"/>
                <w:szCs w:val="24"/>
                <w:highlight w:val="none"/>
                <w:u w:val="none" w:color="auto"/>
                <w:lang w:val="en-US" w:eastAsia="zh-CN"/>
              </w:rPr>
              <w:t>——在 T 时间内 j 声源工作时间，s；</w:t>
            </w:r>
          </w:p>
          <w:p w14:paraId="7B9C9503">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t</w:t>
            </w:r>
            <w:r>
              <w:rPr>
                <w:rFonts w:hint="eastAsia" w:ascii="Times New Roman" w:hAnsi="Times New Roman" w:eastAsia="宋体" w:cs="Times New Roman"/>
                <w:color w:val="auto"/>
                <w:sz w:val="24"/>
                <w:szCs w:val="24"/>
                <w:highlight w:val="none"/>
                <w:u w:val="none" w:color="auto"/>
                <w:vertAlign w:val="subscript"/>
                <w:lang w:val="en-US" w:eastAsia="zh-CN"/>
              </w:rPr>
              <w:t>i</w:t>
            </w:r>
            <w:r>
              <w:rPr>
                <w:rFonts w:hint="eastAsia" w:ascii="Times New Roman" w:hAnsi="Times New Roman" w:eastAsia="宋体" w:cs="Times New Roman"/>
                <w:color w:val="auto"/>
                <w:sz w:val="24"/>
                <w:szCs w:val="24"/>
                <w:highlight w:val="none"/>
                <w:u w:val="none" w:color="auto"/>
                <w:lang w:val="en-US" w:eastAsia="zh-CN"/>
              </w:rPr>
              <w:t>——在 T 时间内 i 声源工作时间，s；</w:t>
            </w:r>
          </w:p>
          <w:p w14:paraId="46125F11">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T——用于计算等效声级的时间，s；</w:t>
            </w:r>
          </w:p>
          <w:p w14:paraId="3CA22AC2">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N——室外声源个数；</w:t>
            </w:r>
          </w:p>
          <w:p w14:paraId="21E22C3D">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M——等效室外声源个数。</w:t>
            </w:r>
            <w:r>
              <w:rPr>
                <w:rFonts w:hint="eastAsia" w:ascii="Times New Roman" w:hAnsi="Times New Roman" w:eastAsia="宋体" w:cs="Times New Roman"/>
                <w:color w:val="auto"/>
                <w:sz w:val="24"/>
                <w:szCs w:val="24"/>
                <w:highlight w:val="none"/>
                <w:u w:val="none" w:color="auto"/>
                <w:lang w:val="en-US" w:eastAsia="zh-CN"/>
              </w:rPr>
              <w:tab/>
            </w:r>
          </w:p>
          <w:p w14:paraId="073DFB87">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（5）预测值计算</w:t>
            </w:r>
          </w:p>
          <w:p w14:paraId="63EAD8ED">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预测点的预测等效声级（Leq）按下式计算：</w:t>
            </w:r>
          </w:p>
          <w:p w14:paraId="470BF4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drawing>
                <wp:inline distT="0" distB="0" distL="114300" distR="114300">
                  <wp:extent cx="1734185" cy="327025"/>
                  <wp:effectExtent l="0" t="0" r="18415" b="15875"/>
                  <wp:docPr id="174" name="图片 89" descr="1681974256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89" descr="1681974256634"/>
                          <pic:cNvPicPr>
                            <a:picLocks noChangeAspect="1"/>
                          </pic:cNvPicPr>
                        </pic:nvPicPr>
                        <pic:blipFill>
                          <a:blip r:embed="rId14"/>
                          <a:stretch>
                            <a:fillRect/>
                          </a:stretch>
                        </pic:blipFill>
                        <pic:spPr>
                          <a:xfrm>
                            <a:off x="0" y="0"/>
                            <a:ext cx="1734185" cy="327025"/>
                          </a:xfrm>
                          <a:prstGeom prst="rect">
                            <a:avLst/>
                          </a:prstGeom>
                          <a:noFill/>
                          <a:ln>
                            <a:noFill/>
                          </a:ln>
                        </pic:spPr>
                      </pic:pic>
                    </a:graphicData>
                  </a:graphic>
                </wp:inline>
              </w:drawing>
            </w:r>
          </w:p>
          <w:p w14:paraId="4D4CE9AF">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式中：L</w:t>
            </w:r>
            <w:r>
              <w:rPr>
                <w:rFonts w:hint="eastAsia" w:ascii="Times New Roman" w:hAnsi="Times New Roman" w:eastAsia="宋体" w:cs="Times New Roman"/>
                <w:color w:val="auto"/>
                <w:sz w:val="24"/>
                <w:szCs w:val="24"/>
                <w:highlight w:val="none"/>
                <w:u w:val="none" w:color="auto"/>
                <w:vertAlign w:val="subscript"/>
                <w:lang w:val="en-US" w:eastAsia="zh-CN"/>
              </w:rPr>
              <w:t>eq</w:t>
            </w:r>
            <w:r>
              <w:rPr>
                <w:rFonts w:hint="eastAsia" w:ascii="Times New Roman" w:hAnsi="Times New Roman" w:eastAsia="宋体" w:cs="Times New Roman"/>
                <w:color w:val="auto"/>
                <w:sz w:val="24"/>
                <w:szCs w:val="24"/>
                <w:highlight w:val="none"/>
                <w:u w:val="none" w:color="auto"/>
                <w:lang w:val="en-US" w:eastAsia="zh-CN"/>
              </w:rPr>
              <w:t>——建设项目声源在预测点的等效声级贡献值，dB；</w:t>
            </w:r>
          </w:p>
          <w:p w14:paraId="25322FCB">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L</w:t>
            </w:r>
            <w:r>
              <w:rPr>
                <w:rFonts w:hint="eastAsia" w:ascii="Times New Roman" w:hAnsi="Times New Roman" w:eastAsia="宋体" w:cs="Times New Roman"/>
                <w:color w:val="auto"/>
                <w:sz w:val="24"/>
                <w:szCs w:val="24"/>
                <w:highlight w:val="none"/>
                <w:u w:val="none" w:color="auto"/>
                <w:vertAlign w:val="subscript"/>
                <w:lang w:val="en-US" w:eastAsia="zh-CN"/>
              </w:rPr>
              <w:t>eqg</w:t>
            </w:r>
            <w:r>
              <w:rPr>
                <w:rFonts w:hint="eastAsia" w:ascii="Times New Roman" w:hAnsi="Times New Roman" w:eastAsia="宋体" w:cs="Times New Roman"/>
                <w:color w:val="auto"/>
                <w:sz w:val="24"/>
                <w:szCs w:val="24"/>
                <w:highlight w:val="none"/>
                <w:u w:val="none" w:color="auto"/>
                <w:lang w:val="en-US" w:eastAsia="zh-CN"/>
              </w:rPr>
              <w:t>——建设项目声源在预测点产生的噪声贡献值，dB；</w:t>
            </w:r>
          </w:p>
          <w:p w14:paraId="23F8158B">
            <w:pPr>
              <w:keepNext w:val="0"/>
              <w:keepLines w:val="0"/>
              <w:pageBreakBefore w:val="0"/>
              <w:widowControl w:val="0"/>
              <w:kinsoku/>
              <w:wordWrap/>
              <w:overflowPunct/>
              <w:topLinePunct w:val="0"/>
              <w:autoSpaceDE/>
              <w:autoSpaceDN/>
              <w:bidi w:val="0"/>
              <w:adjustRightInd/>
              <w:snapToGrid/>
              <w:spacing w:line="420" w:lineRule="exact"/>
              <w:ind w:firstLine="1200" w:firstLineChars="5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L</w:t>
            </w:r>
            <w:r>
              <w:rPr>
                <w:rFonts w:hint="eastAsia" w:ascii="Times New Roman" w:hAnsi="Times New Roman" w:eastAsia="宋体" w:cs="Times New Roman"/>
                <w:color w:val="auto"/>
                <w:sz w:val="24"/>
                <w:szCs w:val="24"/>
                <w:highlight w:val="none"/>
                <w:u w:val="none" w:color="auto"/>
                <w:vertAlign w:val="subscript"/>
                <w:lang w:val="en-US" w:eastAsia="zh-CN"/>
              </w:rPr>
              <w:t>eqb</w:t>
            </w:r>
            <w:r>
              <w:rPr>
                <w:rFonts w:hint="eastAsia" w:ascii="Times New Roman" w:hAnsi="Times New Roman" w:eastAsia="宋体" w:cs="Times New Roman"/>
                <w:color w:val="auto"/>
                <w:sz w:val="24"/>
                <w:szCs w:val="24"/>
                <w:highlight w:val="none"/>
                <w:u w:val="none" w:color="auto"/>
                <w:lang w:val="en-US" w:eastAsia="zh-CN"/>
              </w:rPr>
              <w:t>——预测点的背景噪声值，dB。</w:t>
            </w:r>
          </w:p>
          <w:p w14:paraId="278F17EE">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singl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本</w:t>
            </w:r>
            <w:r>
              <w:rPr>
                <w:rFonts w:hint="eastAsia" w:ascii="Times New Roman" w:hAnsi="Times New Roman" w:eastAsia="宋体" w:cs="Times New Roman"/>
                <w:color w:val="auto"/>
                <w:sz w:val="24"/>
                <w:szCs w:val="24"/>
                <w:highlight w:val="none"/>
                <w:u w:val="single" w:color="auto"/>
                <w:lang w:val="en-US" w:eastAsia="zh-CN"/>
              </w:rPr>
              <w:t>项目南面8</w:t>
            </w:r>
            <w:r>
              <w:rPr>
                <w:rFonts w:hint="eastAsia" w:cs="Times New Roman"/>
                <w:color w:val="auto"/>
                <w:sz w:val="24"/>
                <w:szCs w:val="24"/>
                <w:highlight w:val="none"/>
                <w:u w:val="single" w:color="auto"/>
                <w:lang w:val="en-US" w:eastAsia="zh-CN"/>
              </w:rPr>
              <w:t>～</w:t>
            </w:r>
            <w:r>
              <w:rPr>
                <w:rFonts w:hint="eastAsia" w:ascii="Times New Roman" w:hAnsi="Times New Roman" w:eastAsia="宋体" w:cs="Times New Roman"/>
                <w:color w:val="auto"/>
                <w:sz w:val="24"/>
                <w:szCs w:val="24"/>
                <w:highlight w:val="none"/>
                <w:u w:val="single" w:color="auto"/>
                <w:lang w:val="en-US" w:eastAsia="zh-CN"/>
              </w:rPr>
              <w:t>40m范围内有</w:t>
            </w:r>
            <w:r>
              <w:rPr>
                <w:rFonts w:hint="eastAsia" w:cs="Times New Roman"/>
                <w:color w:val="auto"/>
                <w:sz w:val="24"/>
                <w:szCs w:val="24"/>
                <w:highlight w:val="none"/>
                <w:u w:val="single" w:color="auto"/>
                <w:lang w:val="en-US" w:eastAsia="zh-CN"/>
              </w:rPr>
              <w:t>5</w:t>
            </w:r>
            <w:r>
              <w:rPr>
                <w:rFonts w:hint="eastAsia" w:ascii="Times New Roman" w:hAnsi="Times New Roman" w:eastAsia="宋体" w:cs="Times New Roman"/>
                <w:color w:val="auto"/>
                <w:sz w:val="24"/>
                <w:szCs w:val="24"/>
                <w:highlight w:val="none"/>
                <w:u w:val="single" w:color="auto"/>
                <w:lang w:val="en-US" w:eastAsia="zh-CN"/>
              </w:rPr>
              <w:t>户飞龙村散户居民。本评价根据噪声源的分布情况，考虑基础减振、建筑隔声、距离衰减等降噪效果，预测营运期厂界噪声贡献值、项目噪声在声环境敏感点处的影响计算结果如表4-14、表4-15所示。</w:t>
            </w:r>
          </w:p>
          <w:p w14:paraId="6C8B6A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bCs/>
                <w:color w:val="auto"/>
                <w:sz w:val="21"/>
                <w:szCs w:val="21"/>
                <w:highlight w:val="none"/>
                <w:u w:val="single" w:color="auto"/>
                <w:lang w:val="en-US" w:eastAsia="zh-CN"/>
              </w:rPr>
            </w:pPr>
            <w:r>
              <w:rPr>
                <w:rFonts w:hint="default" w:ascii="Times New Roman" w:hAnsi="Times New Roman" w:eastAsia="宋体" w:cs="Times New Roman"/>
                <w:b/>
                <w:bCs/>
                <w:color w:val="auto"/>
                <w:sz w:val="21"/>
                <w:szCs w:val="21"/>
                <w:highlight w:val="none"/>
                <w:u w:val="single" w:color="auto"/>
                <w:lang w:val="en-US" w:eastAsia="zh-CN"/>
              </w:rPr>
              <w:t>表4-1</w:t>
            </w:r>
            <w:r>
              <w:rPr>
                <w:rFonts w:hint="eastAsia" w:cs="Times New Roman"/>
                <w:b/>
                <w:bCs/>
                <w:color w:val="auto"/>
                <w:sz w:val="21"/>
                <w:szCs w:val="21"/>
                <w:highlight w:val="none"/>
                <w:u w:val="single" w:color="auto"/>
                <w:lang w:val="en-US" w:eastAsia="zh-CN"/>
              </w:rPr>
              <w:t>4</w:t>
            </w:r>
            <w:r>
              <w:rPr>
                <w:rFonts w:hint="default" w:ascii="Times New Roman" w:hAnsi="Times New Roman" w:eastAsia="宋体" w:cs="Times New Roman"/>
                <w:b/>
                <w:bCs/>
                <w:color w:val="auto"/>
                <w:sz w:val="21"/>
                <w:szCs w:val="21"/>
                <w:highlight w:val="none"/>
                <w:u w:val="single" w:color="auto"/>
                <w:lang w:val="en-US" w:eastAsia="zh-CN"/>
              </w:rPr>
              <w:t xml:space="preserve">   本项目厂界噪声预测结果与达标分析表   单位：dB(A)</w:t>
            </w:r>
          </w:p>
          <w:tbl>
            <w:tblPr>
              <w:tblStyle w:val="31"/>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098"/>
              <w:gridCol w:w="1055"/>
              <w:gridCol w:w="1728"/>
              <w:gridCol w:w="1396"/>
              <w:gridCol w:w="1099"/>
              <w:gridCol w:w="1105"/>
            </w:tblGrid>
            <w:tr w14:paraId="5A4312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 w:hRule="atLeast"/>
                <w:jc w:val="center"/>
              </w:trPr>
              <w:tc>
                <w:tcPr>
                  <w:tcW w:w="536" w:type="pct"/>
                  <w:vMerge w:val="restart"/>
                  <w:tcBorders>
                    <w:tl2br w:val="nil"/>
                    <w:tr2bl w:val="nil"/>
                  </w:tcBorders>
                  <w:noWrap w:val="0"/>
                  <w:vAlign w:val="center"/>
                </w:tcPr>
                <w:p w14:paraId="7F8F57D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lang w:val="en-US" w:eastAsia="zh-CN"/>
                    </w:rPr>
                  </w:pPr>
                  <w:r>
                    <w:rPr>
                      <w:rFonts w:hint="eastAsia" w:ascii="Times New Roman" w:hAnsi="Times New Roman" w:eastAsia="宋体" w:cs="Times New Roman"/>
                      <w:color w:val="auto"/>
                      <w:sz w:val="21"/>
                      <w:szCs w:val="21"/>
                      <w:highlight w:val="none"/>
                      <w:u w:val="single" w:color="auto"/>
                      <w:lang w:val="en-US" w:eastAsia="zh-CN"/>
                    </w:rPr>
                    <w:t>名称</w:t>
                  </w:r>
                </w:p>
              </w:tc>
              <w:tc>
                <w:tcPr>
                  <w:tcW w:w="1284" w:type="pct"/>
                  <w:gridSpan w:val="2"/>
                  <w:tcBorders>
                    <w:tl2br w:val="nil"/>
                    <w:tr2bl w:val="nil"/>
                  </w:tcBorders>
                  <w:noWrap w:val="0"/>
                  <w:vAlign w:val="center"/>
                </w:tcPr>
                <w:p w14:paraId="4DCFBD6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贡献值dB(A)</w:t>
                  </w:r>
                </w:p>
              </w:tc>
              <w:tc>
                <w:tcPr>
                  <w:tcW w:w="1864" w:type="pct"/>
                  <w:gridSpan w:val="2"/>
                  <w:tcBorders>
                    <w:tl2br w:val="nil"/>
                    <w:tr2bl w:val="nil"/>
                  </w:tcBorders>
                  <w:noWrap w:val="0"/>
                  <w:vAlign w:val="center"/>
                </w:tcPr>
                <w:p w14:paraId="653B45D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噪声标准值dB(A)</w:t>
                  </w:r>
                </w:p>
              </w:tc>
              <w:tc>
                <w:tcPr>
                  <w:tcW w:w="1314" w:type="pct"/>
                  <w:gridSpan w:val="2"/>
                  <w:tcBorders>
                    <w:tl2br w:val="nil"/>
                    <w:tr2bl w:val="nil"/>
                  </w:tcBorders>
                  <w:noWrap w:val="0"/>
                  <w:vAlign w:val="center"/>
                </w:tcPr>
                <w:p w14:paraId="5DA4DF5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超标和达标情况</w:t>
                  </w:r>
                </w:p>
              </w:tc>
            </w:tr>
            <w:tr w14:paraId="3948E2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 w:hRule="atLeast"/>
                <w:jc w:val="center"/>
              </w:trPr>
              <w:tc>
                <w:tcPr>
                  <w:tcW w:w="536" w:type="pct"/>
                  <w:vMerge w:val="continue"/>
                  <w:tcBorders>
                    <w:tl2br w:val="nil"/>
                    <w:tr2bl w:val="nil"/>
                  </w:tcBorders>
                  <w:noWrap w:val="0"/>
                  <w:vAlign w:val="center"/>
                </w:tcPr>
                <w:p w14:paraId="6C8A393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rPr>
                  </w:pPr>
                </w:p>
              </w:tc>
              <w:tc>
                <w:tcPr>
                  <w:tcW w:w="654" w:type="pct"/>
                  <w:tcBorders>
                    <w:tl2br w:val="nil"/>
                    <w:tr2bl w:val="nil"/>
                  </w:tcBorders>
                  <w:noWrap w:val="0"/>
                  <w:vAlign w:val="center"/>
                </w:tcPr>
                <w:p w14:paraId="3F78F09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昼间</w:t>
                  </w:r>
                </w:p>
              </w:tc>
              <w:tc>
                <w:tcPr>
                  <w:tcW w:w="629" w:type="pct"/>
                  <w:tcBorders>
                    <w:tl2br w:val="nil"/>
                    <w:tr2bl w:val="nil"/>
                  </w:tcBorders>
                  <w:noWrap w:val="0"/>
                  <w:vAlign w:val="center"/>
                </w:tcPr>
                <w:p w14:paraId="69F5022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夜间</w:t>
                  </w:r>
                </w:p>
              </w:tc>
              <w:tc>
                <w:tcPr>
                  <w:tcW w:w="1031" w:type="pct"/>
                  <w:tcBorders>
                    <w:tl2br w:val="nil"/>
                    <w:tr2bl w:val="nil"/>
                  </w:tcBorders>
                  <w:noWrap w:val="0"/>
                  <w:vAlign w:val="center"/>
                </w:tcPr>
                <w:p w14:paraId="7A33ADD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昼间</w:t>
                  </w:r>
                </w:p>
              </w:tc>
              <w:tc>
                <w:tcPr>
                  <w:tcW w:w="832" w:type="pct"/>
                  <w:tcBorders>
                    <w:tl2br w:val="nil"/>
                    <w:tr2bl w:val="nil"/>
                  </w:tcBorders>
                  <w:noWrap w:val="0"/>
                  <w:vAlign w:val="center"/>
                </w:tcPr>
                <w:p w14:paraId="6AC25C3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夜间</w:t>
                  </w:r>
                </w:p>
              </w:tc>
              <w:tc>
                <w:tcPr>
                  <w:tcW w:w="655" w:type="pct"/>
                  <w:tcBorders>
                    <w:tl2br w:val="nil"/>
                    <w:tr2bl w:val="nil"/>
                  </w:tcBorders>
                  <w:noWrap w:val="0"/>
                  <w:vAlign w:val="center"/>
                </w:tcPr>
                <w:p w14:paraId="63757C2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昼间</w:t>
                  </w:r>
                </w:p>
              </w:tc>
              <w:tc>
                <w:tcPr>
                  <w:tcW w:w="659" w:type="pct"/>
                  <w:tcBorders>
                    <w:tl2br w:val="nil"/>
                    <w:tr2bl w:val="nil"/>
                  </w:tcBorders>
                  <w:noWrap w:val="0"/>
                  <w:vAlign w:val="center"/>
                </w:tcPr>
                <w:p w14:paraId="76A2469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夜间</w:t>
                  </w:r>
                </w:p>
              </w:tc>
            </w:tr>
            <w:tr w14:paraId="2050C2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36" w:type="pct"/>
                  <w:tcBorders>
                    <w:tl2br w:val="nil"/>
                    <w:tr2bl w:val="nil"/>
                  </w:tcBorders>
                  <w:noWrap w:val="0"/>
                  <w:vAlign w:val="center"/>
                </w:tcPr>
                <w:p w14:paraId="77E2EDC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eastAsia="宋体" w:cs="Times New Roman"/>
                      <w:color w:val="auto"/>
                      <w:sz w:val="21"/>
                      <w:szCs w:val="21"/>
                      <w:highlight w:val="none"/>
                      <w:u w:val="single" w:color="auto"/>
                    </w:rPr>
                    <w:t>东厂界</w:t>
                  </w:r>
                </w:p>
              </w:tc>
              <w:tc>
                <w:tcPr>
                  <w:tcW w:w="1093" w:type="dxa"/>
                  <w:tcBorders>
                    <w:tl2br w:val="nil"/>
                    <w:tr2bl w:val="nil"/>
                  </w:tcBorders>
                  <w:noWrap w:val="0"/>
                  <w:vAlign w:val="center"/>
                </w:tcPr>
                <w:p w14:paraId="414A27A0">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 xml:space="preserve">52.19 </w:t>
                  </w:r>
                </w:p>
              </w:tc>
              <w:tc>
                <w:tcPr>
                  <w:tcW w:w="629" w:type="pct"/>
                  <w:tcBorders>
                    <w:tl2br w:val="nil"/>
                    <w:tr2bl w:val="nil"/>
                  </w:tcBorders>
                  <w:noWrap w:val="0"/>
                  <w:vAlign w:val="center"/>
                </w:tcPr>
                <w:p w14:paraId="41DBF745">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w:t>
                  </w:r>
                </w:p>
              </w:tc>
              <w:tc>
                <w:tcPr>
                  <w:tcW w:w="1031" w:type="pct"/>
                  <w:tcBorders>
                    <w:tl2br w:val="nil"/>
                    <w:tr2bl w:val="nil"/>
                  </w:tcBorders>
                  <w:noWrap w:val="0"/>
                  <w:vAlign w:val="center"/>
                </w:tcPr>
                <w:p w14:paraId="312456B8">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60</w:t>
                  </w:r>
                </w:p>
              </w:tc>
              <w:tc>
                <w:tcPr>
                  <w:tcW w:w="832" w:type="pct"/>
                  <w:tcBorders>
                    <w:tl2br w:val="nil"/>
                    <w:tr2bl w:val="nil"/>
                  </w:tcBorders>
                  <w:noWrap w:val="0"/>
                  <w:vAlign w:val="center"/>
                </w:tcPr>
                <w:p w14:paraId="1AC3CA30">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w:t>
                  </w:r>
                </w:p>
              </w:tc>
              <w:tc>
                <w:tcPr>
                  <w:tcW w:w="655" w:type="pct"/>
                  <w:tcBorders>
                    <w:tl2br w:val="nil"/>
                    <w:tr2bl w:val="nil"/>
                  </w:tcBorders>
                  <w:noWrap w:val="0"/>
                  <w:vAlign w:val="center"/>
                </w:tcPr>
                <w:p w14:paraId="2487E347">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达标</w:t>
                  </w:r>
                </w:p>
              </w:tc>
              <w:tc>
                <w:tcPr>
                  <w:tcW w:w="659" w:type="pct"/>
                  <w:tcBorders>
                    <w:tl2br w:val="nil"/>
                    <w:tr2bl w:val="nil"/>
                  </w:tcBorders>
                  <w:noWrap w:val="0"/>
                  <w:vAlign w:val="center"/>
                </w:tcPr>
                <w:p w14:paraId="5043CDAF">
                  <w:pPr>
                    <w:adjustRightInd w:val="0"/>
                    <w:snapToGrid w:val="0"/>
                    <w:spacing w:line="240" w:lineRule="auto"/>
                    <w:jc w:val="center"/>
                    <w:rPr>
                      <w:rFonts w:hint="default" w:ascii="Times New Roman" w:hAnsi="Times New Roman" w:eastAsia="宋体" w:cs="Times New Roman"/>
                      <w:color w:val="auto"/>
                      <w:sz w:val="21"/>
                      <w:szCs w:val="21"/>
                      <w:u w:val="single" w:color="auto"/>
                      <w:lang w:val="zh-CN" w:eastAsia="zh-CN"/>
                    </w:rPr>
                  </w:pPr>
                  <w:r>
                    <w:rPr>
                      <w:rFonts w:hint="eastAsia" w:ascii="Times New Roman" w:hAnsi="Times New Roman" w:eastAsia="宋体" w:cs="Times New Roman"/>
                      <w:color w:val="auto"/>
                      <w:sz w:val="21"/>
                      <w:szCs w:val="21"/>
                      <w:u w:val="single" w:color="auto"/>
                      <w:lang w:val="en-US" w:eastAsia="zh-CN"/>
                    </w:rPr>
                    <w:t>/</w:t>
                  </w:r>
                </w:p>
              </w:tc>
            </w:tr>
            <w:tr w14:paraId="553D56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 w:hRule="atLeast"/>
                <w:jc w:val="center"/>
              </w:trPr>
              <w:tc>
                <w:tcPr>
                  <w:tcW w:w="536" w:type="pct"/>
                  <w:tcBorders>
                    <w:tl2br w:val="nil"/>
                    <w:tr2bl w:val="nil"/>
                  </w:tcBorders>
                  <w:noWrap w:val="0"/>
                  <w:vAlign w:val="center"/>
                </w:tcPr>
                <w:p w14:paraId="7118D14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eastAsia="宋体" w:cs="Times New Roman"/>
                      <w:color w:val="auto"/>
                      <w:sz w:val="21"/>
                      <w:szCs w:val="21"/>
                      <w:highlight w:val="none"/>
                      <w:u w:val="single" w:color="auto"/>
                    </w:rPr>
                    <w:t>南厂界</w:t>
                  </w:r>
                </w:p>
              </w:tc>
              <w:tc>
                <w:tcPr>
                  <w:tcW w:w="1093" w:type="dxa"/>
                  <w:tcBorders>
                    <w:tl2br w:val="nil"/>
                    <w:tr2bl w:val="nil"/>
                  </w:tcBorders>
                  <w:noWrap w:val="0"/>
                  <w:vAlign w:val="center"/>
                </w:tcPr>
                <w:p w14:paraId="79DAD79F">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 xml:space="preserve">51.49 </w:t>
                  </w:r>
                </w:p>
              </w:tc>
              <w:tc>
                <w:tcPr>
                  <w:tcW w:w="629" w:type="pct"/>
                  <w:tcBorders>
                    <w:tl2br w:val="nil"/>
                    <w:tr2bl w:val="nil"/>
                  </w:tcBorders>
                  <w:noWrap w:val="0"/>
                  <w:vAlign w:val="center"/>
                </w:tcPr>
                <w:p w14:paraId="4D450FB7">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w:t>
                  </w:r>
                </w:p>
              </w:tc>
              <w:tc>
                <w:tcPr>
                  <w:tcW w:w="1031" w:type="pct"/>
                  <w:tcBorders>
                    <w:tl2br w:val="nil"/>
                    <w:tr2bl w:val="nil"/>
                  </w:tcBorders>
                  <w:noWrap w:val="0"/>
                  <w:vAlign w:val="center"/>
                </w:tcPr>
                <w:p w14:paraId="3B605673">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60</w:t>
                  </w:r>
                </w:p>
              </w:tc>
              <w:tc>
                <w:tcPr>
                  <w:tcW w:w="832" w:type="pct"/>
                  <w:tcBorders>
                    <w:tl2br w:val="nil"/>
                    <w:tr2bl w:val="nil"/>
                  </w:tcBorders>
                  <w:noWrap w:val="0"/>
                  <w:vAlign w:val="center"/>
                </w:tcPr>
                <w:p w14:paraId="5EFCB6D5">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w:t>
                  </w:r>
                </w:p>
              </w:tc>
              <w:tc>
                <w:tcPr>
                  <w:tcW w:w="655" w:type="pct"/>
                  <w:tcBorders>
                    <w:tl2br w:val="nil"/>
                    <w:tr2bl w:val="nil"/>
                  </w:tcBorders>
                  <w:noWrap w:val="0"/>
                  <w:vAlign w:val="center"/>
                </w:tcPr>
                <w:p w14:paraId="6F7F6B7B">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达标</w:t>
                  </w:r>
                </w:p>
              </w:tc>
              <w:tc>
                <w:tcPr>
                  <w:tcW w:w="659" w:type="pct"/>
                  <w:tcBorders>
                    <w:tl2br w:val="nil"/>
                    <w:tr2bl w:val="nil"/>
                  </w:tcBorders>
                  <w:noWrap w:val="0"/>
                  <w:vAlign w:val="center"/>
                </w:tcPr>
                <w:p w14:paraId="5F0E3742">
                  <w:pPr>
                    <w:adjustRightInd w:val="0"/>
                    <w:snapToGrid w:val="0"/>
                    <w:spacing w:line="240" w:lineRule="auto"/>
                    <w:jc w:val="center"/>
                    <w:rPr>
                      <w:rFonts w:hint="default" w:ascii="Times New Roman" w:hAnsi="Times New Roman" w:eastAsia="宋体" w:cs="Times New Roman"/>
                      <w:color w:val="auto"/>
                      <w:sz w:val="21"/>
                      <w:szCs w:val="21"/>
                      <w:u w:val="single" w:color="auto"/>
                      <w:lang w:val="zh-CN" w:eastAsia="zh-CN"/>
                    </w:rPr>
                  </w:pPr>
                  <w:r>
                    <w:rPr>
                      <w:rFonts w:hint="eastAsia" w:ascii="Times New Roman" w:hAnsi="Times New Roman" w:eastAsia="宋体" w:cs="Times New Roman"/>
                      <w:color w:val="auto"/>
                      <w:sz w:val="21"/>
                      <w:szCs w:val="21"/>
                      <w:u w:val="single" w:color="auto"/>
                      <w:lang w:val="en-US" w:eastAsia="zh-CN"/>
                    </w:rPr>
                    <w:t>/</w:t>
                  </w:r>
                </w:p>
              </w:tc>
            </w:tr>
            <w:tr w14:paraId="6852E0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 w:hRule="atLeast"/>
                <w:jc w:val="center"/>
              </w:trPr>
              <w:tc>
                <w:tcPr>
                  <w:tcW w:w="536" w:type="pct"/>
                  <w:tcBorders>
                    <w:tl2br w:val="nil"/>
                    <w:tr2bl w:val="nil"/>
                  </w:tcBorders>
                  <w:noWrap w:val="0"/>
                  <w:vAlign w:val="center"/>
                </w:tcPr>
                <w:p w14:paraId="4EF3DB5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eastAsia="宋体" w:cs="Times New Roman"/>
                      <w:color w:val="auto"/>
                      <w:sz w:val="21"/>
                      <w:szCs w:val="21"/>
                      <w:highlight w:val="none"/>
                      <w:u w:val="single" w:color="auto"/>
                    </w:rPr>
                    <w:t>西厂界</w:t>
                  </w:r>
                </w:p>
              </w:tc>
              <w:tc>
                <w:tcPr>
                  <w:tcW w:w="1093" w:type="dxa"/>
                  <w:tcBorders>
                    <w:tl2br w:val="nil"/>
                    <w:tr2bl w:val="nil"/>
                  </w:tcBorders>
                  <w:noWrap w:val="0"/>
                  <w:vAlign w:val="center"/>
                </w:tcPr>
                <w:p w14:paraId="1A5E0727">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 xml:space="preserve">52.59 </w:t>
                  </w:r>
                </w:p>
              </w:tc>
              <w:tc>
                <w:tcPr>
                  <w:tcW w:w="629" w:type="pct"/>
                  <w:tcBorders>
                    <w:tl2br w:val="nil"/>
                    <w:tr2bl w:val="nil"/>
                  </w:tcBorders>
                  <w:noWrap w:val="0"/>
                  <w:vAlign w:val="center"/>
                </w:tcPr>
                <w:p w14:paraId="0EC9097A">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w:t>
                  </w:r>
                </w:p>
              </w:tc>
              <w:tc>
                <w:tcPr>
                  <w:tcW w:w="1031" w:type="pct"/>
                  <w:tcBorders>
                    <w:tl2br w:val="nil"/>
                    <w:tr2bl w:val="nil"/>
                  </w:tcBorders>
                  <w:noWrap w:val="0"/>
                  <w:vAlign w:val="center"/>
                </w:tcPr>
                <w:p w14:paraId="653392A3">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60</w:t>
                  </w:r>
                </w:p>
              </w:tc>
              <w:tc>
                <w:tcPr>
                  <w:tcW w:w="832" w:type="pct"/>
                  <w:tcBorders>
                    <w:tl2br w:val="nil"/>
                    <w:tr2bl w:val="nil"/>
                  </w:tcBorders>
                  <w:noWrap w:val="0"/>
                  <w:vAlign w:val="center"/>
                </w:tcPr>
                <w:p w14:paraId="54FF2E46">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w:t>
                  </w:r>
                </w:p>
              </w:tc>
              <w:tc>
                <w:tcPr>
                  <w:tcW w:w="655" w:type="pct"/>
                  <w:tcBorders>
                    <w:tl2br w:val="nil"/>
                    <w:tr2bl w:val="nil"/>
                  </w:tcBorders>
                  <w:noWrap w:val="0"/>
                  <w:vAlign w:val="center"/>
                </w:tcPr>
                <w:p w14:paraId="6A2BB77A">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达标</w:t>
                  </w:r>
                </w:p>
              </w:tc>
              <w:tc>
                <w:tcPr>
                  <w:tcW w:w="659" w:type="pct"/>
                  <w:tcBorders>
                    <w:tl2br w:val="nil"/>
                    <w:tr2bl w:val="nil"/>
                  </w:tcBorders>
                  <w:noWrap w:val="0"/>
                  <w:vAlign w:val="center"/>
                </w:tcPr>
                <w:p w14:paraId="32B63607">
                  <w:pPr>
                    <w:adjustRightInd w:val="0"/>
                    <w:snapToGrid w:val="0"/>
                    <w:spacing w:line="240" w:lineRule="auto"/>
                    <w:jc w:val="center"/>
                    <w:rPr>
                      <w:rFonts w:hint="default" w:ascii="Times New Roman" w:hAnsi="Times New Roman" w:eastAsia="宋体" w:cs="Times New Roman"/>
                      <w:color w:val="auto"/>
                      <w:sz w:val="21"/>
                      <w:szCs w:val="21"/>
                      <w:u w:val="single" w:color="auto"/>
                      <w:lang w:val="zh-CN" w:eastAsia="zh-CN"/>
                    </w:rPr>
                  </w:pPr>
                  <w:r>
                    <w:rPr>
                      <w:rFonts w:hint="eastAsia" w:ascii="Times New Roman" w:hAnsi="Times New Roman" w:eastAsia="宋体" w:cs="Times New Roman"/>
                      <w:color w:val="auto"/>
                      <w:sz w:val="21"/>
                      <w:szCs w:val="21"/>
                      <w:u w:val="single" w:color="auto"/>
                      <w:lang w:val="en-US" w:eastAsia="zh-CN"/>
                    </w:rPr>
                    <w:t>/</w:t>
                  </w:r>
                </w:p>
              </w:tc>
            </w:tr>
            <w:tr w14:paraId="7B11E2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 w:hRule="atLeast"/>
                <w:jc w:val="center"/>
              </w:trPr>
              <w:tc>
                <w:tcPr>
                  <w:tcW w:w="536" w:type="pct"/>
                  <w:tcBorders>
                    <w:tl2br w:val="nil"/>
                    <w:tr2bl w:val="nil"/>
                  </w:tcBorders>
                  <w:noWrap w:val="0"/>
                  <w:vAlign w:val="center"/>
                </w:tcPr>
                <w:p w14:paraId="5B63B6F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eastAsia="宋体" w:cs="Times New Roman"/>
                      <w:color w:val="auto"/>
                      <w:sz w:val="21"/>
                      <w:szCs w:val="21"/>
                      <w:highlight w:val="none"/>
                      <w:u w:val="single" w:color="auto"/>
                    </w:rPr>
                    <w:t>北厂界</w:t>
                  </w:r>
                </w:p>
              </w:tc>
              <w:tc>
                <w:tcPr>
                  <w:tcW w:w="1093" w:type="dxa"/>
                  <w:tcBorders>
                    <w:tl2br w:val="nil"/>
                    <w:tr2bl w:val="nil"/>
                  </w:tcBorders>
                  <w:noWrap w:val="0"/>
                  <w:vAlign w:val="center"/>
                </w:tcPr>
                <w:p w14:paraId="383FC11D">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 xml:space="preserve">56.73 </w:t>
                  </w:r>
                </w:p>
              </w:tc>
              <w:tc>
                <w:tcPr>
                  <w:tcW w:w="629" w:type="pct"/>
                  <w:tcBorders>
                    <w:tl2br w:val="nil"/>
                    <w:tr2bl w:val="nil"/>
                  </w:tcBorders>
                  <w:noWrap w:val="0"/>
                  <w:vAlign w:val="center"/>
                </w:tcPr>
                <w:p w14:paraId="5304C06A">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w:t>
                  </w:r>
                </w:p>
              </w:tc>
              <w:tc>
                <w:tcPr>
                  <w:tcW w:w="1031" w:type="pct"/>
                  <w:tcBorders>
                    <w:tl2br w:val="nil"/>
                    <w:tr2bl w:val="nil"/>
                  </w:tcBorders>
                  <w:noWrap w:val="0"/>
                  <w:vAlign w:val="center"/>
                </w:tcPr>
                <w:p w14:paraId="6534973B">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60</w:t>
                  </w:r>
                </w:p>
              </w:tc>
              <w:tc>
                <w:tcPr>
                  <w:tcW w:w="832" w:type="pct"/>
                  <w:tcBorders>
                    <w:tl2br w:val="nil"/>
                    <w:tr2bl w:val="nil"/>
                  </w:tcBorders>
                  <w:noWrap w:val="0"/>
                  <w:vAlign w:val="center"/>
                </w:tcPr>
                <w:p w14:paraId="3DCDE850">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w:t>
                  </w:r>
                </w:p>
              </w:tc>
              <w:tc>
                <w:tcPr>
                  <w:tcW w:w="655" w:type="pct"/>
                  <w:tcBorders>
                    <w:tl2br w:val="nil"/>
                    <w:tr2bl w:val="nil"/>
                  </w:tcBorders>
                  <w:noWrap w:val="0"/>
                  <w:vAlign w:val="center"/>
                </w:tcPr>
                <w:p w14:paraId="63481B22">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达标</w:t>
                  </w:r>
                </w:p>
              </w:tc>
              <w:tc>
                <w:tcPr>
                  <w:tcW w:w="659" w:type="pct"/>
                  <w:tcBorders>
                    <w:tl2br w:val="nil"/>
                    <w:tr2bl w:val="nil"/>
                  </w:tcBorders>
                  <w:noWrap w:val="0"/>
                  <w:vAlign w:val="center"/>
                </w:tcPr>
                <w:p w14:paraId="5A8E296E">
                  <w:pPr>
                    <w:adjustRightInd w:val="0"/>
                    <w:snapToGrid w:val="0"/>
                    <w:spacing w:line="240" w:lineRule="auto"/>
                    <w:jc w:val="center"/>
                    <w:rPr>
                      <w:rFonts w:hint="default" w:ascii="Times New Roman" w:hAnsi="Times New Roman" w:eastAsia="宋体" w:cs="Times New Roman"/>
                      <w:color w:val="auto"/>
                      <w:sz w:val="21"/>
                      <w:szCs w:val="21"/>
                      <w:u w:val="single" w:color="auto"/>
                      <w:lang w:val="zh-CN" w:eastAsia="zh-CN"/>
                    </w:rPr>
                  </w:pPr>
                  <w:r>
                    <w:rPr>
                      <w:rFonts w:hint="eastAsia" w:ascii="Times New Roman" w:hAnsi="Times New Roman" w:eastAsia="宋体" w:cs="Times New Roman"/>
                      <w:color w:val="auto"/>
                      <w:sz w:val="21"/>
                      <w:szCs w:val="21"/>
                      <w:u w:val="single" w:color="auto"/>
                      <w:lang w:val="en-US" w:eastAsia="zh-CN"/>
                    </w:rPr>
                    <w:t>/</w:t>
                  </w:r>
                </w:p>
              </w:tc>
            </w:tr>
          </w:tbl>
          <w:p w14:paraId="622486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b/>
                <w:bCs/>
                <w:color w:val="auto"/>
                <w:sz w:val="21"/>
                <w:szCs w:val="21"/>
                <w:highlight w:val="none"/>
                <w:u w:val="single" w:color="auto"/>
                <w:lang w:val="en-US" w:eastAsia="zh-CN"/>
              </w:rPr>
            </w:pPr>
            <w:r>
              <w:rPr>
                <w:rFonts w:hint="eastAsia" w:ascii="Times New Roman" w:hAnsi="Times New Roman" w:eastAsia="宋体" w:cs="Times New Roman"/>
                <w:b/>
                <w:bCs/>
                <w:color w:val="auto"/>
                <w:sz w:val="21"/>
                <w:szCs w:val="21"/>
                <w:highlight w:val="none"/>
                <w:u w:val="single" w:color="auto"/>
                <w:lang w:val="en-US" w:eastAsia="zh-CN"/>
              </w:rPr>
              <w:t>表4-1</w:t>
            </w:r>
            <w:r>
              <w:rPr>
                <w:rFonts w:hint="eastAsia" w:cs="Times New Roman"/>
                <w:b/>
                <w:bCs/>
                <w:color w:val="auto"/>
                <w:sz w:val="21"/>
                <w:szCs w:val="21"/>
                <w:highlight w:val="none"/>
                <w:u w:val="single" w:color="auto"/>
                <w:lang w:val="en-US" w:eastAsia="zh-CN"/>
              </w:rPr>
              <w:t>5</w:t>
            </w:r>
            <w:r>
              <w:rPr>
                <w:rFonts w:hint="eastAsia" w:ascii="Times New Roman" w:hAnsi="Times New Roman" w:eastAsia="宋体" w:cs="Times New Roman"/>
                <w:b/>
                <w:bCs/>
                <w:color w:val="auto"/>
                <w:sz w:val="21"/>
                <w:szCs w:val="21"/>
                <w:highlight w:val="none"/>
                <w:u w:val="single" w:color="auto"/>
                <w:lang w:val="en-US" w:eastAsia="zh-CN"/>
              </w:rPr>
              <w:t xml:space="preserve">  本项目声环境敏感点处噪声预测结果与达标分析表    单位：dB(A)</w:t>
            </w:r>
          </w:p>
          <w:tbl>
            <w:tblPr>
              <w:tblStyle w:val="31"/>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7"/>
              <w:gridCol w:w="709"/>
              <w:gridCol w:w="711"/>
              <w:gridCol w:w="709"/>
              <w:gridCol w:w="711"/>
              <w:gridCol w:w="709"/>
              <w:gridCol w:w="711"/>
              <w:gridCol w:w="709"/>
              <w:gridCol w:w="711"/>
              <w:gridCol w:w="709"/>
              <w:gridCol w:w="715"/>
            </w:tblGrid>
            <w:tr w14:paraId="3D4744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 w:hRule="atLeast"/>
                <w:jc w:val="center"/>
              </w:trPr>
              <w:tc>
                <w:tcPr>
                  <w:tcW w:w="761" w:type="pct"/>
                  <w:vMerge w:val="restart"/>
                  <w:tcBorders>
                    <w:tl2br w:val="nil"/>
                    <w:tr2bl w:val="nil"/>
                  </w:tcBorders>
                  <w:noWrap w:val="0"/>
                  <w:vAlign w:val="center"/>
                </w:tcPr>
                <w:p w14:paraId="6E276E6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none"/>
                      <w:u w:val="single" w:color="auto"/>
                      <w:lang w:val="en-US" w:eastAsia="zh-CN"/>
                    </w:rPr>
                  </w:pPr>
                  <w:r>
                    <w:rPr>
                      <w:rFonts w:hint="eastAsia" w:ascii="Times New Roman" w:hAnsi="Times New Roman" w:eastAsia="宋体" w:cs="Times New Roman"/>
                      <w:color w:val="auto"/>
                      <w:sz w:val="21"/>
                      <w:szCs w:val="21"/>
                      <w:highlight w:val="none"/>
                      <w:u w:val="single" w:color="auto"/>
                      <w:lang w:val="en-US" w:eastAsia="zh-CN"/>
                    </w:rPr>
                    <w:t>名称</w:t>
                  </w:r>
                </w:p>
              </w:tc>
              <w:tc>
                <w:tcPr>
                  <w:tcW w:w="847" w:type="pct"/>
                  <w:gridSpan w:val="2"/>
                  <w:tcBorders>
                    <w:tl2br w:val="nil"/>
                    <w:tr2bl w:val="nil"/>
                  </w:tcBorders>
                  <w:noWrap w:val="0"/>
                  <w:vAlign w:val="center"/>
                </w:tcPr>
                <w:p w14:paraId="2862810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贡献值dB(A)</w:t>
                  </w:r>
                </w:p>
              </w:tc>
              <w:tc>
                <w:tcPr>
                  <w:tcW w:w="847" w:type="pct"/>
                  <w:gridSpan w:val="2"/>
                  <w:tcBorders>
                    <w:tl2br w:val="nil"/>
                    <w:tr2bl w:val="nil"/>
                  </w:tcBorders>
                  <w:noWrap w:val="0"/>
                  <w:vAlign w:val="center"/>
                </w:tcPr>
                <w:p w14:paraId="214688F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z w:val="21"/>
                      <w:szCs w:val="21"/>
                      <w:highlight w:val="none"/>
                      <w:u w:val="single" w:color="auto"/>
                      <w:lang w:val="en-US" w:eastAsia="zh-CN"/>
                    </w:rPr>
                  </w:pPr>
                  <w:r>
                    <w:rPr>
                      <w:rFonts w:hint="eastAsia" w:ascii="Times New Roman" w:hAnsi="Times New Roman" w:eastAsia="宋体" w:cs="Times New Roman"/>
                      <w:color w:val="auto"/>
                      <w:sz w:val="21"/>
                      <w:szCs w:val="21"/>
                      <w:highlight w:val="none"/>
                      <w:u w:val="single" w:color="auto"/>
                      <w:lang w:val="en-US" w:eastAsia="zh-CN"/>
                    </w:rPr>
                    <w:t>现状</w:t>
                  </w:r>
                  <w:r>
                    <w:rPr>
                      <w:rFonts w:hint="default" w:ascii="Times New Roman" w:hAnsi="Times New Roman" w:eastAsia="宋体" w:cs="Times New Roman"/>
                      <w:color w:val="auto"/>
                      <w:sz w:val="21"/>
                      <w:szCs w:val="21"/>
                      <w:highlight w:val="none"/>
                      <w:u w:val="single" w:color="auto"/>
                    </w:rPr>
                    <w:t>值dB(A)</w:t>
                  </w:r>
                </w:p>
              </w:tc>
              <w:tc>
                <w:tcPr>
                  <w:tcW w:w="847" w:type="pct"/>
                  <w:gridSpan w:val="2"/>
                  <w:tcBorders>
                    <w:tl2br w:val="nil"/>
                    <w:tr2bl w:val="nil"/>
                  </w:tcBorders>
                  <w:noWrap w:val="0"/>
                  <w:vAlign w:val="center"/>
                </w:tcPr>
                <w:p w14:paraId="2651BA6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sz w:val="21"/>
                      <w:szCs w:val="21"/>
                      <w:highlight w:val="none"/>
                      <w:u w:val="single" w:color="auto"/>
                      <w:lang w:val="en-US" w:eastAsia="zh-CN"/>
                    </w:rPr>
                  </w:pPr>
                  <w:r>
                    <w:rPr>
                      <w:rFonts w:hint="eastAsia" w:ascii="Times New Roman" w:hAnsi="Times New Roman" w:eastAsia="宋体" w:cs="Times New Roman"/>
                      <w:color w:val="auto"/>
                      <w:sz w:val="21"/>
                      <w:szCs w:val="21"/>
                      <w:highlight w:val="none"/>
                      <w:u w:val="single" w:color="auto"/>
                      <w:lang w:val="en-US" w:eastAsia="zh-CN"/>
                    </w:rPr>
                    <w:t>预测</w:t>
                  </w:r>
                  <w:r>
                    <w:rPr>
                      <w:rFonts w:hint="default" w:ascii="Times New Roman" w:hAnsi="Times New Roman" w:eastAsia="宋体" w:cs="Times New Roman"/>
                      <w:color w:val="auto"/>
                      <w:sz w:val="21"/>
                      <w:szCs w:val="21"/>
                      <w:highlight w:val="none"/>
                      <w:u w:val="single" w:color="auto"/>
                    </w:rPr>
                    <w:t>值dB(A)</w:t>
                  </w:r>
                </w:p>
              </w:tc>
              <w:tc>
                <w:tcPr>
                  <w:tcW w:w="847" w:type="pct"/>
                  <w:gridSpan w:val="2"/>
                  <w:tcBorders>
                    <w:tl2br w:val="nil"/>
                    <w:tr2bl w:val="nil"/>
                  </w:tcBorders>
                  <w:noWrap w:val="0"/>
                  <w:vAlign w:val="center"/>
                </w:tcPr>
                <w:p w14:paraId="408BE76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噪声标准值dB(A)</w:t>
                  </w:r>
                </w:p>
              </w:tc>
              <w:tc>
                <w:tcPr>
                  <w:tcW w:w="849" w:type="pct"/>
                  <w:gridSpan w:val="2"/>
                  <w:tcBorders>
                    <w:tl2br w:val="nil"/>
                    <w:tr2bl w:val="nil"/>
                  </w:tcBorders>
                  <w:noWrap w:val="0"/>
                  <w:vAlign w:val="center"/>
                </w:tcPr>
                <w:p w14:paraId="7FBDD3F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超标和达标</w:t>
                  </w:r>
                </w:p>
                <w:p w14:paraId="01E9074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情况</w:t>
                  </w:r>
                </w:p>
              </w:tc>
            </w:tr>
            <w:tr w14:paraId="2DFF1C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 w:hRule="atLeast"/>
                <w:jc w:val="center"/>
              </w:trPr>
              <w:tc>
                <w:tcPr>
                  <w:tcW w:w="761" w:type="pct"/>
                  <w:vMerge w:val="continue"/>
                  <w:tcBorders>
                    <w:tl2br w:val="nil"/>
                    <w:tr2bl w:val="nil"/>
                  </w:tcBorders>
                  <w:noWrap w:val="0"/>
                  <w:vAlign w:val="center"/>
                </w:tcPr>
                <w:p w14:paraId="5418EFC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u w:val="single" w:color="auto"/>
                    </w:rPr>
                  </w:pPr>
                </w:p>
              </w:tc>
              <w:tc>
                <w:tcPr>
                  <w:tcW w:w="422" w:type="pct"/>
                  <w:tcBorders>
                    <w:tl2br w:val="nil"/>
                    <w:tr2bl w:val="nil"/>
                  </w:tcBorders>
                  <w:noWrap w:val="0"/>
                  <w:vAlign w:val="center"/>
                </w:tcPr>
                <w:p w14:paraId="5E2C984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昼间</w:t>
                  </w:r>
                </w:p>
              </w:tc>
              <w:tc>
                <w:tcPr>
                  <w:tcW w:w="424" w:type="pct"/>
                  <w:tcBorders>
                    <w:tl2br w:val="nil"/>
                    <w:tr2bl w:val="nil"/>
                  </w:tcBorders>
                  <w:noWrap w:val="0"/>
                  <w:vAlign w:val="center"/>
                </w:tcPr>
                <w:p w14:paraId="0504258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u w:val="single" w:color="auto"/>
                      <w:lang w:val="en-US" w:eastAsia="zh-CN" w:bidi="ar-SA"/>
                    </w:rPr>
                  </w:pPr>
                  <w:r>
                    <w:rPr>
                      <w:rFonts w:hint="default" w:ascii="Times New Roman" w:hAnsi="Times New Roman" w:eastAsia="宋体" w:cs="Times New Roman"/>
                      <w:color w:val="auto"/>
                      <w:sz w:val="21"/>
                      <w:szCs w:val="21"/>
                      <w:highlight w:val="none"/>
                      <w:u w:val="single" w:color="auto"/>
                    </w:rPr>
                    <w:t>夜间</w:t>
                  </w:r>
                </w:p>
              </w:tc>
              <w:tc>
                <w:tcPr>
                  <w:tcW w:w="422" w:type="pct"/>
                  <w:tcBorders>
                    <w:tl2br w:val="nil"/>
                    <w:tr2bl w:val="nil"/>
                  </w:tcBorders>
                  <w:noWrap w:val="0"/>
                  <w:vAlign w:val="center"/>
                </w:tcPr>
                <w:p w14:paraId="308F43A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u w:val="single" w:color="auto"/>
                      <w:lang w:val="en-US" w:eastAsia="zh-CN" w:bidi="ar-SA"/>
                    </w:rPr>
                  </w:pPr>
                  <w:r>
                    <w:rPr>
                      <w:rFonts w:hint="default" w:ascii="Times New Roman" w:hAnsi="Times New Roman" w:eastAsia="宋体" w:cs="Times New Roman"/>
                      <w:color w:val="auto"/>
                      <w:sz w:val="21"/>
                      <w:szCs w:val="21"/>
                      <w:highlight w:val="none"/>
                      <w:u w:val="single" w:color="auto"/>
                    </w:rPr>
                    <w:t>昼间</w:t>
                  </w:r>
                </w:p>
              </w:tc>
              <w:tc>
                <w:tcPr>
                  <w:tcW w:w="424" w:type="pct"/>
                  <w:tcBorders>
                    <w:tl2br w:val="nil"/>
                    <w:tr2bl w:val="nil"/>
                  </w:tcBorders>
                  <w:noWrap w:val="0"/>
                  <w:vAlign w:val="center"/>
                </w:tcPr>
                <w:p w14:paraId="12C5D46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u w:val="single" w:color="auto"/>
                      <w:lang w:val="en-US" w:eastAsia="zh-CN" w:bidi="ar-SA"/>
                    </w:rPr>
                  </w:pPr>
                  <w:r>
                    <w:rPr>
                      <w:rFonts w:hint="default" w:ascii="Times New Roman" w:hAnsi="Times New Roman" w:eastAsia="宋体" w:cs="Times New Roman"/>
                      <w:color w:val="auto"/>
                      <w:sz w:val="21"/>
                      <w:szCs w:val="21"/>
                      <w:highlight w:val="none"/>
                      <w:u w:val="single" w:color="auto"/>
                    </w:rPr>
                    <w:t>夜间</w:t>
                  </w:r>
                </w:p>
              </w:tc>
              <w:tc>
                <w:tcPr>
                  <w:tcW w:w="422" w:type="pct"/>
                  <w:tcBorders>
                    <w:tl2br w:val="nil"/>
                    <w:tr2bl w:val="nil"/>
                  </w:tcBorders>
                  <w:noWrap w:val="0"/>
                  <w:vAlign w:val="center"/>
                </w:tcPr>
                <w:p w14:paraId="0D84A15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u w:val="single" w:color="auto"/>
                      <w:lang w:val="en-US" w:eastAsia="zh-CN" w:bidi="ar-SA"/>
                    </w:rPr>
                  </w:pPr>
                  <w:r>
                    <w:rPr>
                      <w:rFonts w:hint="default" w:ascii="Times New Roman" w:hAnsi="Times New Roman" w:eastAsia="宋体" w:cs="Times New Roman"/>
                      <w:color w:val="auto"/>
                      <w:sz w:val="21"/>
                      <w:szCs w:val="21"/>
                      <w:highlight w:val="none"/>
                      <w:u w:val="single" w:color="auto"/>
                    </w:rPr>
                    <w:t>昼间</w:t>
                  </w:r>
                </w:p>
              </w:tc>
              <w:tc>
                <w:tcPr>
                  <w:tcW w:w="424" w:type="pct"/>
                  <w:tcBorders>
                    <w:tl2br w:val="nil"/>
                    <w:tr2bl w:val="nil"/>
                  </w:tcBorders>
                  <w:noWrap w:val="0"/>
                  <w:vAlign w:val="center"/>
                </w:tcPr>
                <w:p w14:paraId="302C08B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u w:val="single" w:color="auto"/>
                      <w:lang w:val="en-US" w:eastAsia="zh-CN" w:bidi="ar-SA"/>
                    </w:rPr>
                  </w:pPr>
                  <w:r>
                    <w:rPr>
                      <w:rFonts w:hint="default" w:ascii="Times New Roman" w:hAnsi="Times New Roman" w:eastAsia="宋体" w:cs="Times New Roman"/>
                      <w:color w:val="auto"/>
                      <w:sz w:val="21"/>
                      <w:szCs w:val="21"/>
                      <w:highlight w:val="none"/>
                      <w:u w:val="single" w:color="auto"/>
                    </w:rPr>
                    <w:t>夜间</w:t>
                  </w:r>
                </w:p>
              </w:tc>
              <w:tc>
                <w:tcPr>
                  <w:tcW w:w="422" w:type="pct"/>
                  <w:tcBorders>
                    <w:tl2br w:val="nil"/>
                    <w:tr2bl w:val="nil"/>
                  </w:tcBorders>
                  <w:noWrap w:val="0"/>
                  <w:vAlign w:val="center"/>
                </w:tcPr>
                <w:p w14:paraId="45EF8A8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昼间</w:t>
                  </w:r>
                </w:p>
              </w:tc>
              <w:tc>
                <w:tcPr>
                  <w:tcW w:w="424" w:type="pct"/>
                  <w:tcBorders>
                    <w:tl2br w:val="nil"/>
                    <w:tr2bl w:val="nil"/>
                  </w:tcBorders>
                  <w:noWrap w:val="0"/>
                  <w:vAlign w:val="center"/>
                </w:tcPr>
                <w:p w14:paraId="79EDE11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夜间</w:t>
                  </w:r>
                </w:p>
              </w:tc>
              <w:tc>
                <w:tcPr>
                  <w:tcW w:w="422" w:type="pct"/>
                  <w:tcBorders>
                    <w:tl2br w:val="nil"/>
                    <w:tr2bl w:val="nil"/>
                  </w:tcBorders>
                  <w:noWrap w:val="0"/>
                  <w:vAlign w:val="center"/>
                </w:tcPr>
                <w:p w14:paraId="75EFCD7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昼间</w:t>
                  </w:r>
                </w:p>
              </w:tc>
              <w:tc>
                <w:tcPr>
                  <w:tcW w:w="426" w:type="pct"/>
                  <w:tcBorders>
                    <w:tl2br w:val="nil"/>
                    <w:tr2bl w:val="nil"/>
                  </w:tcBorders>
                  <w:noWrap w:val="0"/>
                  <w:vAlign w:val="center"/>
                </w:tcPr>
                <w:p w14:paraId="261CFAF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u w:val="single" w:color="auto"/>
                    </w:rPr>
                  </w:pPr>
                  <w:r>
                    <w:rPr>
                      <w:rFonts w:hint="default" w:ascii="Times New Roman" w:hAnsi="Times New Roman" w:eastAsia="宋体" w:cs="Times New Roman"/>
                      <w:color w:val="auto"/>
                      <w:sz w:val="21"/>
                      <w:szCs w:val="21"/>
                      <w:highlight w:val="none"/>
                      <w:u w:val="single" w:color="auto"/>
                    </w:rPr>
                    <w:t>夜间</w:t>
                  </w:r>
                </w:p>
              </w:tc>
            </w:tr>
            <w:tr w14:paraId="037278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 w:hRule="atLeast"/>
                <w:jc w:val="center"/>
              </w:trPr>
              <w:tc>
                <w:tcPr>
                  <w:tcW w:w="761" w:type="pct"/>
                  <w:tcBorders>
                    <w:tl2br w:val="nil"/>
                    <w:tr2bl w:val="nil"/>
                  </w:tcBorders>
                  <w:noWrap w:val="0"/>
                  <w:vAlign w:val="center"/>
                </w:tcPr>
                <w:p w14:paraId="16D8716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eastAsia="宋体" w:cs="Times New Roman"/>
                      <w:color w:val="auto"/>
                      <w:sz w:val="21"/>
                      <w:szCs w:val="21"/>
                      <w:highlight w:val="none"/>
                      <w:u w:val="single" w:color="auto"/>
                      <w:lang w:val="en-US" w:eastAsia="zh-CN"/>
                    </w:rPr>
                    <w:t>项目</w:t>
                  </w:r>
                  <w:r>
                    <w:rPr>
                      <w:rFonts w:hint="eastAsia" w:ascii="Times New Roman" w:hAnsi="Times New Roman" w:eastAsia="宋体" w:cs="Times New Roman"/>
                      <w:color w:val="auto"/>
                      <w:sz w:val="21"/>
                      <w:szCs w:val="21"/>
                      <w:highlight w:val="none"/>
                      <w:u w:val="single" w:color="auto"/>
                      <w:lang w:val="en-US" w:eastAsia="zh-CN"/>
                    </w:rPr>
                    <w:t>南面8m飞龙村散户</w:t>
                  </w:r>
                </w:p>
              </w:tc>
              <w:tc>
                <w:tcPr>
                  <w:tcW w:w="422" w:type="pct"/>
                  <w:tcBorders>
                    <w:tl2br w:val="nil"/>
                    <w:tr2bl w:val="nil"/>
                  </w:tcBorders>
                  <w:noWrap w:val="0"/>
                  <w:vAlign w:val="center"/>
                </w:tcPr>
                <w:p w14:paraId="15DFCBCD">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33.43</w:t>
                  </w:r>
                </w:p>
              </w:tc>
              <w:tc>
                <w:tcPr>
                  <w:tcW w:w="424" w:type="pct"/>
                  <w:tcBorders>
                    <w:tl2br w:val="nil"/>
                    <w:tr2bl w:val="nil"/>
                  </w:tcBorders>
                  <w:noWrap w:val="0"/>
                  <w:vAlign w:val="center"/>
                </w:tcPr>
                <w:p w14:paraId="43F016D8">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w:t>
                  </w:r>
                </w:p>
              </w:tc>
              <w:tc>
                <w:tcPr>
                  <w:tcW w:w="422" w:type="pct"/>
                  <w:tcBorders>
                    <w:tl2br w:val="nil"/>
                    <w:tr2bl w:val="nil"/>
                  </w:tcBorders>
                  <w:noWrap w:val="0"/>
                  <w:vAlign w:val="center"/>
                </w:tcPr>
                <w:p w14:paraId="4A48918C">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55.3</w:t>
                  </w:r>
                </w:p>
              </w:tc>
              <w:tc>
                <w:tcPr>
                  <w:tcW w:w="424" w:type="pct"/>
                  <w:tcBorders>
                    <w:tl2br w:val="nil"/>
                    <w:tr2bl w:val="nil"/>
                  </w:tcBorders>
                  <w:noWrap w:val="0"/>
                  <w:vAlign w:val="center"/>
                </w:tcPr>
                <w:p w14:paraId="05261011">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43.9</w:t>
                  </w:r>
                </w:p>
              </w:tc>
              <w:tc>
                <w:tcPr>
                  <w:tcW w:w="422" w:type="pct"/>
                  <w:tcBorders>
                    <w:tl2br w:val="nil"/>
                    <w:tr2bl w:val="nil"/>
                  </w:tcBorders>
                  <w:shd w:val="clear" w:color="auto" w:fill="auto"/>
                  <w:noWrap w:val="0"/>
                  <w:vAlign w:val="center"/>
                </w:tcPr>
                <w:p w14:paraId="3EDF09C3">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55.33</w:t>
                  </w:r>
                </w:p>
              </w:tc>
              <w:tc>
                <w:tcPr>
                  <w:tcW w:w="424" w:type="pct"/>
                  <w:tcBorders>
                    <w:tl2br w:val="nil"/>
                    <w:tr2bl w:val="nil"/>
                  </w:tcBorders>
                  <w:noWrap w:val="0"/>
                  <w:vAlign w:val="center"/>
                </w:tcPr>
                <w:p w14:paraId="3F5D9899">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w:t>
                  </w:r>
                </w:p>
              </w:tc>
              <w:tc>
                <w:tcPr>
                  <w:tcW w:w="422" w:type="pct"/>
                  <w:tcBorders>
                    <w:tl2br w:val="nil"/>
                    <w:tr2bl w:val="nil"/>
                  </w:tcBorders>
                  <w:noWrap w:val="0"/>
                  <w:vAlign w:val="center"/>
                </w:tcPr>
                <w:p w14:paraId="76E8E1A8">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60</w:t>
                  </w:r>
                </w:p>
              </w:tc>
              <w:tc>
                <w:tcPr>
                  <w:tcW w:w="424" w:type="pct"/>
                  <w:tcBorders>
                    <w:tl2br w:val="nil"/>
                    <w:tr2bl w:val="nil"/>
                  </w:tcBorders>
                  <w:noWrap w:val="0"/>
                  <w:vAlign w:val="center"/>
                </w:tcPr>
                <w:p w14:paraId="14459F6F">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50</w:t>
                  </w:r>
                </w:p>
              </w:tc>
              <w:tc>
                <w:tcPr>
                  <w:tcW w:w="422" w:type="pct"/>
                  <w:tcBorders>
                    <w:tl2br w:val="nil"/>
                    <w:tr2bl w:val="nil"/>
                  </w:tcBorders>
                  <w:noWrap w:val="0"/>
                  <w:vAlign w:val="center"/>
                </w:tcPr>
                <w:p w14:paraId="72D9E58D">
                  <w:pPr>
                    <w:adjustRightInd w:val="0"/>
                    <w:snapToGrid w:val="0"/>
                    <w:spacing w:line="240" w:lineRule="auto"/>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达标</w:t>
                  </w:r>
                </w:p>
              </w:tc>
              <w:tc>
                <w:tcPr>
                  <w:tcW w:w="426" w:type="pct"/>
                  <w:tcBorders>
                    <w:tl2br w:val="nil"/>
                    <w:tr2bl w:val="nil"/>
                  </w:tcBorders>
                  <w:noWrap w:val="0"/>
                  <w:vAlign w:val="center"/>
                </w:tcPr>
                <w:p w14:paraId="259A0BE9">
                  <w:pPr>
                    <w:adjustRightInd w:val="0"/>
                    <w:snapToGrid w:val="0"/>
                    <w:spacing w:line="240" w:lineRule="auto"/>
                    <w:jc w:val="center"/>
                    <w:rPr>
                      <w:rFonts w:hint="default" w:ascii="Times New Roman" w:hAnsi="Times New Roman" w:eastAsia="宋体" w:cs="Times New Roman"/>
                      <w:color w:val="auto"/>
                      <w:sz w:val="21"/>
                      <w:szCs w:val="21"/>
                      <w:u w:val="single" w:color="auto"/>
                      <w:lang w:val="zh-CN" w:eastAsia="zh-CN"/>
                    </w:rPr>
                  </w:pPr>
                  <w:r>
                    <w:rPr>
                      <w:rFonts w:hint="default" w:ascii="Times New Roman" w:hAnsi="Times New Roman" w:eastAsia="宋体" w:cs="Times New Roman"/>
                      <w:color w:val="auto"/>
                      <w:sz w:val="21"/>
                      <w:szCs w:val="21"/>
                      <w:u w:val="single" w:color="auto"/>
                      <w:lang w:val="en-US" w:eastAsia="zh-CN"/>
                    </w:rPr>
                    <w:t>达标</w:t>
                  </w:r>
                </w:p>
              </w:tc>
            </w:tr>
          </w:tbl>
          <w:p w14:paraId="033829C4">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yellow"/>
                <w:u w:val="single" w:color="auto"/>
                <w:lang w:val="en-US" w:eastAsia="zh-CN"/>
              </w:rPr>
            </w:pPr>
            <w:r>
              <w:rPr>
                <w:rFonts w:hint="default" w:ascii="Times New Roman" w:hAnsi="Times New Roman" w:eastAsia="宋体" w:cs="Times New Roman"/>
                <w:color w:val="auto"/>
                <w:sz w:val="24"/>
                <w:szCs w:val="24"/>
                <w:highlight w:val="none"/>
                <w:u w:val="single" w:color="auto"/>
              </w:rPr>
              <w:t>由</w:t>
            </w:r>
            <w:r>
              <w:rPr>
                <w:rFonts w:hint="eastAsia" w:ascii="Times New Roman" w:hAnsi="Times New Roman" w:eastAsia="宋体" w:cs="Times New Roman"/>
                <w:color w:val="auto"/>
                <w:sz w:val="24"/>
                <w:szCs w:val="24"/>
                <w:highlight w:val="none"/>
                <w:u w:val="single" w:color="auto"/>
                <w:lang w:val="en-US" w:eastAsia="zh-CN"/>
              </w:rPr>
              <w:t>预测结果可知</w:t>
            </w:r>
            <w:r>
              <w:rPr>
                <w:rFonts w:hint="default" w:ascii="Times New Roman" w:hAnsi="Times New Roman" w:eastAsia="宋体" w:cs="Times New Roman"/>
                <w:color w:val="auto"/>
                <w:sz w:val="24"/>
                <w:szCs w:val="24"/>
                <w:highlight w:val="none"/>
                <w:u w:val="single" w:color="auto"/>
              </w:rPr>
              <w:t>，</w:t>
            </w:r>
            <w:r>
              <w:rPr>
                <w:rFonts w:hint="eastAsia" w:ascii="Times New Roman" w:hAnsi="Times New Roman" w:eastAsia="宋体" w:cs="Times New Roman"/>
                <w:color w:val="auto"/>
                <w:sz w:val="24"/>
                <w:szCs w:val="24"/>
                <w:highlight w:val="none"/>
                <w:u w:val="single" w:color="auto"/>
                <w:lang w:val="en-US" w:eastAsia="zh-CN"/>
              </w:rPr>
              <w:t>本</w:t>
            </w:r>
            <w:r>
              <w:rPr>
                <w:rFonts w:hint="default" w:ascii="Times New Roman" w:hAnsi="Times New Roman" w:eastAsia="宋体" w:cs="Times New Roman"/>
                <w:color w:val="auto"/>
                <w:sz w:val="24"/>
                <w:szCs w:val="24"/>
                <w:highlight w:val="none"/>
                <w:u w:val="single" w:color="auto"/>
              </w:rPr>
              <w:t>项目运营期</w:t>
            </w:r>
            <w:r>
              <w:rPr>
                <w:rFonts w:hint="eastAsia" w:ascii="Times New Roman" w:hAnsi="Times New Roman" w:eastAsia="宋体" w:cs="Times New Roman"/>
                <w:color w:val="auto"/>
                <w:sz w:val="24"/>
                <w:szCs w:val="24"/>
                <w:highlight w:val="none"/>
                <w:u w:val="single" w:color="auto"/>
                <w:lang w:val="en-US" w:eastAsia="zh-CN"/>
              </w:rPr>
              <w:t>厂界</w:t>
            </w:r>
            <w:r>
              <w:rPr>
                <w:rFonts w:hint="default" w:ascii="Times New Roman" w:hAnsi="Times New Roman" w:eastAsia="宋体" w:cs="Times New Roman"/>
                <w:color w:val="auto"/>
                <w:sz w:val="24"/>
                <w:szCs w:val="24"/>
                <w:highlight w:val="none"/>
                <w:u w:val="single" w:color="auto"/>
                <w:lang w:val="en-US" w:eastAsia="zh-CN"/>
              </w:rPr>
              <w:t>昼间噪声贡献</w:t>
            </w:r>
            <w:r>
              <w:rPr>
                <w:rFonts w:hint="eastAsia" w:ascii="Times New Roman" w:hAnsi="Times New Roman" w:eastAsia="宋体" w:cs="Times New Roman"/>
                <w:color w:val="auto"/>
                <w:sz w:val="24"/>
                <w:szCs w:val="24"/>
                <w:highlight w:val="none"/>
                <w:u w:val="single" w:color="auto"/>
                <w:lang w:val="en-US" w:eastAsia="zh-CN"/>
              </w:rPr>
              <w:t>值</w:t>
            </w:r>
            <w:r>
              <w:rPr>
                <w:rFonts w:hint="default" w:ascii="Times New Roman" w:hAnsi="Times New Roman" w:eastAsia="宋体" w:cs="Times New Roman"/>
                <w:color w:val="auto"/>
                <w:sz w:val="24"/>
                <w:szCs w:val="24"/>
                <w:highlight w:val="none"/>
                <w:u w:val="single" w:color="auto"/>
                <w:lang w:val="en-US" w:eastAsia="zh-CN"/>
              </w:rPr>
              <w:t>均能达到《工业企业厂界环境噪声排放标准》（GB12348-2008）中</w:t>
            </w:r>
            <w:r>
              <w:rPr>
                <w:rFonts w:hint="eastAsia" w:ascii="Times New Roman" w:hAnsi="Times New Roman" w:eastAsia="宋体" w:cs="Times New Roman"/>
                <w:color w:val="auto"/>
                <w:sz w:val="24"/>
                <w:szCs w:val="24"/>
                <w:highlight w:val="none"/>
                <w:u w:val="single" w:color="auto"/>
                <w:lang w:val="en-US" w:eastAsia="zh-CN"/>
              </w:rPr>
              <w:t>的2</w:t>
            </w:r>
            <w:r>
              <w:rPr>
                <w:rFonts w:hint="default" w:ascii="Times New Roman" w:hAnsi="Times New Roman" w:eastAsia="宋体" w:cs="Times New Roman"/>
                <w:color w:val="auto"/>
                <w:sz w:val="24"/>
                <w:szCs w:val="24"/>
                <w:highlight w:val="none"/>
                <w:u w:val="single" w:color="auto"/>
                <w:lang w:val="en-US" w:eastAsia="zh-CN"/>
              </w:rPr>
              <w:t>类标准要求</w:t>
            </w:r>
            <w:r>
              <w:rPr>
                <w:rFonts w:hint="eastAsia" w:ascii="Times New Roman" w:hAnsi="Times New Roman" w:eastAsia="宋体" w:cs="Times New Roman"/>
                <w:color w:val="auto"/>
                <w:sz w:val="24"/>
                <w:szCs w:val="24"/>
                <w:highlight w:val="none"/>
                <w:u w:val="single" w:color="auto"/>
                <w:lang w:val="en-US" w:eastAsia="zh-CN"/>
              </w:rPr>
              <w:t>；根据现场查看，本项目南面8</w:t>
            </w:r>
            <w:r>
              <w:rPr>
                <w:rFonts w:hint="eastAsia" w:cs="Times New Roman"/>
                <w:color w:val="auto"/>
                <w:sz w:val="24"/>
                <w:szCs w:val="24"/>
                <w:highlight w:val="none"/>
                <w:u w:val="single" w:color="auto"/>
                <w:lang w:val="en-US" w:eastAsia="zh-CN"/>
              </w:rPr>
              <w:t>～</w:t>
            </w:r>
            <w:r>
              <w:rPr>
                <w:rFonts w:hint="eastAsia" w:ascii="Times New Roman" w:hAnsi="Times New Roman" w:eastAsia="宋体" w:cs="Times New Roman"/>
                <w:color w:val="auto"/>
                <w:sz w:val="24"/>
                <w:szCs w:val="24"/>
                <w:highlight w:val="none"/>
                <w:u w:val="single" w:color="auto"/>
                <w:lang w:val="en-US" w:eastAsia="zh-CN"/>
              </w:rPr>
              <w:t>40m范围内有</w:t>
            </w:r>
            <w:r>
              <w:rPr>
                <w:rFonts w:hint="eastAsia" w:cs="Times New Roman"/>
                <w:color w:val="auto"/>
                <w:sz w:val="24"/>
                <w:szCs w:val="24"/>
                <w:highlight w:val="none"/>
                <w:u w:val="single" w:color="auto"/>
                <w:lang w:val="en-US" w:eastAsia="zh-CN"/>
              </w:rPr>
              <w:t>5</w:t>
            </w:r>
            <w:r>
              <w:rPr>
                <w:rFonts w:hint="eastAsia" w:ascii="Times New Roman" w:hAnsi="Times New Roman" w:eastAsia="宋体" w:cs="Times New Roman"/>
                <w:color w:val="auto"/>
                <w:sz w:val="24"/>
                <w:szCs w:val="24"/>
                <w:highlight w:val="none"/>
                <w:u w:val="single" w:color="auto"/>
                <w:lang w:val="en-US" w:eastAsia="zh-CN"/>
              </w:rPr>
              <w:t>户飞龙村散户居民。根据预测结果可知，本项目南面8</w:t>
            </w:r>
            <w:r>
              <w:rPr>
                <w:rFonts w:hint="eastAsia" w:cs="Times New Roman"/>
                <w:color w:val="auto"/>
                <w:sz w:val="24"/>
                <w:szCs w:val="24"/>
                <w:highlight w:val="none"/>
                <w:u w:val="single" w:color="auto"/>
                <w:lang w:val="en-US" w:eastAsia="zh-CN"/>
              </w:rPr>
              <w:t>～</w:t>
            </w:r>
            <w:r>
              <w:rPr>
                <w:rFonts w:hint="eastAsia" w:ascii="Times New Roman" w:hAnsi="Times New Roman" w:eastAsia="宋体" w:cs="Times New Roman"/>
                <w:color w:val="auto"/>
                <w:sz w:val="24"/>
                <w:szCs w:val="24"/>
                <w:highlight w:val="none"/>
                <w:u w:val="single" w:color="auto"/>
                <w:lang w:val="en-US" w:eastAsia="zh-CN"/>
              </w:rPr>
              <w:t>40m内4户飞龙村散户居民所受本项目噪声贡献值与背景噪声值叠加后的预测值可满足《声环境质量标准》(GB3096-2008)中的2类标准要求。因此，本项目营运期噪声对周边声环境敏感点的影响较小。</w:t>
            </w:r>
          </w:p>
          <w:p w14:paraId="1C78A6C7">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4、噪声监测计划</w:t>
            </w:r>
          </w:p>
          <w:p w14:paraId="57B7E0D4">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为了确保噪声控制措施有效运行，建议项目运行后，对声环境进行定期监测</w:t>
            </w:r>
            <w:r>
              <w:rPr>
                <w:rFonts w:hint="eastAsia" w:ascii="Times New Roman" w:hAnsi="Times New Roman" w:eastAsia="宋体" w:cs="Times New Roman"/>
                <w:color w:val="auto"/>
                <w:sz w:val="24"/>
                <w:szCs w:val="24"/>
                <w:highlight w:val="none"/>
                <w:u w:val="none" w:color="auto"/>
                <w:lang w:eastAsia="zh-CN"/>
              </w:rPr>
              <w:t>，</w:t>
            </w:r>
            <w:r>
              <w:rPr>
                <w:rFonts w:hint="eastAsia" w:ascii="Times New Roman" w:hAnsi="Times New Roman" w:eastAsia="宋体" w:cs="Times New Roman"/>
                <w:color w:val="auto"/>
                <w:sz w:val="24"/>
                <w:szCs w:val="24"/>
                <w:highlight w:val="none"/>
                <w:u w:val="none" w:color="auto"/>
                <w:lang w:val="en-US" w:eastAsia="zh-CN"/>
              </w:rPr>
              <w:t>噪声自行监测要求见下表</w:t>
            </w:r>
            <w:r>
              <w:rPr>
                <w:rFonts w:hint="default" w:ascii="Times New Roman" w:hAnsi="Times New Roman" w:eastAsia="宋体" w:cs="Times New Roman"/>
                <w:color w:val="auto"/>
                <w:sz w:val="24"/>
                <w:szCs w:val="24"/>
                <w:highlight w:val="none"/>
                <w:u w:val="none" w:color="auto"/>
              </w:rPr>
              <w:t>。</w:t>
            </w:r>
          </w:p>
          <w:p w14:paraId="7AB892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bCs/>
                <w:color w:val="auto"/>
                <w:sz w:val="21"/>
                <w:szCs w:val="21"/>
                <w:highlight w:val="none"/>
                <w:u w:val="none" w:color="auto"/>
                <w:lang w:val="en-US" w:eastAsia="zh-CN"/>
              </w:rPr>
            </w:pPr>
            <w:r>
              <w:rPr>
                <w:rFonts w:hint="default" w:ascii="Times New Roman" w:hAnsi="Times New Roman" w:eastAsia="宋体" w:cs="Times New Roman"/>
                <w:b/>
                <w:bCs/>
                <w:color w:val="auto"/>
                <w:sz w:val="21"/>
                <w:szCs w:val="21"/>
                <w:highlight w:val="none"/>
                <w:u w:val="none" w:color="auto"/>
                <w:lang w:val="en-US" w:eastAsia="zh-CN"/>
              </w:rPr>
              <w:t>表4-</w:t>
            </w:r>
            <w:r>
              <w:rPr>
                <w:rFonts w:hint="eastAsia" w:ascii="Times New Roman" w:hAnsi="Times New Roman" w:eastAsia="宋体" w:cs="Times New Roman"/>
                <w:b/>
                <w:bCs/>
                <w:color w:val="auto"/>
                <w:sz w:val="21"/>
                <w:szCs w:val="21"/>
                <w:highlight w:val="none"/>
                <w:u w:val="none" w:color="auto"/>
                <w:lang w:val="en-US" w:eastAsia="zh-CN"/>
              </w:rPr>
              <w:t>1</w:t>
            </w:r>
            <w:r>
              <w:rPr>
                <w:rFonts w:hint="eastAsia" w:cs="Times New Roman"/>
                <w:b/>
                <w:bCs/>
                <w:color w:val="auto"/>
                <w:sz w:val="21"/>
                <w:szCs w:val="21"/>
                <w:highlight w:val="none"/>
                <w:u w:val="none" w:color="auto"/>
                <w:lang w:val="en-US" w:eastAsia="zh-CN"/>
              </w:rPr>
              <w:t>6</w:t>
            </w:r>
            <w:r>
              <w:rPr>
                <w:rFonts w:hint="default" w:ascii="Times New Roman" w:hAnsi="Times New Roman" w:eastAsia="宋体" w:cs="Times New Roman"/>
                <w:b/>
                <w:bCs/>
                <w:color w:val="auto"/>
                <w:sz w:val="21"/>
                <w:szCs w:val="21"/>
                <w:highlight w:val="none"/>
                <w:u w:val="none" w:color="auto"/>
                <w:lang w:val="en-US" w:eastAsia="zh-CN"/>
              </w:rPr>
              <w:t xml:space="preserve">   </w:t>
            </w:r>
            <w:r>
              <w:rPr>
                <w:rFonts w:hint="eastAsia" w:ascii="Times New Roman" w:hAnsi="Times New Roman" w:eastAsia="宋体" w:cs="Times New Roman"/>
                <w:b/>
                <w:bCs/>
                <w:color w:val="auto"/>
                <w:sz w:val="21"/>
                <w:szCs w:val="21"/>
                <w:highlight w:val="none"/>
                <w:u w:val="none" w:color="auto"/>
                <w:lang w:val="en-US" w:eastAsia="zh-CN"/>
              </w:rPr>
              <w:t>噪声</w:t>
            </w:r>
            <w:r>
              <w:rPr>
                <w:rFonts w:hint="default" w:ascii="Times New Roman" w:hAnsi="Times New Roman" w:eastAsia="宋体" w:cs="Times New Roman"/>
                <w:b/>
                <w:bCs/>
                <w:color w:val="auto"/>
                <w:sz w:val="21"/>
                <w:szCs w:val="21"/>
                <w:highlight w:val="none"/>
                <w:u w:val="none" w:color="auto"/>
                <w:lang w:val="en-US" w:eastAsia="zh-CN"/>
              </w:rPr>
              <w:t>自行监测要求</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3486"/>
              <w:gridCol w:w="2004"/>
              <w:gridCol w:w="1676"/>
            </w:tblGrid>
            <w:tr w14:paraId="0011E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5" w:type="pct"/>
                  <w:noWrap w:val="0"/>
                  <w:vAlign w:val="top"/>
                </w:tcPr>
                <w:p w14:paraId="2D778217">
                  <w:pPr>
                    <w:keepNext w:val="0"/>
                    <w:keepLines w:val="0"/>
                    <w:pageBreakBefore w:val="0"/>
                    <w:kinsoku/>
                    <w:wordWrap/>
                    <w:overflowPunct/>
                    <w:topLinePunct w:val="0"/>
                    <w:autoSpaceDE w:val="0"/>
                    <w:autoSpaceDN w:val="0"/>
                    <w:bidi w:val="0"/>
                    <w:adjustRightInd w:val="0"/>
                    <w:snapToGrid/>
                    <w:spacing w:line="320" w:lineRule="exact"/>
                    <w:jc w:val="center"/>
                    <w:textAlignment w:val="auto"/>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内容</w:t>
                  </w:r>
                </w:p>
              </w:tc>
              <w:tc>
                <w:tcPr>
                  <w:tcW w:w="2079" w:type="pct"/>
                  <w:noWrap w:val="0"/>
                  <w:vAlign w:val="top"/>
                </w:tcPr>
                <w:p w14:paraId="6F374DF4">
                  <w:pPr>
                    <w:keepNext w:val="0"/>
                    <w:keepLines w:val="0"/>
                    <w:pageBreakBefore w:val="0"/>
                    <w:kinsoku/>
                    <w:wordWrap/>
                    <w:overflowPunct/>
                    <w:topLinePunct w:val="0"/>
                    <w:autoSpaceDE w:val="0"/>
                    <w:autoSpaceDN w:val="0"/>
                    <w:bidi w:val="0"/>
                    <w:adjustRightInd w:val="0"/>
                    <w:snapToGrid/>
                    <w:spacing w:line="320" w:lineRule="exact"/>
                    <w:jc w:val="center"/>
                    <w:textAlignment w:val="auto"/>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监测点位</w:t>
                  </w:r>
                </w:p>
              </w:tc>
              <w:tc>
                <w:tcPr>
                  <w:tcW w:w="1195" w:type="pct"/>
                  <w:noWrap w:val="0"/>
                  <w:vAlign w:val="top"/>
                </w:tcPr>
                <w:p w14:paraId="55ADB1C3">
                  <w:pPr>
                    <w:keepNext w:val="0"/>
                    <w:keepLines w:val="0"/>
                    <w:pageBreakBefore w:val="0"/>
                    <w:kinsoku/>
                    <w:wordWrap/>
                    <w:overflowPunct/>
                    <w:topLinePunct w:val="0"/>
                    <w:autoSpaceDE w:val="0"/>
                    <w:autoSpaceDN w:val="0"/>
                    <w:bidi w:val="0"/>
                    <w:adjustRightInd w:val="0"/>
                    <w:snapToGrid/>
                    <w:spacing w:line="320" w:lineRule="exact"/>
                    <w:jc w:val="center"/>
                    <w:textAlignment w:val="auto"/>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监测项目</w:t>
                  </w:r>
                </w:p>
              </w:tc>
              <w:tc>
                <w:tcPr>
                  <w:tcW w:w="999" w:type="pct"/>
                  <w:noWrap w:val="0"/>
                  <w:vAlign w:val="top"/>
                </w:tcPr>
                <w:p w14:paraId="3AA25945">
                  <w:pPr>
                    <w:keepNext w:val="0"/>
                    <w:keepLines w:val="0"/>
                    <w:pageBreakBefore w:val="0"/>
                    <w:kinsoku/>
                    <w:wordWrap/>
                    <w:overflowPunct/>
                    <w:topLinePunct w:val="0"/>
                    <w:autoSpaceDE w:val="0"/>
                    <w:autoSpaceDN w:val="0"/>
                    <w:bidi w:val="0"/>
                    <w:adjustRightInd w:val="0"/>
                    <w:snapToGrid/>
                    <w:spacing w:line="320" w:lineRule="exact"/>
                    <w:jc w:val="center"/>
                    <w:textAlignment w:val="auto"/>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监测频次</w:t>
                  </w:r>
                </w:p>
              </w:tc>
            </w:tr>
            <w:tr w14:paraId="7F2A3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5" w:type="pct"/>
                  <w:noWrap w:val="0"/>
                  <w:vAlign w:val="center"/>
                </w:tcPr>
                <w:p w14:paraId="20033830">
                  <w:pPr>
                    <w:keepNext w:val="0"/>
                    <w:keepLines w:val="0"/>
                    <w:pageBreakBefore w:val="0"/>
                    <w:kinsoku/>
                    <w:wordWrap/>
                    <w:overflowPunct/>
                    <w:topLinePunct w:val="0"/>
                    <w:bidi w:val="0"/>
                    <w:snapToGrid/>
                    <w:spacing w:line="320" w:lineRule="exact"/>
                    <w:jc w:val="center"/>
                    <w:textAlignment w:val="auto"/>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厂界</w:t>
                  </w:r>
                </w:p>
              </w:tc>
              <w:tc>
                <w:tcPr>
                  <w:tcW w:w="2079" w:type="pct"/>
                  <w:noWrap w:val="0"/>
                  <w:vAlign w:val="bottom"/>
                </w:tcPr>
                <w:p w14:paraId="73630133">
                  <w:pPr>
                    <w:keepNext w:val="0"/>
                    <w:keepLines w:val="0"/>
                    <w:pageBreakBefore w:val="0"/>
                    <w:widowControl/>
                    <w:kinsoku/>
                    <w:wordWrap/>
                    <w:overflowPunct/>
                    <w:topLinePunct w:val="0"/>
                    <w:bidi w:val="0"/>
                    <w:snapToGrid/>
                    <w:spacing w:line="320" w:lineRule="exact"/>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rPr>
                    <w:t>东、南、西、北厂界外1米处</w:t>
                  </w:r>
                </w:p>
              </w:tc>
              <w:tc>
                <w:tcPr>
                  <w:tcW w:w="1195" w:type="pct"/>
                  <w:noWrap w:val="0"/>
                  <w:vAlign w:val="center"/>
                </w:tcPr>
                <w:p w14:paraId="5ACE14BE">
                  <w:pPr>
                    <w:keepNext w:val="0"/>
                    <w:keepLines w:val="0"/>
                    <w:pageBreakBefore w:val="0"/>
                    <w:kinsoku/>
                    <w:wordWrap/>
                    <w:overflowPunct/>
                    <w:topLinePunct w:val="0"/>
                    <w:bidi w:val="0"/>
                    <w:snapToGrid/>
                    <w:spacing w:line="320" w:lineRule="exact"/>
                    <w:jc w:val="center"/>
                    <w:textAlignment w:val="auto"/>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连续等效A声级</w:t>
                  </w:r>
                </w:p>
              </w:tc>
              <w:tc>
                <w:tcPr>
                  <w:tcW w:w="999" w:type="pct"/>
                  <w:noWrap w:val="0"/>
                  <w:vAlign w:val="center"/>
                </w:tcPr>
                <w:p w14:paraId="75D5B018">
                  <w:pPr>
                    <w:keepNext w:val="0"/>
                    <w:keepLines w:val="0"/>
                    <w:pageBreakBefore w:val="0"/>
                    <w:kinsoku/>
                    <w:wordWrap/>
                    <w:overflowPunct/>
                    <w:topLinePunct w:val="0"/>
                    <w:bidi w:val="0"/>
                    <w:snapToGrid/>
                    <w:spacing w:line="320" w:lineRule="exact"/>
                    <w:jc w:val="center"/>
                    <w:textAlignment w:val="auto"/>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1次/季度</w:t>
                  </w:r>
                </w:p>
              </w:tc>
            </w:tr>
          </w:tbl>
          <w:p w14:paraId="411D603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4.4</w:t>
            </w:r>
            <w:r>
              <w:rPr>
                <w:rFonts w:hint="default" w:ascii="Times New Roman" w:hAnsi="Times New Roman" w:eastAsia="宋体" w:cs="Times New Roman"/>
                <w:b/>
                <w:bCs/>
                <w:color w:val="auto"/>
                <w:sz w:val="24"/>
                <w:szCs w:val="24"/>
                <w:highlight w:val="none"/>
                <w:u w:val="none" w:color="auto"/>
                <w:lang w:val="en-US" w:eastAsia="zh-CN"/>
              </w:rPr>
              <w:t>、固体废物环境影响分析</w:t>
            </w:r>
          </w:p>
          <w:p w14:paraId="40BE6EED">
            <w:pPr>
              <w:keepNext w:val="0"/>
              <w:keepLines w:val="0"/>
              <w:pageBreakBefore w:val="0"/>
              <w:widowControl w:val="0"/>
              <w:kinsoku/>
              <w:wordWrap/>
              <w:overflowPunct/>
              <w:topLinePunct w:val="0"/>
              <w:autoSpaceDE/>
              <w:autoSpaceDN/>
              <w:bidi w:val="0"/>
              <w:spacing w:line="420" w:lineRule="exact"/>
              <w:ind w:left="0" w:leftChars="0" w:firstLine="482" w:firstLineChars="200"/>
              <w:jc w:val="both"/>
              <w:textAlignment w:val="auto"/>
              <w:rPr>
                <w:rFonts w:hint="default" w:ascii="Times New Roman" w:hAnsi="Times New Roman" w:eastAsia="宋体" w:cs="Times New Roman"/>
                <w:b/>
                <w:bCs/>
                <w:color w:val="auto"/>
                <w:kern w:val="0"/>
                <w:sz w:val="24"/>
                <w:szCs w:val="24"/>
                <w:highlight w:val="none"/>
                <w:u w:val="none" w:color="auto"/>
                <w:lang w:val="zh-CN" w:eastAsia="zh-CN"/>
              </w:rPr>
            </w:pPr>
            <w:r>
              <w:rPr>
                <w:rFonts w:hint="default" w:ascii="Times New Roman" w:hAnsi="Times New Roman" w:eastAsia="宋体" w:cs="Times New Roman"/>
                <w:b/>
                <w:bCs/>
                <w:color w:val="auto"/>
                <w:kern w:val="0"/>
                <w:sz w:val="24"/>
                <w:szCs w:val="24"/>
                <w:highlight w:val="none"/>
                <w:u w:val="none" w:color="auto"/>
                <w:lang w:val="en-US" w:eastAsia="zh-CN"/>
              </w:rPr>
              <w:t>1、固体废物</w:t>
            </w:r>
            <w:r>
              <w:rPr>
                <w:rFonts w:hint="default" w:ascii="Times New Roman" w:hAnsi="Times New Roman" w:eastAsia="宋体" w:cs="Times New Roman"/>
                <w:b/>
                <w:bCs/>
                <w:color w:val="auto"/>
                <w:kern w:val="0"/>
                <w:sz w:val="24"/>
                <w:szCs w:val="24"/>
                <w:highlight w:val="none"/>
                <w:u w:val="none" w:color="auto"/>
                <w:lang w:val="zh-CN" w:eastAsia="zh-CN"/>
              </w:rPr>
              <w:t>产生及处置情况</w:t>
            </w:r>
          </w:p>
          <w:p w14:paraId="1798EDE3">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本工程产生的固体废物主要分为两大类：生产废弃物（包括一般废弃物和危险废物）和生活垃圾。达产后，产生情况及处置措施如下：</w:t>
            </w:r>
          </w:p>
          <w:p w14:paraId="3367CEEF">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（1）生产废弃物</w:t>
            </w:r>
          </w:p>
          <w:p w14:paraId="17BE738B">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1）一般工业</w:t>
            </w:r>
            <w:r>
              <w:rPr>
                <w:rFonts w:hint="default" w:ascii="Times New Roman" w:hAnsi="Times New Roman" w:eastAsia="宋体" w:cs="Times New Roman"/>
                <w:color w:val="auto"/>
                <w:sz w:val="24"/>
                <w:szCs w:val="24"/>
                <w:highlight w:val="none"/>
                <w:u w:val="none" w:color="auto"/>
                <w:lang w:val="en-US" w:eastAsia="zh-CN"/>
              </w:rPr>
              <w:t>固体废物</w:t>
            </w:r>
          </w:p>
          <w:p w14:paraId="20211B4F">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rPr>
              <w:t>①</w:t>
            </w:r>
            <w:r>
              <w:rPr>
                <w:rFonts w:hint="default" w:ascii="Times New Roman" w:hAnsi="Times New Roman" w:eastAsia="宋体" w:cs="Times New Roman"/>
                <w:color w:val="auto"/>
                <w:sz w:val="24"/>
                <w:szCs w:val="24"/>
                <w:highlight w:val="none"/>
                <w:u w:val="none" w:color="auto"/>
                <w:lang w:val="en-US" w:eastAsia="zh-CN"/>
              </w:rPr>
              <w:t>废</w:t>
            </w:r>
            <w:r>
              <w:rPr>
                <w:rFonts w:hint="eastAsia" w:ascii="Times New Roman" w:hAnsi="Times New Roman" w:cs="Times New Roman"/>
                <w:color w:val="auto"/>
                <w:sz w:val="24"/>
                <w:szCs w:val="24"/>
                <w:highlight w:val="none"/>
                <w:u w:val="none" w:color="auto"/>
                <w:lang w:val="en-US" w:eastAsia="zh-CN"/>
              </w:rPr>
              <w:t>金属</w:t>
            </w:r>
            <w:r>
              <w:rPr>
                <w:rFonts w:hint="default" w:ascii="Times New Roman" w:hAnsi="Times New Roman" w:eastAsia="宋体" w:cs="Times New Roman"/>
                <w:color w:val="auto"/>
                <w:sz w:val="24"/>
                <w:szCs w:val="24"/>
                <w:highlight w:val="none"/>
                <w:u w:val="none" w:color="auto"/>
                <w:lang w:val="en-US" w:eastAsia="zh-CN"/>
              </w:rPr>
              <w:t>边角料</w:t>
            </w:r>
            <w:r>
              <w:rPr>
                <w:rFonts w:hint="eastAsia" w:ascii="Times New Roman" w:hAnsi="Times New Roman" w:eastAsia="宋体" w:cs="Times New Roman"/>
                <w:color w:val="auto"/>
                <w:sz w:val="24"/>
                <w:szCs w:val="24"/>
                <w:highlight w:val="none"/>
                <w:u w:val="none" w:color="auto"/>
                <w:lang w:val="en-US" w:eastAsia="zh-CN"/>
              </w:rPr>
              <w:t>（含碎屑）</w:t>
            </w:r>
          </w:p>
          <w:p w14:paraId="0C280AD7">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eastAsia" w:ascii="Times New Roman" w:hAnsi="Times New Roman" w:cs="Times New Roman"/>
                <w:color w:val="auto"/>
                <w:sz w:val="24"/>
                <w:szCs w:val="24"/>
                <w:highlight w:val="none"/>
                <w:u w:val="none" w:color="auto"/>
                <w:lang w:val="zh-CN" w:eastAsia="zh-CN"/>
              </w:rPr>
            </w:pPr>
            <w:r>
              <w:rPr>
                <w:rFonts w:hint="eastAsia" w:ascii="Times New Roman" w:hAnsi="Times New Roman" w:cs="Times New Roman"/>
                <w:bCs/>
                <w:color w:val="auto"/>
                <w:sz w:val="24"/>
                <w:szCs w:val="24"/>
                <w:highlight w:val="none"/>
                <w:u w:val="none" w:color="auto"/>
                <w:lang w:val="en-US" w:eastAsia="zh-CN"/>
              </w:rPr>
              <w:t>风扇风罩下料切割</w:t>
            </w:r>
            <w:r>
              <w:rPr>
                <w:rFonts w:hint="default" w:ascii="Times New Roman" w:hAnsi="Times New Roman" w:eastAsia="宋体" w:cs="Times New Roman"/>
                <w:bCs/>
                <w:color w:val="auto"/>
                <w:sz w:val="24"/>
                <w:szCs w:val="24"/>
                <w:highlight w:val="none"/>
                <w:u w:val="none" w:color="auto"/>
              </w:rPr>
              <w:t>过程会产生剩余</w:t>
            </w:r>
            <w:r>
              <w:rPr>
                <w:rFonts w:hint="eastAsia" w:ascii="Times New Roman" w:hAnsi="Times New Roman" w:cs="Times New Roman"/>
                <w:bCs/>
                <w:color w:val="auto"/>
                <w:sz w:val="24"/>
                <w:szCs w:val="24"/>
                <w:highlight w:val="none"/>
                <w:u w:val="none" w:color="auto"/>
                <w:lang w:val="en-US" w:eastAsia="zh-CN"/>
              </w:rPr>
              <w:t>废金属</w:t>
            </w:r>
            <w:r>
              <w:rPr>
                <w:rFonts w:hint="default" w:ascii="Times New Roman" w:hAnsi="Times New Roman" w:eastAsia="宋体" w:cs="Times New Roman"/>
                <w:bCs/>
                <w:color w:val="auto"/>
                <w:sz w:val="24"/>
                <w:szCs w:val="24"/>
                <w:highlight w:val="none"/>
                <w:u w:val="none" w:color="auto"/>
              </w:rPr>
              <w:t>边角料</w:t>
            </w:r>
            <w:r>
              <w:rPr>
                <w:rFonts w:hint="eastAsia" w:ascii="Times New Roman" w:hAnsi="Times New Roman" w:eastAsia="宋体" w:cs="Times New Roman"/>
                <w:bCs/>
                <w:color w:val="auto"/>
                <w:sz w:val="24"/>
                <w:szCs w:val="24"/>
                <w:highlight w:val="none"/>
                <w:u w:val="none" w:color="auto"/>
                <w:lang w:eastAsia="zh-CN"/>
              </w:rPr>
              <w:t>（</w:t>
            </w:r>
            <w:r>
              <w:rPr>
                <w:rFonts w:hint="eastAsia" w:ascii="Times New Roman" w:hAnsi="Times New Roman" w:eastAsia="宋体" w:cs="Times New Roman"/>
                <w:bCs/>
                <w:color w:val="auto"/>
                <w:sz w:val="24"/>
                <w:szCs w:val="24"/>
                <w:highlight w:val="none"/>
                <w:u w:val="none" w:color="auto"/>
                <w:lang w:val="en-US" w:eastAsia="zh-CN"/>
              </w:rPr>
              <w:t>包括碎屑</w:t>
            </w:r>
            <w:r>
              <w:rPr>
                <w:rFonts w:hint="eastAsia" w:ascii="Times New Roman" w:hAnsi="Times New Roman" w:eastAsia="宋体" w:cs="Times New Roman"/>
                <w:bCs/>
                <w:color w:val="auto"/>
                <w:sz w:val="24"/>
                <w:szCs w:val="24"/>
                <w:highlight w:val="none"/>
                <w:u w:val="none" w:color="auto"/>
                <w:lang w:eastAsia="zh-CN"/>
              </w:rPr>
              <w:t>）</w:t>
            </w:r>
            <w:r>
              <w:rPr>
                <w:rFonts w:hint="default" w:ascii="Times New Roman" w:hAnsi="Times New Roman" w:eastAsia="宋体" w:cs="Times New Roman"/>
                <w:bCs/>
                <w:color w:val="auto"/>
                <w:sz w:val="24"/>
                <w:szCs w:val="24"/>
                <w:highlight w:val="none"/>
                <w:u w:val="none" w:color="auto"/>
              </w:rPr>
              <w:t>，</w:t>
            </w:r>
            <w:r>
              <w:rPr>
                <w:rFonts w:hint="eastAsia" w:ascii="Times New Roman" w:hAnsi="Times New Roman" w:eastAsia="宋体" w:cs="Times New Roman"/>
                <w:bCs/>
                <w:color w:val="auto"/>
                <w:sz w:val="24"/>
                <w:szCs w:val="24"/>
                <w:highlight w:val="none"/>
                <w:u w:val="none" w:color="auto"/>
                <w:lang w:val="en-US" w:eastAsia="zh-CN"/>
              </w:rPr>
              <w:t>根据建设单位提供资料，废边角料产生量约</w:t>
            </w:r>
            <w:r>
              <w:rPr>
                <w:rFonts w:hint="eastAsia" w:ascii="Times New Roman" w:hAnsi="Times New Roman" w:cs="Times New Roman"/>
                <w:bCs/>
                <w:color w:val="auto"/>
                <w:sz w:val="24"/>
                <w:szCs w:val="24"/>
                <w:highlight w:val="none"/>
                <w:u w:val="none" w:color="auto"/>
                <w:lang w:val="en-US" w:eastAsia="zh-CN"/>
              </w:rPr>
              <w:t>0.5</w:t>
            </w:r>
            <w:r>
              <w:rPr>
                <w:rFonts w:hint="default" w:ascii="Times New Roman" w:hAnsi="Times New Roman" w:eastAsia="宋体" w:cs="Times New Roman"/>
                <w:bCs/>
                <w:color w:val="auto"/>
                <w:sz w:val="24"/>
                <w:szCs w:val="24"/>
                <w:highlight w:val="none"/>
                <w:u w:val="none" w:color="auto"/>
              </w:rPr>
              <w:t>t/a，</w:t>
            </w:r>
            <w:r>
              <w:rPr>
                <w:rFonts w:hint="default" w:ascii="Times New Roman" w:hAnsi="Times New Roman" w:eastAsia="宋体" w:cs="Times New Roman"/>
                <w:color w:val="auto"/>
                <w:sz w:val="24"/>
                <w:szCs w:val="24"/>
                <w:highlight w:val="none"/>
                <w:u w:val="none" w:color="auto"/>
                <w:lang w:val="zh-CN"/>
              </w:rPr>
              <w:t>属于</w:t>
            </w:r>
            <w:r>
              <w:rPr>
                <w:rFonts w:hint="default" w:ascii="Times New Roman" w:hAnsi="Times New Roman" w:eastAsia="宋体" w:cs="Times New Roman"/>
                <w:color w:val="auto"/>
                <w:sz w:val="24"/>
                <w:szCs w:val="24"/>
                <w:highlight w:val="none"/>
                <w:u w:val="none" w:color="auto"/>
                <w:lang w:val="en-US" w:eastAsia="zh-CN"/>
              </w:rPr>
              <w:t>一般工业固体废物</w:t>
            </w:r>
            <w:r>
              <w:rPr>
                <w:rFonts w:hint="eastAsia" w:ascii="Times New Roman" w:hAnsi="Times New Roman" w:cs="Times New Roman"/>
                <w:color w:val="auto"/>
                <w:sz w:val="24"/>
                <w:szCs w:val="24"/>
                <w:highlight w:val="none"/>
                <w:u w:val="none" w:color="auto"/>
                <w:lang w:val="en-US" w:eastAsia="zh-CN"/>
              </w:rPr>
              <w:t>，收集后</w:t>
            </w:r>
            <w:r>
              <w:rPr>
                <w:rFonts w:hint="default" w:ascii="Times New Roman" w:hAnsi="Times New Roman" w:eastAsia="宋体" w:cs="Times New Roman"/>
                <w:color w:val="auto"/>
                <w:sz w:val="24"/>
                <w:szCs w:val="24"/>
                <w:highlight w:val="none"/>
                <w:u w:val="none" w:color="auto"/>
              </w:rPr>
              <w:t>外售综合利用</w:t>
            </w:r>
            <w:r>
              <w:rPr>
                <w:rFonts w:hint="eastAsia" w:ascii="Times New Roman" w:hAnsi="Times New Roman" w:cs="Times New Roman"/>
                <w:color w:val="auto"/>
                <w:sz w:val="24"/>
                <w:szCs w:val="24"/>
                <w:highlight w:val="none"/>
                <w:u w:val="none" w:color="auto"/>
                <w:lang w:val="zh-CN"/>
              </w:rPr>
              <w:t>。</w:t>
            </w:r>
            <w:r>
              <w:rPr>
                <w:rFonts w:hint="eastAsia" w:ascii="Times New Roman" w:hAnsi="Times New Roman" w:cs="Times New Roman"/>
                <w:color w:val="auto"/>
                <w:sz w:val="24"/>
                <w:szCs w:val="24"/>
                <w:highlight w:val="none"/>
                <w:u w:val="none" w:color="auto"/>
                <w:lang w:val="zh-CN" w:eastAsia="zh-CN"/>
              </w:rPr>
              <w:t>查阅《固体废物分类与代码目录》公告2024年第4号可知，</w:t>
            </w:r>
            <w:r>
              <w:rPr>
                <w:rFonts w:hint="eastAsia" w:ascii="Times New Roman" w:hAnsi="Times New Roman" w:cs="Times New Roman"/>
                <w:bCs/>
                <w:color w:val="auto"/>
                <w:sz w:val="24"/>
                <w:szCs w:val="24"/>
                <w:highlight w:val="none"/>
                <w:u w:val="none" w:color="auto"/>
                <w:lang w:val="en-US" w:eastAsia="zh-CN"/>
              </w:rPr>
              <w:t>废金属</w:t>
            </w:r>
            <w:r>
              <w:rPr>
                <w:rFonts w:hint="default" w:ascii="Times New Roman" w:hAnsi="Times New Roman" w:eastAsia="宋体" w:cs="Times New Roman"/>
                <w:bCs/>
                <w:color w:val="auto"/>
                <w:sz w:val="24"/>
                <w:szCs w:val="24"/>
                <w:highlight w:val="none"/>
                <w:u w:val="none" w:color="auto"/>
              </w:rPr>
              <w:t>边角料</w:t>
            </w:r>
            <w:r>
              <w:rPr>
                <w:rFonts w:hint="eastAsia" w:ascii="Times New Roman" w:hAnsi="Times New Roman" w:cs="Times New Roman"/>
                <w:color w:val="auto"/>
                <w:sz w:val="24"/>
                <w:szCs w:val="24"/>
                <w:highlight w:val="none"/>
                <w:u w:val="none" w:color="auto"/>
                <w:lang w:val="zh-CN" w:eastAsia="zh-CN"/>
              </w:rPr>
              <w:t>属于SW</w:t>
            </w:r>
            <w:r>
              <w:rPr>
                <w:rFonts w:hint="eastAsia" w:ascii="Times New Roman" w:hAnsi="Times New Roman" w:cs="Times New Roman"/>
                <w:color w:val="auto"/>
                <w:sz w:val="24"/>
                <w:szCs w:val="24"/>
                <w:highlight w:val="none"/>
                <w:u w:val="none" w:color="auto"/>
                <w:lang w:val="en-US" w:eastAsia="zh-CN"/>
              </w:rPr>
              <w:t xml:space="preserve">17 可再生类废物 </w:t>
            </w:r>
            <w:r>
              <w:rPr>
                <w:rFonts w:hint="eastAsia" w:ascii="Times New Roman" w:hAnsi="Times New Roman" w:cs="Times New Roman"/>
                <w:color w:val="auto"/>
                <w:sz w:val="24"/>
                <w:szCs w:val="24"/>
                <w:highlight w:val="none"/>
                <w:u w:val="none" w:color="auto"/>
                <w:lang w:val="zh-CN" w:eastAsia="zh-CN"/>
              </w:rPr>
              <w:t>900-001-S</w:t>
            </w:r>
            <w:r>
              <w:rPr>
                <w:rFonts w:hint="eastAsia" w:ascii="Times New Roman" w:hAnsi="Times New Roman" w:cs="Times New Roman"/>
                <w:color w:val="auto"/>
                <w:sz w:val="24"/>
                <w:szCs w:val="24"/>
                <w:highlight w:val="none"/>
                <w:u w:val="none" w:color="auto"/>
                <w:lang w:val="en-US" w:eastAsia="zh-CN"/>
              </w:rPr>
              <w:t>17</w:t>
            </w:r>
            <w:r>
              <w:rPr>
                <w:rFonts w:hint="eastAsia" w:ascii="Times New Roman" w:hAnsi="Times New Roman" w:cs="Times New Roman"/>
                <w:color w:val="auto"/>
                <w:sz w:val="24"/>
                <w:szCs w:val="24"/>
                <w:highlight w:val="none"/>
                <w:u w:val="none" w:color="auto"/>
                <w:lang w:val="zh-CN" w:eastAsia="zh-CN"/>
              </w:rPr>
              <w:t>。</w:t>
            </w:r>
          </w:p>
          <w:p w14:paraId="74698A1C">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②</w:t>
            </w:r>
            <w:r>
              <w:rPr>
                <w:rFonts w:hint="default" w:ascii="Times New Roman" w:hAnsi="Times New Roman" w:eastAsia="宋体" w:cs="Times New Roman"/>
                <w:color w:val="auto"/>
                <w:sz w:val="24"/>
                <w:szCs w:val="24"/>
                <w:highlight w:val="none"/>
                <w:u w:val="none" w:color="auto"/>
                <w:lang w:val="en-US" w:eastAsia="zh-CN"/>
              </w:rPr>
              <w:t>废焊丝、废焊渣</w:t>
            </w:r>
          </w:p>
          <w:p w14:paraId="73422959">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eastAsia="宋体" w:cs="Times New Roman"/>
                <w:bCs/>
                <w:color w:val="auto"/>
                <w:sz w:val="24"/>
                <w:szCs w:val="24"/>
                <w:highlight w:val="none"/>
                <w:u w:val="none" w:color="auto"/>
              </w:rPr>
            </w:pPr>
            <w:r>
              <w:rPr>
                <w:rFonts w:hint="eastAsia" w:ascii="Times New Roman" w:hAnsi="Times New Roman" w:eastAsia="宋体" w:cs="Times New Roman"/>
                <w:bCs/>
                <w:color w:val="auto"/>
                <w:sz w:val="24"/>
                <w:szCs w:val="24"/>
                <w:highlight w:val="none"/>
                <w:u w:val="none" w:color="auto"/>
                <w:lang w:val="en-US" w:eastAsia="zh-CN"/>
              </w:rPr>
              <w:t>根据建设单位提供资料，</w:t>
            </w:r>
            <w:r>
              <w:rPr>
                <w:rFonts w:hint="default" w:ascii="Times New Roman" w:hAnsi="Times New Roman" w:eastAsia="宋体" w:cs="Times New Roman"/>
                <w:bCs/>
                <w:color w:val="auto"/>
                <w:sz w:val="24"/>
                <w:szCs w:val="24"/>
                <w:highlight w:val="none"/>
                <w:u w:val="none" w:color="auto"/>
              </w:rPr>
              <w:t>焊接过程产生</w:t>
            </w:r>
            <w:r>
              <w:rPr>
                <w:rFonts w:hint="default" w:ascii="Times New Roman" w:hAnsi="Times New Roman" w:eastAsia="宋体" w:cs="Times New Roman"/>
                <w:bCs/>
                <w:color w:val="auto"/>
                <w:sz w:val="24"/>
                <w:szCs w:val="24"/>
                <w:highlight w:val="none"/>
                <w:u w:val="none" w:color="auto"/>
                <w:lang w:val="en-US" w:eastAsia="zh-CN"/>
              </w:rPr>
              <w:t>废焊丝、废焊渣</w:t>
            </w:r>
            <w:r>
              <w:rPr>
                <w:rFonts w:hint="default" w:ascii="Times New Roman" w:hAnsi="Times New Roman" w:eastAsia="宋体" w:cs="Times New Roman"/>
                <w:bCs/>
                <w:color w:val="auto"/>
                <w:sz w:val="24"/>
                <w:szCs w:val="24"/>
                <w:highlight w:val="none"/>
                <w:u w:val="none" w:color="auto"/>
              </w:rPr>
              <w:t>约</w:t>
            </w:r>
            <w:r>
              <w:rPr>
                <w:rFonts w:hint="eastAsia" w:ascii="Times New Roman" w:hAnsi="Times New Roman" w:cs="Times New Roman"/>
                <w:bCs/>
                <w:color w:val="auto"/>
                <w:sz w:val="24"/>
                <w:szCs w:val="24"/>
                <w:highlight w:val="none"/>
                <w:u w:val="none" w:color="auto"/>
                <w:lang w:val="en-US" w:eastAsia="zh-CN"/>
              </w:rPr>
              <w:t>0.2</w:t>
            </w:r>
            <w:r>
              <w:rPr>
                <w:rFonts w:hint="default" w:ascii="Times New Roman" w:hAnsi="Times New Roman" w:eastAsia="宋体" w:cs="Times New Roman"/>
                <w:bCs/>
                <w:color w:val="auto"/>
                <w:sz w:val="24"/>
                <w:szCs w:val="24"/>
                <w:highlight w:val="none"/>
                <w:u w:val="none" w:color="auto"/>
              </w:rPr>
              <w:t>t/a，</w:t>
            </w:r>
            <w:r>
              <w:rPr>
                <w:rFonts w:hint="default" w:ascii="Times New Roman" w:hAnsi="Times New Roman" w:eastAsia="宋体" w:cs="Times New Roman"/>
                <w:color w:val="auto"/>
                <w:sz w:val="24"/>
                <w:szCs w:val="24"/>
                <w:highlight w:val="none"/>
                <w:u w:val="none" w:color="auto"/>
                <w:lang w:val="zh-CN"/>
              </w:rPr>
              <w:t>属于</w:t>
            </w:r>
            <w:r>
              <w:rPr>
                <w:rFonts w:hint="default" w:ascii="Times New Roman" w:hAnsi="Times New Roman" w:eastAsia="宋体" w:cs="Times New Roman"/>
                <w:color w:val="auto"/>
                <w:sz w:val="24"/>
                <w:szCs w:val="24"/>
                <w:highlight w:val="none"/>
                <w:u w:val="none" w:color="auto"/>
                <w:lang w:val="en-US" w:eastAsia="zh-CN"/>
              </w:rPr>
              <w:t>一般工业固体废物</w:t>
            </w:r>
            <w:r>
              <w:rPr>
                <w:rFonts w:hint="default" w:ascii="Times New Roman" w:hAnsi="Times New Roman" w:eastAsia="宋体" w:cs="Times New Roman"/>
                <w:color w:val="auto"/>
                <w:sz w:val="24"/>
                <w:szCs w:val="24"/>
                <w:highlight w:val="none"/>
                <w:u w:val="none" w:color="auto"/>
                <w:lang w:val="zh-CN"/>
              </w:rPr>
              <w:t>，</w:t>
            </w:r>
            <w:r>
              <w:rPr>
                <w:rFonts w:hint="eastAsia" w:ascii="Times New Roman" w:hAnsi="Times New Roman" w:cs="Times New Roman"/>
                <w:color w:val="auto"/>
                <w:sz w:val="24"/>
                <w:szCs w:val="24"/>
                <w:highlight w:val="none"/>
                <w:u w:val="none" w:color="auto"/>
                <w:lang w:val="en-US" w:eastAsia="zh-CN"/>
              </w:rPr>
              <w:t>收集后</w:t>
            </w:r>
            <w:r>
              <w:rPr>
                <w:rFonts w:hint="default" w:ascii="Times New Roman" w:hAnsi="Times New Roman" w:eastAsia="宋体" w:cs="Times New Roman"/>
                <w:color w:val="auto"/>
                <w:sz w:val="24"/>
                <w:szCs w:val="24"/>
                <w:highlight w:val="none"/>
                <w:u w:val="none" w:color="auto"/>
              </w:rPr>
              <w:t>外售综合利用</w:t>
            </w:r>
            <w:r>
              <w:rPr>
                <w:rFonts w:hint="eastAsia" w:ascii="Times New Roman" w:hAnsi="Times New Roman" w:cs="Times New Roman"/>
                <w:color w:val="auto"/>
                <w:sz w:val="24"/>
                <w:szCs w:val="24"/>
                <w:highlight w:val="none"/>
                <w:u w:val="none" w:color="auto"/>
                <w:lang w:val="zh-CN"/>
              </w:rPr>
              <w:t>。</w:t>
            </w:r>
            <w:r>
              <w:rPr>
                <w:rFonts w:hint="eastAsia" w:ascii="Times New Roman" w:hAnsi="Times New Roman" w:cs="Times New Roman"/>
                <w:color w:val="auto"/>
                <w:sz w:val="24"/>
                <w:szCs w:val="24"/>
                <w:highlight w:val="none"/>
                <w:u w:val="none" w:color="auto"/>
                <w:lang w:val="zh-CN" w:eastAsia="zh-CN"/>
              </w:rPr>
              <w:t>查阅《固体废物分类与代码目录》公告2024年第4号可知，</w:t>
            </w:r>
            <w:r>
              <w:rPr>
                <w:rFonts w:hint="default" w:ascii="Times New Roman" w:hAnsi="Times New Roman" w:eastAsia="宋体" w:cs="Times New Roman"/>
                <w:bCs/>
                <w:color w:val="auto"/>
                <w:sz w:val="24"/>
                <w:szCs w:val="24"/>
                <w:highlight w:val="none"/>
                <w:u w:val="none" w:color="auto"/>
                <w:lang w:val="en-US" w:eastAsia="zh-CN"/>
              </w:rPr>
              <w:t>废焊丝、废焊渣</w:t>
            </w:r>
            <w:r>
              <w:rPr>
                <w:rFonts w:hint="eastAsia" w:ascii="Times New Roman" w:hAnsi="Times New Roman" w:cs="Times New Roman"/>
                <w:color w:val="auto"/>
                <w:sz w:val="24"/>
                <w:szCs w:val="24"/>
                <w:highlight w:val="none"/>
                <w:u w:val="none" w:color="auto"/>
                <w:lang w:val="zh-CN" w:eastAsia="zh-CN"/>
              </w:rPr>
              <w:t>属于SW</w:t>
            </w:r>
            <w:r>
              <w:rPr>
                <w:rFonts w:hint="eastAsia" w:ascii="Times New Roman" w:hAnsi="Times New Roman" w:cs="Times New Roman"/>
                <w:color w:val="auto"/>
                <w:sz w:val="24"/>
                <w:szCs w:val="24"/>
                <w:highlight w:val="none"/>
                <w:u w:val="none" w:color="auto"/>
                <w:lang w:val="en-US" w:eastAsia="zh-CN"/>
              </w:rPr>
              <w:t xml:space="preserve">59 其他工业固体废物 </w:t>
            </w:r>
            <w:r>
              <w:rPr>
                <w:rFonts w:hint="eastAsia" w:ascii="Times New Roman" w:hAnsi="Times New Roman" w:cs="Times New Roman"/>
                <w:color w:val="auto"/>
                <w:sz w:val="24"/>
                <w:szCs w:val="24"/>
                <w:highlight w:val="none"/>
                <w:u w:val="none" w:color="auto"/>
                <w:lang w:val="zh-CN" w:eastAsia="zh-CN"/>
              </w:rPr>
              <w:t>900-0</w:t>
            </w:r>
            <w:r>
              <w:rPr>
                <w:rFonts w:hint="eastAsia" w:ascii="Times New Roman" w:hAnsi="Times New Roman" w:cs="Times New Roman"/>
                <w:color w:val="auto"/>
                <w:sz w:val="24"/>
                <w:szCs w:val="24"/>
                <w:highlight w:val="none"/>
                <w:u w:val="none" w:color="auto"/>
                <w:lang w:val="en-US" w:eastAsia="zh-CN"/>
              </w:rPr>
              <w:t>99</w:t>
            </w:r>
            <w:r>
              <w:rPr>
                <w:rFonts w:hint="eastAsia" w:ascii="Times New Roman" w:hAnsi="Times New Roman" w:cs="Times New Roman"/>
                <w:color w:val="auto"/>
                <w:sz w:val="24"/>
                <w:szCs w:val="24"/>
                <w:highlight w:val="none"/>
                <w:u w:val="none" w:color="auto"/>
                <w:lang w:val="zh-CN" w:eastAsia="zh-CN"/>
              </w:rPr>
              <w:t>-S</w:t>
            </w:r>
            <w:r>
              <w:rPr>
                <w:rFonts w:hint="eastAsia" w:ascii="Times New Roman" w:hAnsi="Times New Roman" w:cs="Times New Roman"/>
                <w:color w:val="auto"/>
                <w:sz w:val="24"/>
                <w:szCs w:val="24"/>
                <w:highlight w:val="none"/>
                <w:u w:val="none" w:color="auto"/>
                <w:lang w:val="en-US" w:eastAsia="zh-CN"/>
              </w:rPr>
              <w:t>59</w:t>
            </w:r>
            <w:r>
              <w:rPr>
                <w:rFonts w:hint="default" w:ascii="Times New Roman" w:hAnsi="Times New Roman" w:eastAsia="宋体" w:cs="Times New Roman"/>
                <w:color w:val="auto"/>
                <w:sz w:val="24"/>
                <w:szCs w:val="24"/>
                <w:highlight w:val="none"/>
                <w:u w:val="none" w:color="auto"/>
              </w:rPr>
              <w:t>。</w:t>
            </w:r>
          </w:p>
          <w:p w14:paraId="3B638ECF">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eastAsia="宋体" w:cs="Times New Roman"/>
                <w:bCs/>
                <w:color w:val="auto"/>
                <w:sz w:val="24"/>
                <w:szCs w:val="24"/>
                <w:highlight w:val="none"/>
                <w:u w:val="none" w:color="auto"/>
                <w:lang w:val="en-US" w:eastAsia="zh-CN"/>
              </w:rPr>
            </w:pPr>
            <w:r>
              <w:rPr>
                <w:rFonts w:hint="default" w:ascii="Times New Roman" w:hAnsi="Times New Roman" w:eastAsia="宋体" w:cs="Times New Roman"/>
                <w:bCs/>
                <w:color w:val="auto"/>
                <w:sz w:val="24"/>
                <w:szCs w:val="24"/>
                <w:highlight w:val="none"/>
                <w:u w:val="none" w:color="auto"/>
              </w:rPr>
              <w:t>③</w:t>
            </w:r>
            <w:r>
              <w:rPr>
                <w:rFonts w:hint="default" w:ascii="Times New Roman" w:hAnsi="Times New Roman" w:eastAsia="宋体" w:cs="Times New Roman"/>
                <w:bCs/>
                <w:color w:val="auto"/>
                <w:sz w:val="24"/>
                <w:szCs w:val="24"/>
                <w:highlight w:val="none"/>
                <w:u w:val="none" w:color="auto"/>
                <w:lang w:val="en-US" w:eastAsia="zh-CN"/>
              </w:rPr>
              <w:t>废橡胶边角料</w:t>
            </w:r>
          </w:p>
          <w:p w14:paraId="7BF38AE9">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eastAsia="宋体" w:cs="Times New Roman"/>
                <w:color w:val="auto"/>
                <w:sz w:val="24"/>
                <w:szCs w:val="24"/>
                <w:highlight w:val="none"/>
                <w:u w:val="none" w:color="auto"/>
              </w:rPr>
            </w:pPr>
            <w:r>
              <w:rPr>
                <w:rFonts w:hint="eastAsia" w:cs="Times New Roman"/>
                <w:bCs/>
                <w:color w:val="auto"/>
                <w:sz w:val="24"/>
                <w:szCs w:val="24"/>
                <w:highlight w:val="none"/>
                <w:u w:val="none" w:color="auto"/>
                <w:lang w:val="en-US" w:eastAsia="zh-CN"/>
              </w:rPr>
              <w:t>高铁连接板</w:t>
            </w:r>
            <w:r>
              <w:rPr>
                <w:rFonts w:hint="eastAsia" w:ascii="Times New Roman" w:hAnsi="Times New Roman" w:cs="Times New Roman"/>
                <w:bCs/>
                <w:color w:val="auto"/>
                <w:sz w:val="24"/>
                <w:szCs w:val="24"/>
                <w:highlight w:val="none"/>
                <w:u w:val="none" w:color="auto"/>
                <w:lang w:val="en-US" w:eastAsia="zh-CN"/>
              </w:rPr>
              <w:t>打孔</w:t>
            </w:r>
            <w:r>
              <w:rPr>
                <w:rFonts w:hint="eastAsia" w:ascii="Times New Roman" w:hAnsi="Times New Roman" w:eastAsia="宋体" w:cs="Times New Roman"/>
                <w:bCs/>
                <w:color w:val="auto"/>
                <w:sz w:val="24"/>
                <w:szCs w:val="24"/>
                <w:highlight w:val="none"/>
                <w:u w:val="none" w:color="auto"/>
                <w:lang w:val="en-US" w:eastAsia="zh-CN"/>
              </w:rPr>
              <w:t>工序</w:t>
            </w:r>
            <w:r>
              <w:rPr>
                <w:rFonts w:hint="eastAsia" w:ascii="Times New Roman" w:hAnsi="Times New Roman" w:cs="Times New Roman"/>
                <w:bCs/>
                <w:color w:val="auto"/>
                <w:sz w:val="24"/>
                <w:szCs w:val="24"/>
                <w:highlight w:val="none"/>
                <w:u w:val="none" w:color="auto"/>
                <w:lang w:val="en-US" w:eastAsia="zh-CN"/>
              </w:rPr>
              <w:t>会</w:t>
            </w:r>
            <w:r>
              <w:rPr>
                <w:rFonts w:hint="default" w:ascii="Times New Roman" w:hAnsi="Times New Roman" w:eastAsia="宋体" w:cs="Times New Roman"/>
                <w:bCs/>
                <w:color w:val="auto"/>
                <w:sz w:val="24"/>
                <w:szCs w:val="24"/>
                <w:highlight w:val="none"/>
                <w:u w:val="none" w:color="auto"/>
                <w:lang w:val="en-US" w:eastAsia="zh-CN"/>
              </w:rPr>
              <w:t>废橡胶边角料</w:t>
            </w:r>
            <w:r>
              <w:rPr>
                <w:rFonts w:hint="eastAsia" w:ascii="Times New Roman" w:hAnsi="Times New Roman" w:eastAsia="宋体" w:cs="Times New Roman"/>
                <w:bCs/>
                <w:color w:val="auto"/>
                <w:sz w:val="24"/>
                <w:szCs w:val="24"/>
                <w:highlight w:val="none"/>
                <w:u w:val="none" w:color="auto"/>
                <w:lang w:val="en-US" w:eastAsia="zh-CN"/>
              </w:rPr>
              <w:t>，根据建设单位提供资料，废边角料产生量约</w:t>
            </w:r>
            <w:r>
              <w:rPr>
                <w:rFonts w:hint="eastAsia" w:ascii="Times New Roman" w:hAnsi="Times New Roman" w:cs="Times New Roman"/>
                <w:bCs/>
                <w:color w:val="auto"/>
                <w:sz w:val="24"/>
                <w:szCs w:val="24"/>
                <w:highlight w:val="none"/>
                <w:u w:val="none" w:color="auto"/>
                <w:lang w:val="en-US" w:eastAsia="zh-CN"/>
              </w:rPr>
              <w:t>0.01</w:t>
            </w:r>
            <w:r>
              <w:rPr>
                <w:rFonts w:hint="eastAsia" w:ascii="Times New Roman" w:hAnsi="Times New Roman" w:eastAsia="宋体" w:cs="Times New Roman"/>
                <w:bCs/>
                <w:color w:val="auto"/>
                <w:sz w:val="24"/>
                <w:szCs w:val="24"/>
                <w:highlight w:val="none"/>
                <w:u w:val="none" w:color="auto"/>
                <w:lang w:val="en-US" w:eastAsia="zh-CN"/>
              </w:rPr>
              <w:t>t/a</w:t>
            </w:r>
            <w:r>
              <w:rPr>
                <w:rFonts w:hint="eastAsia" w:ascii="Times New Roman" w:hAnsi="Times New Roman" w:cs="Times New Roman"/>
                <w:bCs/>
                <w:color w:val="auto"/>
                <w:sz w:val="24"/>
                <w:szCs w:val="24"/>
                <w:highlight w:val="none"/>
                <w:u w:val="none" w:color="auto"/>
                <w:lang w:val="en-US" w:eastAsia="zh-CN"/>
              </w:rPr>
              <w:t>，</w:t>
            </w:r>
            <w:r>
              <w:rPr>
                <w:rFonts w:hint="default" w:ascii="Times New Roman" w:hAnsi="Times New Roman" w:cs="Times New Roman"/>
                <w:color w:val="auto"/>
                <w:kern w:val="0"/>
                <w:sz w:val="24"/>
                <w:highlight w:val="none"/>
                <w:u w:val="none" w:color="auto"/>
                <w:lang w:val="zh-CN"/>
              </w:rPr>
              <w:t>属于</w:t>
            </w:r>
            <w:r>
              <w:rPr>
                <w:rFonts w:hint="default" w:ascii="Times New Roman" w:hAnsi="Times New Roman" w:cs="Times New Roman"/>
                <w:color w:val="auto"/>
                <w:kern w:val="0"/>
                <w:sz w:val="24"/>
                <w:highlight w:val="none"/>
                <w:u w:val="none" w:color="auto"/>
                <w:lang w:val="en-US" w:eastAsia="zh-CN"/>
              </w:rPr>
              <w:t>一般工业固体</w:t>
            </w:r>
            <w:r>
              <w:rPr>
                <w:rFonts w:hint="eastAsia" w:cs="Times New Roman"/>
                <w:color w:val="auto"/>
                <w:kern w:val="0"/>
                <w:sz w:val="24"/>
                <w:highlight w:val="none"/>
                <w:u w:val="none" w:color="auto"/>
                <w:lang w:val="en-US" w:eastAsia="zh-CN"/>
              </w:rPr>
              <w:t>废物</w:t>
            </w:r>
            <w:r>
              <w:rPr>
                <w:rFonts w:hint="default" w:ascii="Times New Roman" w:hAnsi="Times New Roman" w:cs="Times New Roman"/>
                <w:color w:val="auto"/>
                <w:kern w:val="0"/>
                <w:sz w:val="24"/>
                <w:highlight w:val="none"/>
                <w:u w:val="none" w:color="auto"/>
                <w:lang w:val="zh-CN"/>
              </w:rPr>
              <w:t>，</w:t>
            </w:r>
            <w:r>
              <w:rPr>
                <w:rFonts w:hint="eastAsia" w:ascii="Times New Roman" w:hAnsi="Times New Roman" w:cs="Times New Roman"/>
                <w:color w:val="auto"/>
                <w:sz w:val="24"/>
                <w:szCs w:val="24"/>
                <w:highlight w:val="none"/>
                <w:u w:val="none" w:color="auto"/>
                <w:lang w:val="en-US" w:eastAsia="zh-CN"/>
              </w:rPr>
              <w:t>收集后</w:t>
            </w:r>
            <w:r>
              <w:rPr>
                <w:rFonts w:hint="default" w:ascii="Times New Roman" w:hAnsi="Times New Roman" w:eastAsia="宋体" w:cs="Times New Roman"/>
                <w:color w:val="auto"/>
                <w:sz w:val="24"/>
                <w:szCs w:val="24"/>
                <w:highlight w:val="none"/>
                <w:u w:val="none" w:color="auto"/>
              </w:rPr>
              <w:t>外售综合利用</w:t>
            </w:r>
            <w:r>
              <w:rPr>
                <w:rFonts w:hint="eastAsia" w:ascii="Times New Roman" w:hAnsi="Times New Roman" w:cs="Times New Roman"/>
                <w:color w:val="auto"/>
                <w:sz w:val="24"/>
                <w:szCs w:val="24"/>
                <w:highlight w:val="none"/>
                <w:u w:val="none" w:color="auto"/>
                <w:lang w:val="zh-CN"/>
              </w:rPr>
              <w:t>。</w:t>
            </w:r>
            <w:r>
              <w:rPr>
                <w:rFonts w:hint="eastAsia" w:ascii="Times New Roman" w:hAnsi="Times New Roman" w:cs="Times New Roman"/>
                <w:color w:val="auto"/>
                <w:sz w:val="24"/>
                <w:szCs w:val="24"/>
                <w:highlight w:val="none"/>
                <w:u w:val="none" w:color="auto"/>
                <w:lang w:val="zh-CN" w:eastAsia="zh-CN"/>
              </w:rPr>
              <w:t>查阅《固体废物分类与代码目录》公告2024年第4号可知，废橡胶边角料属于SW</w:t>
            </w:r>
            <w:r>
              <w:rPr>
                <w:rFonts w:hint="eastAsia" w:ascii="Times New Roman" w:hAnsi="Times New Roman" w:cs="Times New Roman"/>
                <w:color w:val="auto"/>
                <w:sz w:val="24"/>
                <w:szCs w:val="24"/>
                <w:highlight w:val="none"/>
                <w:u w:val="none" w:color="auto"/>
                <w:lang w:val="en-US" w:eastAsia="zh-CN"/>
              </w:rPr>
              <w:t>17 可再生类废物 900-006-S17</w:t>
            </w:r>
            <w:r>
              <w:rPr>
                <w:rFonts w:hint="default" w:ascii="Times New Roman" w:hAnsi="Times New Roman" w:eastAsia="宋体" w:cs="Times New Roman"/>
                <w:color w:val="auto"/>
                <w:sz w:val="24"/>
                <w:szCs w:val="24"/>
                <w:highlight w:val="none"/>
                <w:u w:val="none" w:color="auto"/>
              </w:rPr>
              <w:t>。</w:t>
            </w:r>
          </w:p>
          <w:p w14:paraId="70D91337">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eastAsia" w:cs="Times New Roman"/>
                <w:color w:val="auto"/>
                <w:sz w:val="24"/>
                <w:szCs w:val="24"/>
                <w:highlight w:val="none"/>
                <w:u w:val="none" w:color="auto"/>
                <w:lang w:val="en-US" w:eastAsia="zh-CN"/>
              </w:rPr>
            </w:pPr>
            <w:r>
              <w:rPr>
                <w:rFonts w:hint="eastAsia" w:cs="Times New Roman"/>
                <w:color w:val="auto"/>
                <w:sz w:val="24"/>
                <w:szCs w:val="24"/>
                <w:highlight w:val="none"/>
                <w:u w:val="none" w:color="auto"/>
                <w:lang w:val="en-US" w:eastAsia="zh-CN"/>
              </w:rPr>
              <w:t>④不合格产品</w:t>
            </w:r>
          </w:p>
          <w:p w14:paraId="45DFFDDE">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cs="Times New Roman"/>
                <w:color w:val="auto"/>
                <w:sz w:val="24"/>
                <w:szCs w:val="24"/>
                <w:highlight w:val="none"/>
                <w:u w:val="none" w:color="auto"/>
                <w:lang w:val="en-US" w:eastAsia="zh-CN"/>
              </w:rPr>
            </w:pPr>
            <w:r>
              <w:rPr>
                <w:rFonts w:hint="eastAsia" w:ascii="Times New Roman" w:hAnsi="Times New Roman" w:eastAsia="宋体" w:cs="Times New Roman"/>
                <w:bCs/>
                <w:color w:val="auto"/>
                <w:sz w:val="24"/>
                <w:szCs w:val="24"/>
                <w:highlight w:val="none"/>
                <w:u w:val="none" w:color="auto"/>
                <w:lang w:val="en-US" w:eastAsia="zh-CN"/>
              </w:rPr>
              <w:t>根据建设单位提供资料，</w:t>
            </w:r>
            <w:r>
              <w:rPr>
                <w:rFonts w:hint="eastAsia" w:cs="Times New Roman"/>
                <w:bCs/>
                <w:color w:val="auto"/>
                <w:sz w:val="24"/>
                <w:szCs w:val="24"/>
                <w:highlight w:val="none"/>
                <w:u w:val="none" w:color="auto"/>
                <w:lang w:val="en-US" w:eastAsia="zh-CN"/>
              </w:rPr>
              <w:t>检验</w:t>
            </w:r>
            <w:r>
              <w:rPr>
                <w:rFonts w:hint="default" w:ascii="Times New Roman" w:hAnsi="Times New Roman" w:eastAsia="宋体" w:cs="Times New Roman"/>
                <w:bCs/>
                <w:color w:val="auto"/>
                <w:sz w:val="24"/>
                <w:szCs w:val="24"/>
                <w:highlight w:val="none"/>
                <w:u w:val="none" w:color="auto"/>
              </w:rPr>
              <w:t>过程产生</w:t>
            </w:r>
            <w:r>
              <w:rPr>
                <w:rFonts w:hint="eastAsia" w:cs="Times New Roman"/>
                <w:bCs/>
                <w:color w:val="auto"/>
                <w:sz w:val="24"/>
                <w:szCs w:val="24"/>
                <w:highlight w:val="none"/>
                <w:u w:val="none" w:color="auto"/>
                <w:lang w:val="en-US" w:eastAsia="zh-CN"/>
              </w:rPr>
              <w:t>不合格产品</w:t>
            </w:r>
            <w:r>
              <w:rPr>
                <w:rFonts w:hint="default" w:ascii="Times New Roman" w:hAnsi="Times New Roman" w:eastAsia="宋体" w:cs="Times New Roman"/>
                <w:bCs/>
                <w:color w:val="auto"/>
                <w:sz w:val="24"/>
                <w:szCs w:val="24"/>
                <w:highlight w:val="none"/>
                <w:u w:val="none" w:color="auto"/>
              </w:rPr>
              <w:t>，</w:t>
            </w:r>
            <w:r>
              <w:rPr>
                <w:rFonts w:hint="eastAsia" w:cs="Times New Roman"/>
                <w:bCs/>
                <w:color w:val="auto"/>
                <w:sz w:val="24"/>
                <w:szCs w:val="24"/>
                <w:highlight w:val="none"/>
                <w:u w:val="none" w:color="auto"/>
                <w:lang w:val="en-US" w:eastAsia="zh-CN"/>
              </w:rPr>
              <w:t>其中风扇、风罩不合格产品约为0.05t/a，高铁连接板不合格产品约为0.1t/a，</w:t>
            </w:r>
            <w:r>
              <w:rPr>
                <w:rFonts w:hint="default" w:ascii="Times New Roman" w:hAnsi="Times New Roman" w:eastAsia="宋体" w:cs="Times New Roman"/>
                <w:color w:val="auto"/>
                <w:sz w:val="24"/>
                <w:szCs w:val="24"/>
                <w:highlight w:val="none"/>
                <w:u w:val="none" w:color="auto"/>
                <w:lang w:val="zh-CN"/>
              </w:rPr>
              <w:t>属于</w:t>
            </w:r>
            <w:r>
              <w:rPr>
                <w:rFonts w:hint="default" w:ascii="Times New Roman" w:hAnsi="Times New Roman" w:eastAsia="宋体" w:cs="Times New Roman"/>
                <w:color w:val="auto"/>
                <w:sz w:val="24"/>
                <w:szCs w:val="24"/>
                <w:highlight w:val="none"/>
                <w:u w:val="none" w:color="auto"/>
                <w:lang w:val="en-US" w:eastAsia="zh-CN"/>
              </w:rPr>
              <w:t>一般工业固体废物</w:t>
            </w:r>
            <w:r>
              <w:rPr>
                <w:rFonts w:hint="default" w:ascii="Times New Roman" w:hAnsi="Times New Roman" w:eastAsia="宋体" w:cs="Times New Roman"/>
                <w:color w:val="auto"/>
                <w:sz w:val="24"/>
                <w:szCs w:val="24"/>
                <w:highlight w:val="none"/>
                <w:u w:val="none" w:color="auto"/>
                <w:lang w:val="zh-CN"/>
              </w:rPr>
              <w:t>，</w:t>
            </w:r>
            <w:r>
              <w:rPr>
                <w:rFonts w:hint="eastAsia" w:ascii="Times New Roman" w:hAnsi="Times New Roman" w:cs="Times New Roman"/>
                <w:color w:val="auto"/>
                <w:sz w:val="24"/>
                <w:szCs w:val="24"/>
                <w:highlight w:val="none"/>
                <w:u w:val="none" w:color="auto"/>
                <w:lang w:val="en-US" w:eastAsia="zh-CN"/>
              </w:rPr>
              <w:t>收集后</w:t>
            </w:r>
            <w:r>
              <w:rPr>
                <w:rFonts w:hint="default" w:ascii="Times New Roman" w:hAnsi="Times New Roman" w:eastAsia="宋体" w:cs="Times New Roman"/>
                <w:color w:val="auto"/>
                <w:sz w:val="24"/>
                <w:szCs w:val="24"/>
                <w:highlight w:val="none"/>
                <w:u w:val="none" w:color="auto"/>
              </w:rPr>
              <w:t>外售综合利用</w:t>
            </w:r>
            <w:r>
              <w:rPr>
                <w:rFonts w:hint="eastAsia" w:ascii="Times New Roman" w:hAnsi="Times New Roman" w:cs="Times New Roman"/>
                <w:color w:val="auto"/>
                <w:sz w:val="24"/>
                <w:szCs w:val="24"/>
                <w:highlight w:val="none"/>
                <w:u w:val="none" w:color="auto"/>
                <w:lang w:val="zh-CN"/>
              </w:rPr>
              <w:t>。</w:t>
            </w:r>
            <w:r>
              <w:rPr>
                <w:rFonts w:hint="eastAsia" w:ascii="Times New Roman" w:hAnsi="Times New Roman" w:cs="Times New Roman"/>
                <w:color w:val="auto"/>
                <w:sz w:val="24"/>
                <w:szCs w:val="24"/>
                <w:highlight w:val="none"/>
                <w:u w:val="none" w:color="auto"/>
                <w:lang w:val="zh-CN" w:eastAsia="zh-CN"/>
              </w:rPr>
              <w:t>查阅《固体废物分类与代码目录》公告2024年第4号可知，风扇、风罩不合格产品属于SW17 可再生类废物 900-001-S17</w:t>
            </w:r>
            <w:r>
              <w:rPr>
                <w:rFonts w:hint="eastAsia" w:cs="Times New Roman"/>
                <w:color w:val="auto"/>
                <w:sz w:val="24"/>
                <w:szCs w:val="24"/>
                <w:highlight w:val="none"/>
                <w:u w:val="none" w:color="auto"/>
                <w:lang w:val="zh-CN" w:eastAsia="zh-CN"/>
              </w:rPr>
              <w:t>，</w:t>
            </w:r>
            <w:r>
              <w:rPr>
                <w:rFonts w:hint="eastAsia" w:cs="Times New Roman"/>
                <w:bCs/>
                <w:color w:val="auto"/>
                <w:sz w:val="24"/>
                <w:szCs w:val="24"/>
                <w:highlight w:val="none"/>
                <w:u w:val="none" w:color="auto"/>
                <w:lang w:val="en-US" w:eastAsia="zh-CN"/>
              </w:rPr>
              <w:t>高铁连接板不合格产品</w:t>
            </w:r>
            <w:r>
              <w:rPr>
                <w:rFonts w:hint="eastAsia" w:ascii="Times New Roman" w:hAnsi="Times New Roman" w:cs="Times New Roman"/>
                <w:color w:val="auto"/>
                <w:sz w:val="24"/>
                <w:szCs w:val="24"/>
                <w:highlight w:val="none"/>
                <w:u w:val="none" w:color="auto"/>
                <w:lang w:val="zh-CN" w:eastAsia="zh-CN"/>
              </w:rPr>
              <w:t>属于SW</w:t>
            </w:r>
            <w:r>
              <w:rPr>
                <w:rFonts w:hint="eastAsia" w:ascii="Times New Roman" w:hAnsi="Times New Roman" w:cs="Times New Roman"/>
                <w:color w:val="auto"/>
                <w:sz w:val="24"/>
                <w:szCs w:val="24"/>
                <w:highlight w:val="none"/>
                <w:u w:val="none" w:color="auto"/>
                <w:lang w:val="en-US" w:eastAsia="zh-CN"/>
              </w:rPr>
              <w:t>17 可再生类废物 900-006-S17</w:t>
            </w:r>
            <w:r>
              <w:rPr>
                <w:rFonts w:hint="default" w:ascii="Times New Roman" w:hAnsi="Times New Roman" w:eastAsia="宋体" w:cs="Times New Roman"/>
                <w:color w:val="auto"/>
                <w:sz w:val="24"/>
                <w:szCs w:val="24"/>
                <w:highlight w:val="none"/>
                <w:u w:val="none" w:color="auto"/>
              </w:rPr>
              <w:t>。</w:t>
            </w:r>
          </w:p>
          <w:p w14:paraId="7803EC73">
            <w:pPr>
              <w:keepNext w:val="0"/>
              <w:keepLines w:val="0"/>
              <w:pageBreakBefore w:val="0"/>
              <w:widowControl w:val="0"/>
              <w:kinsoku/>
              <w:wordWrap/>
              <w:overflowPunct/>
              <w:topLinePunct w:val="0"/>
              <w:autoSpaceDE/>
              <w:autoSpaceDN/>
              <w:bidi w:val="0"/>
              <w:adjustRightInd w:val="0"/>
              <w:snapToGrid w:val="0"/>
              <w:spacing w:after="0" w:line="420" w:lineRule="exact"/>
              <w:ind w:left="0" w:leftChars="0" w:firstLine="480" w:firstLineChars="200"/>
              <w:jc w:val="both"/>
              <w:textAlignment w:val="auto"/>
              <w:rPr>
                <w:rFonts w:hint="default" w:ascii="Times New Roman" w:hAnsi="Times New Roman" w:eastAsia="宋体" w:cs="Times New Roman"/>
                <w:color w:val="auto"/>
                <w:kern w:val="2"/>
                <w:sz w:val="24"/>
                <w:szCs w:val="24"/>
                <w:highlight w:val="none"/>
                <w:u w:val="none" w:color="auto"/>
                <w:lang w:val="en-US" w:eastAsia="zh-CN" w:bidi="ar-SA"/>
              </w:rPr>
            </w:pPr>
            <w:r>
              <w:rPr>
                <w:rFonts w:hint="default" w:ascii="Times New Roman" w:hAnsi="Times New Roman" w:eastAsia="宋体" w:cs="Times New Roman"/>
                <w:color w:val="auto"/>
                <w:kern w:val="2"/>
                <w:sz w:val="24"/>
                <w:szCs w:val="24"/>
                <w:highlight w:val="none"/>
                <w:u w:val="none" w:color="auto"/>
                <w:lang w:val="en-US" w:eastAsia="zh-CN" w:bidi="ar-SA"/>
              </w:rPr>
              <w:t>2）危险废物</w:t>
            </w:r>
          </w:p>
          <w:p w14:paraId="091B2E62">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eastAsia" w:ascii="Times New Roman" w:hAnsi="Times New Roman" w:cs="Times New Roman"/>
                <w:color w:val="auto"/>
                <w:sz w:val="24"/>
                <w:szCs w:val="24"/>
                <w:highlight w:val="none"/>
                <w:u w:val="none" w:color="auto"/>
                <w:lang w:val="en-US" w:eastAsia="zh-CN"/>
              </w:rPr>
              <w:t>①</w:t>
            </w:r>
            <w:r>
              <w:rPr>
                <w:rFonts w:hint="default" w:ascii="Times New Roman" w:hAnsi="Times New Roman" w:cs="Times New Roman"/>
                <w:color w:val="auto"/>
                <w:sz w:val="24"/>
                <w:szCs w:val="24"/>
                <w:highlight w:val="none"/>
                <w:u w:val="none" w:color="auto"/>
                <w:lang w:val="en-US" w:eastAsia="zh-CN"/>
              </w:rPr>
              <w:t>废清洗抹布</w:t>
            </w:r>
            <w:r>
              <w:rPr>
                <w:rFonts w:hint="eastAsia" w:ascii="Times New Roman" w:hAnsi="Times New Roman" w:cs="Times New Roman"/>
                <w:color w:val="auto"/>
                <w:sz w:val="24"/>
                <w:szCs w:val="24"/>
                <w:highlight w:val="none"/>
                <w:u w:val="none" w:color="auto"/>
                <w:lang w:val="en-US" w:eastAsia="zh-CN"/>
              </w:rPr>
              <w:t>、废清洗剂桶</w:t>
            </w:r>
          </w:p>
          <w:p w14:paraId="4E0C7A63">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default" w:ascii="Times New Roman" w:hAnsi="Times New Roman" w:cs="Times New Roman"/>
                <w:color w:val="auto"/>
                <w:sz w:val="24"/>
                <w:szCs w:val="24"/>
                <w:highlight w:val="none"/>
                <w:u w:val="none" w:color="auto"/>
                <w:lang w:val="en-US" w:eastAsia="zh-CN"/>
              </w:rPr>
              <w:t>本项目</w:t>
            </w:r>
            <w:r>
              <w:rPr>
                <w:rFonts w:hint="eastAsia" w:ascii="Times New Roman" w:hAnsi="Times New Roman" w:cs="Times New Roman"/>
                <w:color w:val="auto"/>
                <w:sz w:val="24"/>
                <w:szCs w:val="24"/>
                <w:highlight w:val="none"/>
                <w:u w:val="none" w:color="auto"/>
                <w:lang w:val="en-US" w:eastAsia="zh-CN"/>
              </w:rPr>
              <w:t>高铁连接板喷漆前</w:t>
            </w:r>
            <w:r>
              <w:rPr>
                <w:rFonts w:hint="default" w:ascii="Times New Roman" w:hAnsi="Times New Roman" w:cs="Times New Roman"/>
                <w:color w:val="auto"/>
                <w:sz w:val="24"/>
                <w:szCs w:val="24"/>
                <w:highlight w:val="none"/>
                <w:u w:val="none" w:color="auto"/>
                <w:lang w:val="en-US" w:eastAsia="zh-CN"/>
              </w:rPr>
              <w:t>需进行清洁，建设单位拟采用酒精进行擦拭清洁，此过程会产生一定量的废清洗抹布、废清洗剂桶等，产生量约为</w:t>
            </w:r>
            <w:r>
              <w:rPr>
                <w:rFonts w:hint="eastAsia" w:ascii="Times New Roman" w:hAnsi="Times New Roman" w:cs="Times New Roman"/>
                <w:color w:val="auto"/>
                <w:sz w:val="24"/>
                <w:szCs w:val="24"/>
                <w:highlight w:val="none"/>
                <w:u w:val="none" w:color="auto"/>
                <w:lang w:val="en-US" w:eastAsia="zh-CN"/>
              </w:rPr>
              <w:t>0.005</w:t>
            </w:r>
            <w:r>
              <w:rPr>
                <w:rFonts w:hint="default" w:ascii="Times New Roman" w:hAnsi="Times New Roman" w:cs="Times New Roman"/>
                <w:color w:val="auto"/>
                <w:sz w:val="24"/>
                <w:szCs w:val="24"/>
                <w:highlight w:val="none"/>
                <w:u w:val="none" w:color="auto"/>
                <w:lang w:val="en-US" w:eastAsia="zh-CN"/>
              </w:rPr>
              <w:t>t/a。属于《国家危险废物名录》（202</w:t>
            </w:r>
            <w:r>
              <w:rPr>
                <w:rFonts w:hint="eastAsia" w:ascii="Times New Roman" w:hAnsi="Times New Roman" w:cs="Times New Roman"/>
                <w:color w:val="auto"/>
                <w:sz w:val="24"/>
                <w:szCs w:val="24"/>
                <w:highlight w:val="none"/>
                <w:u w:val="none" w:color="auto"/>
                <w:lang w:val="en-US" w:eastAsia="zh-CN"/>
              </w:rPr>
              <w:t>5</w:t>
            </w:r>
            <w:r>
              <w:rPr>
                <w:rFonts w:hint="default" w:ascii="Times New Roman" w:hAnsi="Times New Roman" w:cs="Times New Roman"/>
                <w:color w:val="auto"/>
                <w:sz w:val="24"/>
                <w:szCs w:val="24"/>
                <w:highlight w:val="none"/>
                <w:u w:val="none" w:color="auto"/>
                <w:lang w:val="en-US" w:eastAsia="zh-CN"/>
              </w:rPr>
              <w:t>年版）中HW49其他废物，废物代码为900-041-49</w:t>
            </w:r>
          </w:p>
          <w:p w14:paraId="445129C2">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default" w:ascii="Times New Roman" w:hAnsi="Times New Roman" w:cs="Times New Roman"/>
                <w:color w:val="auto"/>
                <w:sz w:val="24"/>
                <w:szCs w:val="24"/>
                <w:highlight w:val="none"/>
                <w:u w:val="none" w:color="auto"/>
                <w:lang w:val="en-US" w:eastAsia="zh-CN"/>
              </w:rPr>
              <w:t>（含有或沾染毒性、感染性危险废物的废弃包装物、容器、过滤吸附介质），经集中收集后存放于危废暂存间中，定期交由有危险废物处理资质的单位回收处置。</w:t>
            </w:r>
          </w:p>
          <w:p w14:paraId="03A791EF">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zh-CN" w:eastAsia="zh-CN"/>
              </w:rPr>
            </w:pPr>
            <w:r>
              <w:rPr>
                <w:rFonts w:hint="eastAsia" w:ascii="Times New Roman" w:hAnsi="Times New Roman" w:cs="Times New Roman"/>
                <w:color w:val="auto"/>
                <w:sz w:val="24"/>
                <w:szCs w:val="24"/>
                <w:highlight w:val="none"/>
                <w:u w:val="none" w:color="auto"/>
                <w:lang w:val="en-US" w:eastAsia="zh-CN"/>
              </w:rPr>
              <w:t>②</w:t>
            </w:r>
            <w:r>
              <w:rPr>
                <w:rFonts w:hint="default" w:ascii="Times New Roman" w:hAnsi="Times New Roman" w:cs="Times New Roman"/>
                <w:color w:val="auto"/>
                <w:sz w:val="24"/>
                <w:szCs w:val="24"/>
                <w:highlight w:val="none"/>
                <w:u w:val="none" w:color="auto"/>
                <w:lang w:val="en-US" w:eastAsia="zh-CN"/>
              </w:rPr>
              <w:t>废油漆桶、稀释剂桶、废固化剂桶</w:t>
            </w:r>
          </w:p>
          <w:p w14:paraId="4B00B967">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zh-CN" w:eastAsia="zh-CN"/>
              </w:rPr>
            </w:pPr>
            <w:r>
              <w:rPr>
                <w:rFonts w:hint="default" w:ascii="Times New Roman" w:hAnsi="Times New Roman" w:cs="Times New Roman"/>
                <w:color w:val="auto"/>
                <w:sz w:val="24"/>
                <w:szCs w:val="24"/>
                <w:highlight w:val="none"/>
                <w:u w:val="none" w:color="auto"/>
                <w:lang w:val="zh-CN" w:eastAsia="zh-CN"/>
              </w:rPr>
              <w:t>本工</w:t>
            </w:r>
            <w:r>
              <w:rPr>
                <w:rFonts w:hint="eastAsia" w:ascii="Times New Roman" w:hAnsi="Times New Roman" w:cs="Times New Roman"/>
                <w:color w:val="auto"/>
                <w:sz w:val="24"/>
                <w:szCs w:val="24"/>
                <w:highlight w:val="none"/>
                <w:u w:val="none" w:color="auto"/>
                <w:lang w:val="en-US" w:eastAsia="zh-CN"/>
              </w:rPr>
              <w:t>油漆</w:t>
            </w:r>
            <w:r>
              <w:rPr>
                <w:rFonts w:hint="eastAsia" w:ascii="Times New Roman" w:hAnsi="Times New Roman" w:cs="Times New Roman"/>
                <w:color w:val="auto"/>
                <w:sz w:val="24"/>
                <w:szCs w:val="24"/>
                <w:highlight w:val="none"/>
                <w:u w:val="none" w:color="auto"/>
                <w:lang w:val="zh-CN" w:eastAsia="zh-CN"/>
              </w:rPr>
              <w:t>、</w:t>
            </w:r>
            <w:r>
              <w:rPr>
                <w:rFonts w:hint="eastAsia" w:ascii="Times New Roman" w:hAnsi="Times New Roman" w:cs="Times New Roman"/>
                <w:color w:val="auto"/>
                <w:sz w:val="24"/>
                <w:szCs w:val="24"/>
                <w:highlight w:val="none"/>
                <w:u w:val="none" w:color="auto"/>
                <w:lang w:val="en-US" w:eastAsia="zh-CN"/>
              </w:rPr>
              <w:t>固化剂、</w:t>
            </w:r>
            <w:r>
              <w:rPr>
                <w:rFonts w:hint="eastAsia" w:ascii="Times New Roman" w:hAnsi="Times New Roman" w:cs="Times New Roman"/>
                <w:color w:val="auto"/>
                <w:sz w:val="24"/>
                <w:szCs w:val="24"/>
                <w:highlight w:val="none"/>
                <w:u w:val="none" w:color="auto"/>
                <w:lang w:val="zh-CN" w:eastAsia="zh-CN"/>
              </w:rPr>
              <w:t>稀释剂</w:t>
            </w:r>
            <w:r>
              <w:rPr>
                <w:rFonts w:hint="default" w:ascii="Times New Roman" w:hAnsi="Times New Roman" w:cs="Times New Roman"/>
                <w:color w:val="auto"/>
                <w:sz w:val="24"/>
                <w:szCs w:val="24"/>
                <w:highlight w:val="none"/>
                <w:u w:val="none" w:color="auto"/>
                <w:lang w:val="zh-CN" w:eastAsia="zh-CN"/>
              </w:rPr>
              <w:t>使用后会产生</w:t>
            </w:r>
            <w:r>
              <w:rPr>
                <w:rFonts w:hint="default" w:ascii="Times New Roman" w:hAnsi="Times New Roman" w:cs="Times New Roman"/>
                <w:color w:val="auto"/>
                <w:sz w:val="24"/>
                <w:szCs w:val="24"/>
                <w:highlight w:val="none"/>
                <w:u w:val="none" w:color="auto"/>
                <w:lang w:val="en-US" w:eastAsia="zh-CN"/>
              </w:rPr>
              <w:t>废油漆桶、稀释剂桶、废固化剂桶</w:t>
            </w:r>
            <w:r>
              <w:rPr>
                <w:rFonts w:hint="default" w:ascii="Times New Roman" w:hAnsi="Times New Roman" w:cs="Times New Roman"/>
                <w:color w:val="auto"/>
                <w:sz w:val="24"/>
                <w:szCs w:val="24"/>
                <w:highlight w:val="none"/>
                <w:u w:val="none" w:color="auto"/>
                <w:lang w:val="zh-CN" w:eastAsia="zh-CN"/>
              </w:rPr>
              <w:t>，</w:t>
            </w:r>
            <w:r>
              <w:rPr>
                <w:rFonts w:hint="eastAsia" w:ascii="Times New Roman" w:hAnsi="Times New Roman" w:cs="Times New Roman"/>
                <w:color w:val="auto"/>
                <w:sz w:val="24"/>
                <w:szCs w:val="24"/>
                <w:highlight w:val="none"/>
                <w:u w:val="none" w:color="auto"/>
                <w:lang w:val="en-US" w:eastAsia="zh-CN"/>
              </w:rPr>
              <w:t>根据建设单位提供资料，废油漆桶、稀释剂桶、废固化剂桶</w:t>
            </w:r>
            <w:r>
              <w:rPr>
                <w:rFonts w:hint="default" w:ascii="Times New Roman" w:hAnsi="Times New Roman" w:cs="Times New Roman"/>
                <w:color w:val="auto"/>
                <w:sz w:val="24"/>
                <w:szCs w:val="24"/>
                <w:highlight w:val="none"/>
                <w:u w:val="none" w:color="auto"/>
                <w:lang w:val="zh-CN" w:eastAsia="zh-CN"/>
              </w:rPr>
              <w:t>产生量</w:t>
            </w:r>
            <w:r>
              <w:rPr>
                <w:rFonts w:hint="eastAsia" w:ascii="Times New Roman" w:hAnsi="Times New Roman" w:cs="Times New Roman"/>
                <w:color w:val="auto"/>
                <w:sz w:val="24"/>
                <w:szCs w:val="24"/>
                <w:highlight w:val="none"/>
                <w:u w:val="none" w:color="auto"/>
                <w:lang w:val="en-US" w:eastAsia="zh-CN"/>
              </w:rPr>
              <w:t>0.5</w:t>
            </w:r>
            <w:r>
              <w:rPr>
                <w:rFonts w:hint="default" w:ascii="Times New Roman" w:hAnsi="Times New Roman" w:cs="Times New Roman"/>
                <w:color w:val="auto"/>
                <w:sz w:val="24"/>
                <w:szCs w:val="24"/>
                <w:highlight w:val="none"/>
                <w:u w:val="none" w:color="auto"/>
                <w:lang w:val="zh-CN" w:eastAsia="zh-CN"/>
              </w:rPr>
              <w:t>t/a</w:t>
            </w:r>
            <w:r>
              <w:rPr>
                <w:rFonts w:hint="eastAsia" w:ascii="Times New Roman" w:hAnsi="Times New Roman" w:cs="Times New Roman"/>
                <w:color w:val="auto"/>
                <w:sz w:val="24"/>
                <w:szCs w:val="24"/>
                <w:highlight w:val="none"/>
                <w:u w:val="none" w:color="auto"/>
                <w:lang w:val="zh-CN" w:eastAsia="zh-CN"/>
              </w:rPr>
              <w:t>。</w:t>
            </w:r>
            <w:r>
              <w:rPr>
                <w:rFonts w:hint="default" w:ascii="Times New Roman" w:hAnsi="Times New Roman" w:cs="Times New Roman"/>
                <w:color w:val="auto"/>
                <w:sz w:val="24"/>
                <w:szCs w:val="24"/>
                <w:highlight w:val="none"/>
                <w:u w:val="none" w:color="auto"/>
                <w:lang w:val="en-US" w:eastAsia="zh-CN"/>
              </w:rPr>
              <w:t>属于《国家危险废物名录》（202</w:t>
            </w:r>
            <w:r>
              <w:rPr>
                <w:rFonts w:hint="eastAsia" w:ascii="Times New Roman" w:hAnsi="Times New Roman" w:cs="Times New Roman"/>
                <w:color w:val="auto"/>
                <w:sz w:val="24"/>
                <w:szCs w:val="24"/>
                <w:highlight w:val="none"/>
                <w:u w:val="none" w:color="auto"/>
                <w:lang w:val="en-US" w:eastAsia="zh-CN"/>
              </w:rPr>
              <w:t>5</w:t>
            </w:r>
            <w:r>
              <w:rPr>
                <w:rFonts w:hint="default" w:ascii="Times New Roman" w:hAnsi="Times New Roman" w:cs="Times New Roman"/>
                <w:color w:val="auto"/>
                <w:sz w:val="24"/>
                <w:szCs w:val="24"/>
                <w:highlight w:val="none"/>
                <w:u w:val="none" w:color="auto"/>
                <w:lang w:val="en-US" w:eastAsia="zh-CN"/>
              </w:rPr>
              <w:t>年版）中HW49其他废物，废物代码为900-041-49（含有或沾染毒性、感染性危险废物的废弃包装物、容器、过滤吸附介质），经集中收集后存放于危废暂存间中，定期交由有危险废物处理资质的单位回收处置。</w:t>
            </w:r>
          </w:p>
          <w:p w14:paraId="1EA0D95E">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eastAsia" w:ascii="Times New Roman" w:hAnsi="Times New Roman" w:cs="Times New Roman"/>
                <w:color w:val="auto"/>
                <w:sz w:val="24"/>
                <w:szCs w:val="24"/>
                <w:highlight w:val="none"/>
                <w:u w:val="none" w:color="auto"/>
                <w:lang w:val="en-US" w:eastAsia="zh-CN"/>
              </w:rPr>
            </w:pPr>
            <w:r>
              <w:rPr>
                <w:rFonts w:hint="eastAsia" w:ascii="Times New Roman" w:hAnsi="Times New Roman" w:cs="Times New Roman"/>
                <w:color w:val="auto"/>
                <w:sz w:val="24"/>
                <w:szCs w:val="24"/>
                <w:highlight w:val="none"/>
                <w:u w:val="none" w:color="auto"/>
                <w:lang w:val="en-US" w:eastAsia="zh-CN"/>
              </w:rPr>
              <w:t>③废漆渣</w:t>
            </w:r>
          </w:p>
          <w:p w14:paraId="3C93391C">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default" w:ascii="Times New Roman" w:hAnsi="Times New Roman" w:cs="Times New Roman"/>
                <w:color w:val="auto"/>
                <w:sz w:val="24"/>
                <w:szCs w:val="24"/>
                <w:highlight w:val="none"/>
                <w:u w:val="none" w:color="auto"/>
                <w:lang w:val="en-US" w:eastAsia="zh-CN"/>
              </w:rPr>
              <w:t>喷漆过程中漆渣</w:t>
            </w:r>
            <w:r>
              <w:rPr>
                <w:rFonts w:hint="eastAsia" w:ascii="Times New Roman" w:hAnsi="Times New Roman" w:cs="Times New Roman"/>
                <w:color w:val="auto"/>
                <w:sz w:val="24"/>
                <w:szCs w:val="24"/>
                <w:highlight w:val="none"/>
                <w:u w:val="none" w:color="auto"/>
                <w:lang w:val="en-US" w:eastAsia="zh-CN"/>
              </w:rPr>
              <w:t>产生量为</w:t>
            </w:r>
            <w:r>
              <w:rPr>
                <w:rFonts w:hint="eastAsia" w:cs="Times New Roman"/>
                <w:color w:val="auto"/>
                <w:sz w:val="24"/>
                <w:szCs w:val="24"/>
                <w:highlight w:val="none"/>
                <w:u w:val="none" w:color="auto"/>
                <w:lang w:val="en-US" w:eastAsia="zh-CN"/>
              </w:rPr>
              <w:t>0.665</w:t>
            </w:r>
            <w:r>
              <w:rPr>
                <w:rFonts w:hint="default" w:ascii="Times New Roman" w:hAnsi="Times New Roman" w:cs="Times New Roman"/>
                <w:color w:val="auto"/>
                <w:sz w:val="24"/>
                <w:szCs w:val="24"/>
                <w:highlight w:val="none"/>
                <w:u w:val="none" w:color="auto"/>
                <w:lang w:val="zh-CN" w:eastAsia="zh-CN"/>
              </w:rPr>
              <w:t>t/a，</w:t>
            </w:r>
            <w:r>
              <w:rPr>
                <w:rFonts w:hint="default" w:ascii="Times New Roman" w:hAnsi="Times New Roman" w:cs="Times New Roman"/>
                <w:color w:val="auto"/>
                <w:sz w:val="24"/>
                <w:szCs w:val="24"/>
                <w:highlight w:val="none"/>
                <w:u w:val="none" w:color="auto"/>
                <w:lang w:val="en-US" w:eastAsia="zh-CN"/>
              </w:rPr>
              <w:t>属于《国家危险废物名录》（202</w:t>
            </w:r>
            <w:r>
              <w:rPr>
                <w:rFonts w:hint="eastAsia" w:ascii="Times New Roman" w:hAnsi="Times New Roman" w:cs="Times New Roman"/>
                <w:color w:val="auto"/>
                <w:sz w:val="24"/>
                <w:szCs w:val="24"/>
                <w:highlight w:val="none"/>
                <w:u w:val="none" w:color="auto"/>
                <w:lang w:val="en-US" w:eastAsia="zh-CN"/>
              </w:rPr>
              <w:t>5</w:t>
            </w:r>
            <w:r>
              <w:rPr>
                <w:rFonts w:hint="default" w:ascii="Times New Roman" w:hAnsi="Times New Roman" w:cs="Times New Roman"/>
                <w:color w:val="auto"/>
                <w:sz w:val="24"/>
                <w:szCs w:val="24"/>
                <w:highlight w:val="none"/>
                <w:u w:val="none" w:color="auto"/>
                <w:lang w:val="en-US" w:eastAsia="zh-CN"/>
              </w:rPr>
              <w:t>年版）</w:t>
            </w:r>
            <w:r>
              <w:rPr>
                <w:rFonts w:hint="default" w:ascii="Times New Roman" w:hAnsi="Times New Roman" w:cs="Times New Roman"/>
                <w:color w:val="auto"/>
                <w:sz w:val="24"/>
                <w:szCs w:val="24"/>
                <w:highlight w:val="none"/>
                <w:u w:val="none" w:color="auto"/>
                <w:lang w:val="zh-CN" w:eastAsia="zh-CN"/>
              </w:rPr>
              <w:t>HW</w:t>
            </w:r>
            <w:r>
              <w:rPr>
                <w:rFonts w:hint="eastAsia" w:ascii="Times New Roman" w:hAnsi="Times New Roman" w:cs="Times New Roman"/>
                <w:color w:val="auto"/>
                <w:sz w:val="24"/>
                <w:szCs w:val="24"/>
                <w:highlight w:val="none"/>
                <w:u w:val="none" w:color="auto"/>
                <w:lang w:val="en-US" w:eastAsia="zh-CN"/>
              </w:rPr>
              <w:t>12染料、涂料废物，废物代码为</w:t>
            </w:r>
            <w:r>
              <w:rPr>
                <w:rFonts w:hint="default" w:ascii="Times New Roman" w:hAnsi="Times New Roman" w:cs="Times New Roman"/>
                <w:color w:val="auto"/>
                <w:sz w:val="24"/>
                <w:szCs w:val="24"/>
                <w:highlight w:val="none"/>
                <w:u w:val="none" w:color="auto"/>
                <w:lang w:val="en-US" w:eastAsia="zh-CN"/>
              </w:rPr>
              <w:t>900-252-12</w:t>
            </w:r>
            <w:r>
              <w:rPr>
                <w:rFonts w:hint="eastAsia" w:ascii="Times New Roman" w:hAnsi="Times New Roman" w:cs="Times New Roman"/>
                <w:color w:val="auto"/>
                <w:sz w:val="24"/>
                <w:szCs w:val="24"/>
                <w:highlight w:val="none"/>
                <w:u w:val="none" w:color="auto"/>
                <w:lang w:val="en-US" w:eastAsia="zh-CN"/>
              </w:rPr>
              <w:t>（使用油漆（不包括水性漆）、有机溶剂进行喷漆、上漆过程</w:t>
            </w:r>
            <w:r>
              <w:rPr>
                <w:rFonts w:hint="eastAsia" w:cs="Times New Roman"/>
                <w:color w:val="auto"/>
                <w:sz w:val="24"/>
                <w:szCs w:val="24"/>
                <w:highlight w:val="none"/>
                <w:u w:val="none" w:color="auto"/>
                <w:lang w:val="en-US" w:eastAsia="zh-CN"/>
              </w:rPr>
              <w:t>中通</w:t>
            </w:r>
            <w:r>
              <w:rPr>
                <w:rFonts w:hint="eastAsia" w:ascii="Times New Roman" w:hAnsi="Times New Roman" w:cs="Times New Roman"/>
                <w:color w:val="auto"/>
                <w:sz w:val="24"/>
                <w:szCs w:val="24"/>
                <w:highlight w:val="none"/>
                <w:u w:val="none" w:color="auto"/>
                <w:lang w:val="en-US" w:eastAsia="zh-CN"/>
              </w:rPr>
              <w:t>过喷漆雾湿法捕集产生的漆渣</w:t>
            </w:r>
            <w:r>
              <w:rPr>
                <w:rFonts w:hint="eastAsia" w:cs="Times New Roman"/>
                <w:color w:val="auto"/>
                <w:sz w:val="24"/>
                <w:szCs w:val="24"/>
                <w:highlight w:val="none"/>
                <w:u w:val="none" w:color="auto"/>
                <w:lang w:val="en-US" w:eastAsia="zh-CN"/>
              </w:rPr>
              <w:t>，以及</w:t>
            </w:r>
            <w:r>
              <w:rPr>
                <w:rFonts w:hint="eastAsia" w:ascii="Times New Roman" w:hAnsi="Times New Roman" w:cs="Times New Roman"/>
                <w:color w:val="auto"/>
                <w:sz w:val="24"/>
                <w:szCs w:val="24"/>
                <w:highlight w:val="none"/>
                <w:u w:val="none" w:color="auto"/>
                <w:lang w:val="en-US" w:eastAsia="zh-CN"/>
              </w:rPr>
              <w:t>喷涂工位和管道清理过程产生的落地漆渣）</w:t>
            </w:r>
            <w:r>
              <w:rPr>
                <w:rFonts w:hint="default" w:ascii="Times New Roman" w:hAnsi="Times New Roman" w:cs="Times New Roman"/>
                <w:color w:val="auto"/>
                <w:sz w:val="24"/>
                <w:szCs w:val="24"/>
                <w:highlight w:val="none"/>
                <w:u w:val="none" w:color="auto"/>
                <w:lang w:val="zh-CN" w:eastAsia="zh-CN"/>
              </w:rPr>
              <w:t>，</w:t>
            </w:r>
            <w:r>
              <w:rPr>
                <w:rFonts w:hint="default" w:ascii="Times New Roman" w:hAnsi="Times New Roman" w:cs="Times New Roman"/>
                <w:color w:val="auto"/>
                <w:sz w:val="24"/>
                <w:szCs w:val="24"/>
                <w:highlight w:val="none"/>
                <w:u w:val="none" w:color="auto"/>
                <w:lang w:val="en-US" w:eastAsia="zh-CN"/>
              </w:rPr>
              <w:t>收集后分类暂存于危废暂存间内，定期委托有资质的单位处置</w:t>
            </w:r>
            <w:r>
              <w:rPr>
                <w:rFonts w:hint="default" w:ascii="Times New Roman" w:hAnsi="Times New Roman" w:cs="Times New Roman"/>
                <w:color w:val="auto"/>
                <w:sz w:val="24"/>
                <w:szCs w:val="24"/>
                <w:highlight w:val="none"/>
                <w:u w:val="none" w:color="auto"/>
                <w:lang w:val="zh-CN" w:eastAsia="zh-CN"/>
              </w:rPr>
              <w:t>。</w:t>
            </w:r>
          </w:p>
          <w:p w14:paraId="50DD422D">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eastAsia" w:ascii="Times New Roman" w:hAnsi="Times New Roman" w:cs="Times New Roman"/>
                <w:color w:val="auto"/>
                <w:sz w:val="24"/>
                <w:szCs w:val="24"/>
                <w:highlight w:val="none"/>
                <w:u w:val="none" w:color="auto"/>
                <w:lang w:val="en-US" w:eastAsia="zh-CN"/>
              </w:rPr>
              <w:t>④</w:t>
            </w:r>
            <w:r>
              <w:rPr>
                <w:rFonts w:hint="default" w:ascii="Times New Roman" w:hAnsi="Times New Roman" w:cs="Times New Roman"/>
                <w:color w:val="auto"/>
                <w:sz w:val="24"/>
                <w:szCs w:val="24"/>
                <w:highlight w:val="none"/>
                <w:u w:val="none" w:color="auto"/>
                <w:lang w:val="en-US" w:eastAsia="zh-CN"/>
              </w:rPr>
              <w:t>废水帘循环水</w:t>
            </w:r>
          </w:p>
          <w:p w14:paraId="5CA2DDF6">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default" w:ascii="Times New Roman" w:hAnsi="Times New Roman" w:cs="Times New Roman"/>
                <w:color w:val="auto"/>
                <w:sz w:val="24"/>
                <w:szCs w:val="24"/>
                <w:highlight w:val="none"/>
                <w:u w:val="none" w:color="auto"/>
                <w:lang w:val="zh-CN" w:eastAsia="zh-CN"/>
              </w:rPr>
              <w:t>项目喷漆采用水帘除去漆雾，项目共设置4套喷漆房，水帘水槽体积为4m×4m×0.5m共3个，水帘水槽体积为2.5m×2.5m×0.5m共1个，水槽有效水深为0.</w:t>
            </w:r>
            <w:r>
              <w:rPr>
                <w:rFonts w:hint="eastAsia" w:ascii="Times New Roman" w:hAnsi="Times New Roman" w:cs="Times New Roman"/>
                <w:color w:val="auto"/>
                <w:sz w:val="24"/>
                <w:szCs w:val="24"/>
                <w:highlight w:val="none"/>
                <w:u w:val="none" w:color="auto"/>
                <w:lang w:val="en-US" w:eastAsia="zh-CN"/>
              </w:rPr>
              <w:t>2</w:t>
            </w:r>
            <w:r>
              <w:rPr>
                <w:rFonts w:hint="default" w:ascii="Times New Roman" w:hAnsi="Times New Roman" w:cs="Times New Roman"/>
                <w:color w:val="auto"/>
                <w:sz w:val="24"/>
                <w:szCs w:val="24"/>
                <w:highlight w:val="none"/>
                <w:u w:val="none" w:color="auto"/>
                <w:lang w:val="zh-CN" w:eastAsia="zh-CN"/>
              </w:rPr>
              <w:t>m，除漆雾循环水定期补充，半年更换一次，一次更换水量为</w:t>
            </w:r>
            <w:r>
              <w:rPr>
                <w:rFonts w:hint="eastAsia" w:ascii="Times New Roman" w:hAnsi="Times New Roman" w:cs="Times New Roman"/>
                <w:color w:val="auto"/>
                <w:sz w:val="24"/>
                <w:szCs w:val="24"/>
                <w:highlight w:val="none"/>
                <w:u w:val="none" w:color="auto"/>
                <w:lang w:val="en-US" w:eastAsia="zh-CN"/>
              </w:rPr>
              <w:t>10.85</w:t>
            </w:r>
            <w:r>
              <w:rPr>
                <w:rFonts w:hint="default" w:ascii="Times New Roman" w:hAnsi="Times New Roman" w:cs="Times New Roman"/>
                <w:color w:val="auto"/>
                <w:sz w:val="24"/>
                <w:szCs w:val="24"/>
                <w:highlight w:val="none"/>
                <w:u w:val="none" w:color="auto"/>
                <w:lang w:val="zh-CN" w:eastAsia="zh-CN"/>
              </w:rPr>
              <w:t>m3，水帘废水产生量</w:t>
            </w:r>
            <w:r>
              <w:rPr>
                <w:rFonts w:hint="eastAsia" w:ascii="Times New Roman" w:hAnsi="Times New Roman" w:cs="Times New Roman"/>
                <w:color w:val="auto"/>
                <w:sz w:val="24"/>
                <w:szCs w:val="24"/>
                <w:highlight w:val="none"/>
                <w:u w:val="none" w:color="auto"/>
                <w:lang w:val="zh-CN" w:eastAsia="zh-CN"/>
              </w:rPr>
              <w:t>21.7</w:t>
            </w:r>
            <w:r>
              <w:rPr>
                <w:rFonts w:hint="default" w:ascii="Times New Roman" w:hAnsi="Times New Roman" w:cs="Times New Roman"/>
                <w:color w:val="auto"/>
                <w:sz w:val="24"/>
                <w:szCs w:val="24"/>
                <w:highlight w:val="none"/>
                <w:u w:val="none" w:color="auto"/>
                <w:lang w:val="zh-CN" w:eastAsia="zh-CN"/>
              </w:rPr>
              <w:t>t/a</w:t>
            </w:r>
            <w:r>
              <w:rPr>
                <w:rFonts w:hint="eastAsia" w:ascii="Times New Roman" w:hAnsi="Times New Roman" w:cs="Times New Roman"/>
                <w:color w:val="auto"/>
                <w:sz w:val="24"/>
                <w:szCs w:val="24"/>
                <w:highlight w:val="none"/>
                <w:u w:val="none" w:color="auto"/>
                <w:lang w:val="zh-CN" w:eastAsia="zh-CN"/>
              </w:rPr>
              <w:t>，</w:t>
            </w:r>
            <w:r>
              <w:rPr>
                <w:rFonts w:hint="default" w:ascii="Times New Roman" w:hAnsi="Times New Roman" w:cs="Times New Roman"/>
                <w:color w:val="auto"/>
                <w:sz w:val="24"/>
                <w:szCs w:val="24"/>
                <w:highlight w:val="none"/>
                <w:u w:val="none" w:color="auto"/>
                <w:lang w:val="en-US" w:eastAsia="zh-CN"/>
              </w:rPr>
              <w:t>属于《国家危险废物名录》（202</w:t>
            </w:r>
            <w:r>
              <w:rPr>
                <w:rFonts w:hint="eastAsia" w:ascii="Times New Roman" w:hAnsi="Times New Roman" w:cs="Times New Roman"/>
                <w:color w:val="auto"/>
                <w:sz w:val="24"/>
                <w:szCs w:val="24"/>
                <w:highlight w:val="none"/>
                <w:u w:val="none" w:color="auto"/>
                <w:lang w:val="en-US" w:eastAsia="zh-CN"/>
              </w:rPr>
              <w:t>5</w:t>
            </w:r>
            <w:r>
              <w:rPr>
                <w:rFonts w:hint="default" w:ascii="Times New Roman" w:hAnsi="Times New Roman" w:cs="Times New Roman"/>
                <w:color w:val="auto"/>
                <w:sz w:val="24"/>
                <w:szCs w:val="24"/>
                <w:highlight w:val="none"/>
                <w:u w:val="none" w:color="auto"/>
                <w:lang w:val="en-US" w:eastAsia="zh-CN"/>
              </w:rPr>
              <w:t>年版）HW</w:t>
            </w:r>
            <w:r>
              <w:rPr>
                <w:rFonts w:hint="eastAsia" w:ascii="Times New Roman" w:hAnsi="Times New Roman" w:cs="Times New Roman"/>
                <w:color w:val="auto"/>
                <w:sz w:val="24"/>
                <w:szCs w:val="24"/>
                <w:highlight w:val="none"/>
                <w:u w:val="none" w:color="auto"/>
                <w:lang w:val="en-US" w:eastAsia="zh-CN"/>
              </w:rPr>
              <w:t>12染料、涂料废物，废物代码为264</w:t>
            </w:r>
            <w:r>
              <w:rPr>
                <w:rFonts w:hint="default" w:ascii="Times New Roman" w:hAnsi="Times New Roman" w:cs="Times New Roman"/>
                <w:color w:val="auto"/>
                <w:sz w:val="24"/>
                <w:szCs w:val="24"/>
                <w:highlight w:val="none"/>
                <w:u w:val="none" w:color="auto"/>
                <w:lang w:val="en-US" w:eastAsia="zh-CN"/>
              </w:rPr>
              <w:t>-</w:t>
            </w:r>
            <w:r>
              <w:rPr>
                <w:rFonts w:hint="eastAsia" w:ascii="Times New Roman" w:hAnsi="Times New Roman" w:cs="Times New Roman"/>
                <w:color w:val="auto"/>
                <w:sz w:val="24"/>
                <w:szCs w:val="24"/>
                <w:highlight w:val="none"/>
                <w:u w:val="none" w:color="auto"/>
                <w:lang w:val="en-US" w:eastAsia="zh-CN"/>
              </w:rPr>
              <w:t>012</w:t>
            </w:r>
            <w:r>
              <w:rPr>
                <w:rFonts w:hint="default" w:ascii="Times New Roman" w:hAnsi="Times New Roman" w:cs="Times New Roman"/>
                <w:color w:val="auto"/>
                <w:sz w:val="24"/>
                <w:szCs w:val="24"/>
                <w:highlight w:val="none"/>
                <w:u w:val="none" w:color="auto"/>
                <w:lang w:val="en-US" w:eastAsia="zh-CN"/>
              </w:rPr>
              <w:t>-12</w:t>
            </w:r>
            <w:r>
              <w:rPr>
                <w:rFonts w:hint="eastAsia" w:ascii="Times New Roman" w:hAnsi="Times New Roman" w:cs="Times New Roman"/>
                <w:color w:val="auto"/>
                <w:sz w:val="24"/>
                <w:szCs w:val="24"/>
                <w:highlight w:val="none"/>
                <w:u w:val="none" w:color="auto"/>
                <w:lang w:val="en-US" w:eastAsia="zh-CN"/>
              </w:rPr>
              <w:t>（其他油墨、染料、颜料、油漆（不包括水性漆）生产过程中产生的废水处理污泥和蒸发处理残渣（液））</w:t>
            </w:r>
            <w:r>
              <w:rPr>
                <w:rFonts w:hint="default" w:ascii="Times New Roman" w:hAnsi="Times New Roman" w:cs="Times New Roman"/>
                <w:color w:val="auto"/>
                <w:sz w:val="24"/>
                <w:szCs w:val="24"/>
                <w:highlight w:val="none"/>
                <w:u w:val="none" w:color="auto"/>
                <w:lang w:val="en-US" w:eastAsia="zh-CN"/>
              </w:rPr>
              <w:t>，收集后分类暂存于</w:t>
            </w:r>
            <w:r>
              <w:rPr>
                <w:rFonts w:hint="eastAsia" w:ascii="Times New Roman" w:hAnsi="Times New Roman" w:cs="Times New Roman"/>
                <w:color w:val="auto"/>
                <w:sz w:val="24"/>
                <w:szCs w:val="24"/>
                <w:highlight w:val="none"/>
                <w:u w:val="none" w:color="auto"/>
                <w:lang w:val="en-US" w:eastAsia="zh-CN"/>
              </w:rPr>
              <w:t>危废暂存间</w:t>
            </w:r>
            <w:r>
              <w:rPr>
                <w:rFonts w:hint="default" w:ascii="Times New Roman" w:hAnsi="Times New Roman" w:cs="Times New Roman"/>
                <w:color w:val="auto"/>
                <w:sz w:val="24"/>
                <w:szCs w:val="24"/>
                <w:highlight w:val="none"/>
                <w:u w:val="none" w:color="auto"/>
                <w:lang w:val="en-US" w:eastAsia="zh-CN"/>
              </w:rPr>
              <w:t>，定期委托有资质的单位处置。</w:t>
            </w:r>
          </w:p>
          <w:p w14:paraId="32D1E9BC">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eastAsia" w:ascii="Times New Roman" w:hAnsi="Times New Roman" w:cs="Times New Roman"/>
                <w:color w:val="auto"/>
                <w:sz w:val="24"/>
                <w:szCs w:val="24"/>
                <w:highlight w:val="none"/>
                <w:u w:val="none" w:color="auto"/>
                <w:lang w:val="en-US" w:eastAsia="zh-CN"/>
              </w:rPr>
              <w:t>⑤</w:t>
            </w:r>
            <w:r>
              <w:rPr>
                <w:rFonts w:hint="default" w:ascii="Times New Roman" w:hAnsi="Times New Roman" w:cs="Times New Roman"/>
                <w:color w:val="auto"/>
                <w:sz w:val="24"/>
                <w:szCs w:val="24"/>
                <w:highlight w:val="none"/>
                <w:u w:val="none" w:color="auto"/>
                <w:lang w:val="en-US" w:eastAsia="zh-CN"/>
              </w:rPr>
              <w:t>废活性炭</w:t>
            </w:r>
          </w:p>
          <w:p w14:paraId="171F38F3">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default" w:ascii="Times New Roman" w:hAnsi="Times New Roman" w:cs="Times New Roman"/>
                <w:color w:val="auto"/>
                <w:sz w:val="24"/>
                <w:szCs w:val="24"/>
                <w:highlight w:val="none"/>
                <w:u w:val="none" w:color="auto"/>
                <w:lang w:val="en-US" w:eastAsia="zh-CN"/>
              </w:rPr>
              <w:t>本项目产生的有机废气需要经过活性炭吸附处理</w:t>
            </w:r>
            <w:r>
              <w:rPr>
                <w:rFonts w:hint="eastAsia" w:ascii="Times New Roman" w:hAnsi="Times New Roman"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活性炭约每3</w:t>
            </w:r>
            <w:r>
              <w:rPr>
                <w:rFonts w:hint="eastAsia" w:ascii="Times New Roman" w:hAnsi="Times New Roman"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6个月更换一次（具体可根据生产中实际废气处理饱和度情况及时更换</w:t>
            </w:r>
            <w:r>
              <w:rPr>
                <w:rFonts w:hint="eastAsia" w:ascii="Times New Roman" w:hAnsi="Times New Roman"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以免影响处理效率）</w:t>
            </w:r>
            <w:r>
              <w:rPr>
                <w:rFonts w:hint="eastAsia" w:ascii="Times New Roman" w:hAnsi="Times New Roman"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按1t活性炭最多吸附0.3t有机废气计算</w:t>
            </w:r>
            <w:r>
              <w:rPr>
                <w:rFonts w:hint="eastAsia" w:ascii="Times New Roman" w:hAnsi="Times New Roman"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本项目</w:t>
            </w:r>
            <w:r>
              <w:rPr>
                <w:rFonts w:hint="eastAsia" w:cs="Times New Roman"/>
                <w:color w:val="auto"/>
                <w:sz w:val="24"/>
                <w:szCs w:val="24"/>
                <w:highlight w:val="none"/>
                <w:u w:val="none" w:color="auto"/>
                <w:lang w:val="en-US" w:eastAsia="zh-CN"/>
              </w:rPr>
              <w:t>TA001活性炭</w:t>
            </w:r>
            <w:r>
              <w:rPr>
                <w:rFonts w:hint="default" w:ascii="Times New Roman" w:hAnsi="Times New Roman" w:cs="Times New Roman"/>
                <w:color w:val="auto"/>
                <w:sz w:val="24"/>
                <w:szCs w:val="24"/>
                <w:highlight w:val="none"/>
                <w:u w:val="none" w:color="auto"/>
                <w:lang w:val="en-US" w:eastAsia="zh-CN"/>
              </w:rPr>
              <w:t>预计吸附2.</w:t>
            </w:r>
            <w:r>
              <w:rPr>
                <w:rFonts w:hint="eastAsia" w:cs="Times New Roman"/>
                <w:color w:val="auto"/>
                <w:sz w:val="24"/>
                <w:szCs w:val="24"/>
                <w:highlight w:val="none"/>
                <w:u w:val="none" w:color="auto"/>
                <w:lang w:val="en-US" w:eastAsia="zh-CN"/>
              </w:rPr>
              <w:t>463</w:t>
            </w:r>
            <w:r>
              <w:rPr>
                <w:rFonts w:hint="default" w:ascii="Times New Roman" w:hAnsi="Times New Roman" w:cs="Times New Roman"/>
                <w:color w:val="auto"/>
                <w:sz w:val="24"/>
                <w:szCs w:val="24"/>
                <w:highlight w:val="none"/>
                <w:u w:val="none" w:color="auto"/>
                <w:lang w:val="en-US" w:eastAsia="zh-CN"/>
              </w:rPr>
              <w:t>t</w:t>
            </w:r>
            <w:r>
              <w:rPr>
                <w:rFonts w:hint="eastAsia" w:cs="Times New Roman"/>
                <w:color w:val="auto"/>
                <w:sz w:val="24"/>
                <w:szCs w:val="24"/>
                <w:highlight w:val="none"/>
                <w:u w:val="none" w:color="auto"/>
                <w:lang w:val="en-US" w:eastAsia="zh-CN"/>
              </w:rPr>
              <w:t>/a</w:t>
            </w:r>
            <w:r>
              <w:rPr>
                <w:rFonts w:hint="default" w:ascii="Times New Roman" w:hAnsi="Times New Roman" w:cs="Times New Roman"/>
                <w:color w:val="auto"/>
                <w:sz w:val="24"/>
                <w:szCs w:val="24"/>
                <w:highlight w:val="none"/>
                <w:u w:val="none" w:color="auto"/>
                <w:lang w:val="en-US" w:eastAsia="zh-CN"/>
              </w:rPr>
              <w:t>有机废气</w:t>
            </w:r>
            <w:r>
              <w:rPr>
                <w:rFonts w:hint="eastAsia" w:ascii="Times New Roman" w:hAnsi="Times New Roman" w:cs="Times New Roman"/>
                <w:color w:val="auto"/>
                <w:sz w:val="24"/>
                <w:szCs w:val="24"/>
                <w:highlight w:val="none"/>
                <w:u w:val="none" w:color="auto"/>
                <w:lang w:val="en-US" w:eastAsia="zh-CN"/>
              </w:rPr>
              <w:t>，TA00</w:t>
            </w:r>
            <w:r>
              <w:rPr>
                <w:rFonts w:hint="eastAsia" w:cs="Times New Roman"/>
                <w:color w:val="auto"/>
                <w:sz w:val="24"/>
                <w:szCs w:val="24"/>
                <w:highlight w:val="none"/>
                <w:u w:val="none" w:color="auto"/>
                <w:lang w:val="en-US" w:eastAsia="zh-CN"/>
              </w:rPr>
              <w:t>2</w:t>
            </w:r>
            <w:r>
              <w:rPr>
                <w:rFonts w:hint="eastAsia" w:ascii="Times New Roman" w:hAnsi="Times New Roman" w:cs="Times New Roman"/>
                <w:color w:val="auto"/>
                <w:sz w:val="24"/>
                <w:szCs w:val="24"/>
                <w:highlight w:val="none"/>
                <w:u w:val="none" w:color="auto"/>
                <w:lang w:val="en-US" w:eastAsia="zh-CN"/>
              </w:rPr>
              <w:t>活性炭预计吸附0.</w:t>
            </w:r>
            <w:r>
              <w:rPr>
                <w:rFonts w:hint="eastAsia" w:cs="Times New Roman"/>
                <w:color w:val="auto"/>
                <w:sz w:val="24"/>
                <w:szCs w:val="24"/>
                <w:highlight w:val="none"/>
                <w:u w:val="none" w:color="auto"/>
                <w:lang w:val="en-US" w:eastAsia="zh-CN"/>
              </w:rPr>
              <w:t>384</w:t>
            </w:r>
            <w:r>
              <w:rPr>
                <w:rFonts w:hint="eastAsia" w:ascii="Times New Roman" w:hAnsi="Times New Roman" w:cs="Times New Roman"/>
                <w:color w:val="auto"/>
                <w:sz w:val="24"/>
                <w:szCs w:val="24"/>
                <w:highlight w:val="none"/>
                <w:u w:val="none" w:color="auto"/>
                <w:lang w:val="en-US" w:eastAsia="zh-CN"/>
              </w:rPr>
              <w:t xml:space="preserve"> t</w:t>
            </w:r>
            <w:r>
              <w:rPr>
                <w:rFonts w:hint="eastAsia" w:cs="Times New Roman"/>
                <w:color w:val="auto"/>
                <w:sz w:val="24"/>
                <w:szCs w:val="24"/>
                <w:highlight w:val="none"/>
                <w:u w:val="none" w:color="auto"/>
                <w:lang w:val="en-US" w:eastAsia="zh-CN"/>
              </w:rPr>
              <w:t>/a</w:t>
            </w:r>
            <w:r>
              <w:rPr>
                <w:rFonts w:hint="eastAsia" w:ascii="Times New Roman" w:hAnsi="Times New Roman" w:cs="Times New Roman"/>
                <w:color w:val="auto"/>
                <w:sz w:val="24"/>
                <w:szCs w:val="24"/>
                <w:highlight w:val="none"/>
                <w:u w:val="none" w:color="auto"/>
                <w:lang w:val="en-US" w:eastAsia="zh-CN"/>
              </w:rPr>
              <w:t>有机废气</w:t>
            </w:r>
            <w:r>
              <w:rPr>
                <w:rFonts w:hint="eastAsia" w:cs="Times New Roman"/>
                <w:color w:val="auto"/>
                <w:sz w:val="24"/>
                <w:szCs w:val="24"/>
                <w:highlight w:val="none"/>
                <w:u w:val="none" w:color="auto"/>
                <w:lang w:val="en-US" w:eastAsia="zh-CN"/>
              </w:rPr>
              <w:t>，项目预计合计吸附有机废气2.847t/a。</w:t>
            </w:r>
            <w:r>
              <w:rPr>
                <w:rFonts w:hint="default" w:ascii="Times New Roman" w:hAnsi="Times New Roman" w:cs="Times New Roman"/>
                <w:color w:val="auto"/>
                <w:sz w:val="24"/>
                <w:szCs w:val="24"/>
                <w:highlight w:val="none"/>
                <w:u w:val="none" w:color="auto"/>
                <w:lang w:val="en-US" w:eastAsia="zh-CN"/>
              </w:rPr>
              <w:t>本项目</w:t>
            </w:r>
            <w:r>
              <w:rPr>
                <w:rFonts w:hint="eastAsia" w:ascii="Times New Roman" w:hAnsi="Times New Roman" w:cs="Times New Roman"/>
                <w:color w:val="auto"/>
                <w:sz w:val="24"/>
                <w:szCs w:val="24"/>
                <w:highlight w:val="none"/>
                <w:u w:val="none" w:color="auto"/>
                <w:lang w:val="en-US" w:eastAsia="zh-CN"/>
              </w:rPr>
              <w:t>年处理挥发性有机物</w:t>
            </w:r>
            <w:r>
              <w:rPr>
                <w:rFonts w:hint="default" w:ascii="Times New Roman" w:hAnsi="Times New Roman" w:cs="Times New Roman"/>
                <w:color w:val="auto"/>
                <w:sz w:val="24"/>
                <w:szCs w:val="24"/>
                <w:highlight w:val="none"/>
                <w:u w:val="none" w:color="auto"/>
                <w:lang w:val="en-US" w:eastAsia="zh-CN"/>
              </w:rPr>
              <w:t>活性炭预计</w:t>
            </w:r>
            <w:r>
              <w:rPr>
                <w:rFonts w:hint="eastAsia" w:ascii="Times New Roman" w:hAnsi="Times New Roman" w:cs="Times New Roman"/>
                <w:color w:val="auto"/>
                <w:sz w:val="24"/>
                <w:szCs w:val="24"/>
                <w:highlight w:val="none"/>
                <w:u w:val="none" w:color="auto"/>
                <w:lang w:val="en-US" w:eastAsia="zh-CN"/>
              </w:rPr>
              <w:t>使用</w:t>
            </w:r>
            <w:r>
              <w:rPr>
                <w:rFonts w:hint="default" w:ascii="Times New Roman" w:hAnsi="Times New Roman" w:cs="Times New Roman"/>
                <w:color w:val="auto"/>
                <w:sz w:val="24"/>
                <w:szCs w:val="24"/>
                <w:highlight w:val="none"/>
                <w:u w:val="none" w:color="auto"/>
                <w:lang w:val="en-US" w:eastAsia="zh-CN"/>
              </w:rPr>
              <w:t>量为</w:t>
            </w:r>
            <w:r>
              <w:rPr>
                <w:rFonts w:hint="eastAsia" w:cs="Times New Roman"/>
                <w:color w:val="auto"/>
                <w:sz w:val="24"/>
                <w:szCs w:val="24"/>
                <w:highlight w:val="none"/>
                <w:u w:val="none" w:color="auto"/>
                <w:lang w:val="en-US" w:eastAsia="zh-CN"/>
              </w:rPr>
              <w:t>9.49</w:t>
            </w:r>
            <w:r>
              <w:rPr>
                <w:rFonts w:hint="default" w:ascii="Times New Roman" w:hAnsi="Times New Roman" w:cs="Times New Roman"/>
                <w:color w:val="auto"/>
                <w:sz w:val="24"/>
                <w:szCs w:val="24"/>
                <w:highlight w:val="none"/>
                <w:u w:val="none" w:color="auto"/>
                <w:lang w:val="en-US" w:eastAsia="zh-CN"/>
              </w:rPr>
              <w:t>t/a</w:t>
            </w:r>
            <w:r>
              <w:rPr>
                <w:rFonts w:hint="eastAsia" w:ascii="Times New Roman" w:hAnsi="Times New Roman" w:cs="Times New Roman"/>
                <w:color w:val="auto"/>
                <w:sz w:val="24"/>
                <w:szCs w:val="24"/>
                <w:highlight w:val="none"/>
                <w:u w:val="none" w:color="auto"/>
                <w:lang w:val="en-US" w:eastAsia="zh-CN"/>
              </w:rPr>
              <w:t>，废活性炭产生量为</w:t>
            </w:r>
            <w:r>
              <w:rPr>
                <w:rFonts w:hint="eastAsia" w:cs="Times New Roman"/>
                <w:color w:val="auto"/>
                <w:sz w:val="24"/>
                <w:szCs w:val="24"/>
                <w:highlight w:val="none"/>
                <w:u w:val="none" w:color="auto"/>
                <w:lang w:val="en-US" w:eastAsia="zh-CN"/>
              </w:rPr>
              <w:t>12.337</w:t>
            </w:r>
            <w:r>
              <w:rPr>
                <w:rFonts w:hint="eastAsia" w:ascii="Times New Roman" w:hAnsi="Times New Roman" w:cs="Times New Roman"/>
                <w:color w:val="auto"/>
                <w:sz w:val="24"/>
                <w:szCs w:val="24"/>
                <w:highlight w:val="none"/>
                <w:u w:val="none" w:color="auto"/>
                <w:lang w:val="en-US" w:eastAsia="zh-CN"/>
              </w:rPr>
              <w:t>t/a</w:t>
            </w:r>
            <w:r>
              <w:rPr>
                <w:rFonts w:hint="default" w:ascii="Times New Roman" w:hAnsi="Times New Roman" w:cs="Times New Roman"/>
                <w:color w:val="auto"/>
                <w:sz w:val="24"/>
                <w:szCs w:val="24"/>
                <w:highlight w:val="none"/>
                <w:u w:val="none" w:color="auto"/>
                <w:lang w:val="en-US" w:eastAsia="zh-CN"/>
              </w:rPr>
              <w:t>。按</w:t>
            </w:r>
            <w:r>
              <w:rPr>
                <w:rFonts w:hint="eastAsia" w:ascii="Times New Roman" w:hAnsi="Times New Roman" w:cs="Times New Roman"/>
                <w:color w:val="auto"/>
                <w:sz w:val="24"/>
                <w:szCs w:val="24"/>
                <w:highlight w:val="none"/>
                <w:u w:val="none" w:color="auto"/>
                <w:lang w:val="en-US" w:eastAsia="zh-CN"/>
              </w:rPr>
              <w:t>《国家危险废物名录》（2025年版），</w:t>
            </w:r>
            <w:r>
              <w:rPr>
                <w:rFonts w:hint="default" w:ascii="Times New Roman" w:hAnsi="Times New Roman" w:cs="Times New Roman"/>
                <w:color w:val="auto"/>
                <w:sz w:val="24"/>
                <w:szCs w:val="24"/>
                <w:highlight w:val="none"/>
                <w:u w:val="none" w:color="auto"/>
                <w:lang w:val="en-US" w:eastAsia="zh-CN"/>
              </w:rPr>
              <w:t>其废物类别属于HW49</w:t>
            </w:r>
            <w:r>
              <w:rPr>
                <w:rFonts w:hint="eastAsia" w:ascii="Times New Roman" w:hAnsi="Times New Roman"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废物代码为900-039-49</w:t>
            </w:r>
            <w:r>
              <w:rPr>
                <w:rFonts w:hint="eastAsia" w:cs="Times New Roman"/>
                <w:color w:val="auto"/>
                <w:sz w:val="24"/>
                <w:szCs w:val="24"/>
                <w:highlight w:val="none"/>
                <w:u w:val="none" w:color="auto"/>
                <w:lang w:val="en-US" w:eastAsia="zh-CN"/>
              </w:rPr>
              <w:t>（烟气、VOCs治理过程产生的废活性炭）</w:t>
            </w:r>
            <w:r>
              <w:rPr>
                <w:rFonts w:hint="default" w:ascii="Times New Roman" w:hAnsi="Times New Roman" w:cs="Times New Roman"/>
                <w:color w:val="auto"/>
                <w:sz w:val="24"/>
                <w:szCs w:val="24"/>
                <w:highlight w:val="none"/>
                <w:u w:val="none" w:color="auto"/>
                <w:lang w:val="en-US" w:eastAsia="zh-CN"/>
              </w:rPr>
              <w:t>。废活性炭要求定时更换</w:t>
            </w:r>
            <w:r>
              <w:rPr>
                <w:rFonts w:hint="eastAsia" w:ascii="Times New Roman" w:hAnsi="Times New Roman"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暂存危废间定期交由有资质单位进行处置。</w:t>
            </w:r>
          </w:p>
          <w:p w14:paraId="144156E6">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eastAsia" w:ascii="Times New Roman" w:hAnsi="Times New Roman" w:cs="Times New Roman"/>
                <w:color w:val="auto"/>
                <w:sz w:val="24"/>
                <w:szCs w:val="24"/>
                <w:highlight w:val="none"/>
                <w:u w:val="none" w:color="auto"/>
                <w:lang w:val="en-US" w:eastAsia="zh-CN"/>
              </w:rPr>
              <w:t>⑥废催化剂</w:t>
            </w:r>
          </w:p>
          <w:p w14:paraId="3513E28B">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eastAsia" w:ascii="Times New Roman" w:hAnsi="Times New Roman" w:cs="Times New Roman"/>
                <w:color w:val="auto"/>
                <w:sz w:val="24"/>
                <w:szCs w:val="24"/>
                <w:highlight w:val="none"/>
                <w:u w:val="none" w:color="auto"/>
                <w:lang w:val="en-US" w:eastAsia="zh-CN"/>
              </w:rPr>
              <w:t>废催化剂：项目废气处理过程中会产生废催化剂。项目催化剂更换周期约一年，每次更换量约100kg，则废催化剂产生量约为0.1ta</w:t>
            </w:r>
            <w:r>
              <w:rPr>
                <w:rFonts w:hint="default" w:ascii="Times New Roman" w:hAnsi="Times New Roman" w:cs="Times New Roman"/>
                <w:color w:val="auto"/>
                <w:sz w:val="24"/>
                <w:szCs w:val="24"/>
                <w:highlight w:val="none"/>
                <w:u w:val="none" w:color="auto"/>
                <w:lang w:val="en-US" w:eastAsia="zh-CN"/>
              </w:rPr>
              <w:t>。按</w:t>
            </w:r>
            <w:r>
              <w:rPr>
                <w:rFonts w:hint="eastAsia" w:ascii="Times New Roman" w:hAnsi="Times New Roman" w:cs="Times New Roman"/>
                <w:color w:val="auto"/>
                <w:sz w:val="24"/>
                <w:szCs w:val="24"/>
                <w:highlight w:val="none"/>
                <w:u w:val="none" w:color="auto"/>
                <w:lang w:val="en-US" w:eastAsia="zh-CN"/>
              </w:rPr>
              <w:t>《国家危险废物名录》（2025年版），</w:t>
            </w:r>
            <w:r>
              <w:rPr>
                <w:rFonts w:hint="default" w:ascii="Times New Roman" w:hAnsi="Times New Roman" w:cs="Times New Roman"/>
                <w:color w:val="auto"/>
                <w:sz w:val="24"/>
                <w:szCs w:val="24"/>
                <w:highlight w:val="none"/>
                <w:u w:val="none" w:color="auto"/>
                <w:lang w:val="en-US" w:eastAsia="zh-CN"/>
              </w:rPr>
              <w:t>其废物类别属于HW</w:t>
            </w:r>
            <w:r>
              <w:rPr>
                <w:rFonts w:hint="eastAsia" w:cs="Times New Roman"/>
                <w:color w:val="auto"/>
                <w:sz w:val="24"/>
                <w:szCs w:val="24"/>
                <w:highlight w:val="none"/>
                <w:u w:val="none" w:color="auto"/>
                <w:lang w:val="en-US" w:eastAsia="zh-CN"/>
              </w:rPr>
              <w:t>50</w:t>
            </w:r>
            <w:r>
              <w:rPr>
                <w:rFonts w:hint="eastAsia" w:ascii="Times New Roman" w:hAnsi="Times New Roman"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废物代码为900-0</w:t>
            </w:r>
            <w:r>
              <w:rPr>
                <w:rFonts w:hint="eastAsia" w:cs="Times New Roman"/>
                <w:color w:val="auto"/>
                <w:sz w:val="24"/>
                <w:szCs w:val="24"/>
                <w:highlight w:val="none"/>
                <w:u w:val="none" w:color="auto"/>
                <w:lang w:val="en-US" w:eastAsia="zh-CN"/>
              </w:rPr>
              <w:t>49</w:t>
            </w:r>
            <w:r>
              <w:rPr>
                <w:rFonts w:hint="default" w:ascii="Times New Roman" w:hAnsi="Times New Roman" w:cs="Times New Roman"/>
                <w:color w:val="auto"/>
                <w:sz w:val="24"/>
                <w:szCs w:val="24"/>
                <w:highlight w:val="none"/>
                <w:u w:val="none" w:color="auto"/>
                <w:lang w:val="en-US" w:eastAsia="zh-CN"/>
              </w:rPr>
              <w:t>-</w:t>
            </w:r>
            <w:r>
              <w:rPr>
                <w:rFonts w:hint="eastAsia" w:cs="Times New Roman"/>
                <w:color w:val="auto"/>
                <w:sz w:val="24"/>
                <w:szCs w:val="24"/>
                <w:highlight w:val="none"/>
                <w:u w:val="none" w:color="auto"/>
                <w:lang w:val="en-US" w:eastAsia="zh-CN"/>
              </w:rPr>
              <w:t>50（机动车和非道路移动机械尾气净化废催化剂）</w:t>
            </w:r>
            <w:r>
              <w:rPr>
                <w:rFonts w:hint="default" w:ascii="Times New Roman" w:hAnsi="Times New Roman" w:cs="Times New Roman"/>
                <w:color w:val="auto"/>
                <w:sz w:val="24"/>
                <w:szCs w:val="24"/>
                <w:highlight w:val="none"/>
                <w:u w:val="none" w:color="auto"/>
                <w:lang w:val="en-US" w:eastAsia="zh-CN"/>
              </w:rPr>
              <w:t>。暂存危废间定期交由有资质单位进行处置。</w:t>
            </w:r>
          </w:p>
          <w:p w14:paraId="26068352">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eastAsia" w:ascii="Times New Roman" w:hAnsi="Times New Roman" w:cs="Times New Roman"/>
                <w:color w:val="auto"/>
                <w:sz w:val="24"/>
                <w:szCs w:val="24"/>
                <w:highlight w:val="none"/>
                <w:u w:val="none" w:color="auto"/>
                <w:lang w:val="en-US" w:eastAsia="zh-CN"/>
              </w:rPr>
            </w:pPr>
            <w:r>
              <w:rPr>
                <w:rFonts w:hint="eastAsia" w:ascii="Times New Roman" w:hAnsi="Times New Roman" w:cs="Times New Roman"/>
                <w:color w:val="auto"/>
                <w:sz w:val="24"/>
                <w:szCs w:val="24"/>
                <w:highlight w:val="none"/>
                <w:u w:val="none" w:color="auto"/>
                <w:lang w:val="en-US" w:eastAsia="zh-CN"/>
              </w:rPr>
              <w:t>⑦废过滤棉</w:t>
            </w:r>
          </w:p>
          <w:p w14:paraId="536CC3BD">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default" w:ascii="Times New Roman" w:hAnsi="Times New Roman" w:cs="Times New Roman"/>
                <w:color w:val="auto"/>
                <w:sz w:val="24"/>
                <w:szCs w:val="24"/>
                <w:highlight w:val="none"/>
                <w:u w:val="none" w:color="auto"/>
                <w:lang w:val="en-US" w:eastAsia="zh-CN"/>
              </w:rPr>
              <w:t>喷漆工序的有机废气处理过程中会用到过滤棉（干式过滤），需定期更换过滤棉以保证废气的捕集效率。根据建设单位提供资料，废过滤棉（含漆渣）产生量约</w:t>
            </w:r>
            <w:r>
              <w:rPr>
                <w:rFonts w:hint="eastAsia" w:cs="Times New Roman"/>
                <w:color w:val="auto"/>
                <w:sz w:val="24"/>
                <w:szCs w:val="24"/>
                <w:highlight w:val="none"/>
                <w:u w:val="none" w:color="auto"/>
                <w:lang w:val="en-US" w:eastAsia="zh-CN"/>
              </w:rPr>
              <w:t>1</w:t>
            </w:r>
            <w:r>
              <w:rPr>
                <w:rFonts w:hint="default" w:ascii="Times New Roman" w:hAnsi="Times New Roman" w:cs="Times New Roman"/>
                <w:color w:val="auto"/>
                <w:sz w:val="24"/>
                <w:szCs w:val="24"/>
                <w:highlight w:val="none"/>
                <w:u w:val="none" w:color="auto"/>
                <w:lang w:val="en-US" w:eastAsia="zh-CN"/>
              </w:rPr>
              <w:t>t/a。该</w:t>
            </w:r>
            <w:r>
              <w:rPr>
                <w:rFonts w:hint="eastAsia" w:cs="Times New Roman"/>
                <w:color w:val="auto"/>
                <w:sz w:val="24"/>
                <w:szCs w:val="24"/>
                <w:highlight w:val="none"/>
                <w:u w:val="none" w:color="auto"/>
                <w:lang w:val="en-US" w:eastAsia="zh-CN"/>
              </w:rPr>
              <w:t>类</w:t>
            </w:r>
            <w:r>
              <w:rPr>
                <w:rFonts w:hint="default" w:ascii="Times New Roman" w:hAnsi="Times New Roman" w:cs="Times New Roman"/>
                <w:color w:val="auto"/>
                <w:sz w:val="24"/>
                <w:szCs w:val="24"/>
                <w:highlight w:val="none"/>
                <w:u w:val="none" w:color="auto"/>
                <w:lang w:val="en-US" w:eastAsia="zh-CN"/>
              </w:rPr>
              <w:t>废物属于《国家危险废物名录》（2025年版）HW49其他废物中非特定行业的900-041-49（含有或沾染毒性、感染性危险废物的废弃包装物、容器、过滤吸附介质）。收集后分类暂存于危废暂存间，定期委托有资质的单位处置。</w:t>
            </w:r>
          </w:p>
          <w:p w14:paraId="68FCE32B">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eastAsia" w:cs="Times New Roman"/>
                <w:color w:val="auto"/>
                <w:sz w:val="24"/>
                <w:szCs w:val="24"/>
                <w:highlight w:val="none"/>
                <w:u w:val="none" w:color="auto"/>
                <w:lang w:val="en-US" w:eastAsia="zh-CN"/>
              </w:rPr>
              <w:t>⑧</w:t>
            </w:r>
            <w:r>
              <w:rPr>
                <w:rFonts w:hint="default" w:ascii="Times New Roman" w:hAnsi="Times New Roman" w:cs="Times New Roman"/>
                <w:color w:val="auto"/>
                <w:sz w:val="24"/>
                <w:szCs w:val="24"/>
                <w:highlight w:val="none"/>
                <w:u w:val="none" w:color="auto"/>
                <w:lang w:val="en-US" w:eastAsia="zh-CN"/>
              </w:rPr>
              <w:t>废</w:t>
            </w:r>
            <w:r>
              <w:rPr>
                <w:rFonts w:hint="eastAsia" w:ascii="Times New Roman" w:hAnsi="Times New Roman" w:cs="Times New Roman"/>
                <w:color w:val="auto"/>
                <w:sz w:val="24"/>
                <w:szCs w:val="24"/>
                <w:highlight w:val="none"/>
                <w:u w:val="none" w:color="auto"/>
                <w:lang w:val="en-US" w:eastAsia="zh-CN"/>
              </w:rPr>
              <w:t>润滑油、废润滑油桶</w:t>
            </w:r>
          </w:p>
          <w:p w14:paraId="66213F99">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eastAsia" w:ascii="Times New Roman" w:hAnsi="Times New Roman" w:cs="Times New Roman"/>
                <w:color w:val="auto"/>
                <w:sz w:val="24"/>
                <w:szCs w:val="24"/>
                <w:highlight w:val="none"/>
                <w:u w:val="none" w:color="auto"/>
                <w:lang w:val="en-US" w:eastAsia="zh-CN"/>
              </w:rPr>
            </w:pPr>
            <w:r>
              <w:rPr>
                <w:rFonts w:hint="eastAsia" w:ascii="Times New Roman" w:hAnsi="Times New Roman" w:cs="Times New Roman"/>
                <w:color w:val="auto"/>
                <w:sz w:val="24"/>
                <w:szCs w:val="24"/>
                <w:highlight w:val="none"/>
                <w:u w:val="none" w:color="auto"/>
                <w:lang w:val="en-US" w:eastAsia="zh-CN"/>
              </w:rPr>
              <w:t>本项目设备维护、检修时需要使用润滑油，使用过程中会产生些许废润滑油；根据项目润滑油使用量可知，项目</w:t>
            </w:r>
            <w:r>
              <w:rPr>
                <w:rFonts w:hint="default" w:ascii="Times New Roman" w:hAnsi="Times New Roman" w:cs="Times New Roman"/>
                <w:color w:val="auto"/>
                <w:sz w:val="24"/>
                <w:szCs w:val="24"/>
                <w:highlight w:val="none"/>
                <w:u w:val="none" w:color="auto"/>
                <w:lang w:val="en-US" w:eastAsia="zh-CN"/>
              </w:rPr>
              <w:t>废</w:t>
            </w:r>
            <w:r>
              <w:rPr>
                <w:rFonts w:hint="eastAsia" w:ascii="Times New Roman" w:hAnsi="Times New Roman" w:cs="Times New Roman"/>
                <w:color w:val="auto"/>
                <w:sz w:val="24"/>
                <w:szCs w:val="24"/>
                <w:highlight w:val="none"/>
                <w:u w:val="none" w:color="auto"/>
                <w:lang w:val="en-US" w:eastAsia="zh-CN"/>
              </w:rPr>
              <w:t>润滑油、废润滑油桶产生量约0.1</w:t>
            </w:r>
            <w:r>
              <w:rPr>
                <w:rFonts w:hint="default" w:ascii="Times New Roman" w:hAnsi="Times New Roman" w:cs="Times New Roman"/>
                <w:color w:val="auto"/>
                <w:sz w:val="24"/>
                <w:szCs w:val="24"/>
                <w:highlight w:val="none"/>
                <w:u w:val="none" w:color="auto"/>
                <w:lang w:val="en-US" w:eastAsia="zh-CN"/>
              </w:rPr>
              <w:t>t/a</w:t>
            </w:r>
            <w:r>
              <w:rPr>
                <w:rFonts w:hint="eastAsia" w:ascii="Times New Roman" w:hAnsi="Times New Roman" w:cs="Times New Roman"/>
                <w:color w:val="auto"/>
                <w:sz w:val="24"/>
                <w:szCs w:val="24"/>
                <w:highlight w:val="none"/>
                <w:u w:val="none" w:color="auto"/>
                <w:lang w:val="en-US" w:eastAsia="zh-CN"/>
              </w:rPr>
              <w:t>，根据《国家危险废物名录》（</w:t>
            </w:r>
            <w:r>
              <w:rPr>
                <w:rFonts w:hint="default" w:ascii="Times New Roman" w:hAnsi="Times New Roman" w:cs="Times New Roman"/>
                <w:color w:val="auto"/>
                <w:sz w:val="24"/>
                <w:szCs w:val="24"/>
                <w:highlight w:val="none"/>
                <w:u w:val="none" w:color="auto"/>
                <w:lang w:val="en-US" w:eastAsia="zh-CN"/>
              </w:rPr>
              <w:t>202</w:t>
            </w:r>
            <w:r>
              <w:rPr>
                <w:rFonts w:hint="eastAsia" w:ascii="Times New Roman" w:hAnsi="Times New Roman" w:cs="Times New Roman"/>
                <w:color w:val="auto"/>
                <w:sz w:val="24"/>
                <w:szCs w:val="24"/>
                <w:highlight w:val="none"/>
                <w:u w:val="none" w:color="auto"/>
                <w:lang w:val="en-US" w:eastAsia="zh-CN"/>
              </w:rPr>
              <w:t>5年版）可知，废润滑油及废油桶属于危险废物，废物类别为</w:t>
            </w:r>
            <w:r>
              <w:rPr>
                <w:rFonts w:hint="default" w:ascii="Times New Roman" w:hAnsi="Times New Roman" w:cs="Times New Roman"/>
                <w:color w:val="auto"/>
                <w:sz w:val="24"/>
                <w:szCs w:val="24"/>
                <w:highlight w:val="none"/>
                <w:u w:val="none" w:color="auto"/>
                <w:lang w:val="en-US" w:eastAsia="zh-CN"/>
              </w:rPr>
              <w:t>HW08</w:t>
            </w:r>
            <w:r>
              <w:rPr>
                <w:rFonts w:hint="eastAsia" w:ascii="Times New Roman" w:hAnsi="Times New Roman" w:cs="Times New Roman"/>
                <w:color w:val="auto"/>
                <w:sz w:val="24"/>
                <w:szCs w:val="24"/>
                <w:highlight w:val="none"/>
                <w:u w:val="none" w:color="auto"/>
                <w:lang w:val="en-US" w:eastAsia="zh-CN"/>
              </w:rPr>
              <w:t>废矿物油与含矿物油废物，废物代码</w:t>
            </w:r>
            <w:r>
              <w:rPr>
                <w:rFonts w:hint="default" w:ascii="Times New Roman" w:hAnsi="Times New Roman" w:cs="Times New Roman"/>
                <w:color w:val="auto"/>
                <w:sz w:val="24"/>
                <w:szCs w:val="24"/>
                <w:highlight w:val="none"/>
                <w:u w:val="none" w:color="auto"/>
                <w:lang w:val="en-US" w:eastAsia="zh-CN"/>
              </w:rPr>
              <w:t>900-249-08</w:t>
            </w:r>
            <w:r>
              <w:rPr>
                <w:rFonts w:hint="eastAsia"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其他生产</w:t>
            </w:r>
            <w:r>
              <w:rPr>
                <w:rFonts w:hint="eastAsia" w:ascii="Times New Roman" w:hAnsi="Times New Roman"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销售</w:t>
            </w:r>
            <w:r>
              <w:rPr>
                <w:rFonts w:hint="eastAsia" w:ascii="Times New Roman" w:hAnsi="Times New Roman"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使用过程中产生的废矿物油及沾染矿物油的废弃包装物</w:t>
            </w:r>
            <w:r>
              <w:rPr>
                <w:rFonts w:hint="eastAsia" w:cs="Times New Roman"/>
                <w:color w:val="auto"/>
                <w:sz w:val="24"/>
                <w:szCs w:val="24"/>
                <w:highlight w:val="none"/>
                <w:u w:val="none" w:color="auto"/>
                <w:lang w:val="en-US" w:eastAsia="zh-CN"/>
              </w:rPr>
              <w:t>）</w:t>
            </w:r>
            <w:r>
              <w:rPr>
                <w:rFonts w:hint="eastAsia" w:ascii="Times New Roman" w:hAnsi="Times New Roman" w:cs="Times New Roman"/>
                <w:color w:val="auto"/>
                <w:sz w:val="24"/>
                <w:szCs w:val="24"/>
                <w:highlight w:val="none"/>
                <w:u w:val="none" w:color="auto"/>
                <w:lang w:val="en-US" w:eastAsia="zh-CN"/>
              </w:rPr>
              <w:t>。经收集后于危废暂存间暂存，委托有资质的单位进行处置。</w:t>
            </w:r>
          </w:p>
          <w:p w14:paraId="2DDC27B8">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eastAsia" w:cs="Times New Roman"/>
                <w:color w:val="auto"/>
                <w:sz w:val="24"/>
                <w:szCs w:val="24"/>
                <w:highlight w:val="none"/>
                <w:u w:val="none" w:color="auto"/>
                <w:lang w:val="en-US" w:eastAsia="zh-CN"/>
              </w:rPr>
              <w:t>⑨</w:t>
            </w:r>
            <w:r>
              <w:rPr>
                <w:rFonts w:hint="default" w:ascii="Times New Roman" w:hAnsi="Times New Roman" w:cs="Times New Roman"/>
                <w:color w:val="auto"/>
                <w:sz w:val="24"/>
                <w:szCs w:val="24"/>
                <w:highlight w:val="none"/>
                <w:u w:val="none" w:color="auto"/>
                <w:lang w:val="en-US" w:eastAsia="zh-CN"/>
              </w:rPr>
              <w:t>废抹布、废手套</w:t>
            </w:r>
          </w:p>
          <w:p w14:paraId="2AD3F2F7">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default" w:ascii="Times New Roman" w:hAnsi="Times New Roman" w:cs="Times New Roman"/>
                <w:color w:val="auto"/>
                <w:sz w:val="24"/>
                <w:szCs w:val="24"/>
                <w:highlight w:val="none"/>
                <w:u w:val="none" w:color="auto"/>
                <w:lang w:val="en-US" w:eastAsia="zh-CN"/>
              </w:rPr>
              <w:t>设备在运行及维护过程中产生废手套、废抹布0.05t/a，该类废物属于《国家危险废物名录》（202</w:t>
            </w:r>
            <w:r>
              <w:rPr>
                <w:rFonts w:hint="eastAsia" w:cs="Times New Roman"/>
                <w:color w:val="auto"/>
                <w:sz w:val="24"/>
                <w:szCs w:val="24"/>
                <w:highlight w:val="none"/>
                <w:u w:val="none" w:color="auto"/>
                <w:lang w:val="en-US" w:eastAsia="zh-CN"/>
              </w:rPr>
              <w:t>5</w:t>
            </w:r>
            <w:r>
              <w:rPr>
                <w:rFonts w:hint="default" w:ascii="Times New Roman" w:hAnsi="Times New Roman" w:cs="Times New Roman"/>
                <w:color w:val="auto"/>
                <w:sz w:val="24"/>
                <w:szCs w:val="24"/>
                <w:highlight w:val="none"/>
                <w:u w:val="none" w:color="auto"/>
                <w:lang w:val="en-US" w:eastAsia="zh-CN"/>
              </w:rPr>
              <w:t>年版）HW49其他废物中非特定行业的900-041-49</w:t>
            </w:r>
            <w:r>
              <w:rPr>
                <w:rFonts w:hint="eastAsia"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含有或沾染毒性、感染性危险废物的废弃包装物、容器、过滤吸附介质</w:t>
            </w:r>
            <w:r>
              <w:rPr>
                <w:rFonts w:hint="eastAsia"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收集后分类暂存于危废暂存间内，定期委托有资质的单位处置。</w:t>
            </w:r>
          </w:p>
          <w:p w14:paraId="584729EC">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zh-CN" w:eastAsia="zh-CN"/>
              </w:rPr>
            </w:pPr>
            <w:r>
              <w:rPr>
                <w:rFonts w:hint="default" w:ascii="Times New Roman" w:hAnsi="Times New Roman" w:cs="Times New Roman"/>
                <w:color w:val="auto"/>
                <w:sz w:val="24"/>
                <w:szCs w:val="24"/>
                <w:highlight w:val="none"/>
                <w:u w:val="none" w:color="auto"/>
                <w:lang w:val="zh-CN" w:eastAsia="zh-CN"/>
              </w:rPr>
              <w:t>（2）生活垃圾</w:t>
            </w:r>
          </w:p>
          <w:p w14:paraId="7D649B3B">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zh-CN" w:eastAsia="zh-CN"/>
              </w:rPr>
            </w:pPr>
            <w:r>
              <w:rPr>
                <w:rFonts w:hint="default" w:ascii="Times New Roman" w:hAnsi="Times New Roman" w:cs="Times New Roman"/>
                <w:color w:val="auto"/>
                <w:sz w:val="24"/>
                <w:szCs w:val="24"/>
                <w:highlight w:val="none"/>
                <w:u w:val="none" w:color="auto"/>
                <w:lang w:val="zh-CN" w:eastAsia="zh-CN"/>
              </w:rPr>
              <w:t>本项目建成投产后，</w:t>
            </w:r>
            <w:r>
              <w:rPr>
                <w:rFonts w:hint="eastAsia" w:ascii="Times New Roman" w:hAnsi="Times New Roman" w:cs="Times New Roman"/>
                <w:color w:val="auto"/>
                <w:sz w:val="24"/>
                <w:szCs w:val="24"/>
                <w:highlight w:val="none"/>
                <w:u w:val="none" w:color="auto"/>
                <w:lang w:val="en-US" w:eastAsia="zh-CN"/>
              </w:rPr>
              <w:t>劳动</w:t>
            </w:r>
            <w:r>
              <w:rPr>
                <w:rFonts w:hint="default" w:ascii="Times New Roman" w:hAnsi="Times New Roman" w:cs="Times New Roman"/>
                <w:color w:val="auto"/>
                <w:sz w:val="24"/>
                <w:szCs w:val="24"/>
                <w:highlight w:val="none"/>
                <w:u w:val="none" w:color="auto"/>
                <w:lang w:val="zh-CN" w:eastAsia="zh-CN"/>
              </w:rPr>
              <w:t>定员</w:t>
            </w:r>
            <w:r>
              <w:rPr>
                <w:rFonts w:hint="eastAsia" w:ascii="Times New Roman" w:hAnsi="Times New Roman" w:cs="Times New Roman"/>
                <w:color w:val="auto"/>
                <w:sz w:val="24"/>
                <w:szCs w:val="24"/>
                <w:highlight w:val="none"/>
                <w:u w:val="none" w:color="auto"/>
                <w:lang w:val="en-US" w:eastAsia="zh-CN"/>
              </w:rPr>
              <w:t>25</w:t>
            </w:r>
            <w:r>
              <w:rPr>
                <w:rFonts w:hint="default" w:ascii="Times New Roman" w:hAnsi="Times New Roman" w:cs="Times New Roman"/>
                <w:color w:val="auto"/>
                <w:sz w:val="24"/>
                <w:szCs w:val="24"/>
                <w:highlight w:val="none"/>
                <w:u w:val="none" w:color="auto"/>
                <w:lang w:val="zh-CN" w:eastAsia="zh-CN"/>
              </w:rPr>
              <w:t>人，</w:t>
            </w:r>
            <w:r>
              <w:rPr>
                <w:rFonts w:hint="eastAsia" w:ascii="Times New Roman" w:hAnsi="Times New Roman" w:cs="Times New Roman"/>
                <w:color w:val="auto"/>
                <w:sz w:val="24"/>
                <w:szCs w:val="24"/>
                <w:highlight w:val="none"/>
                <w:u w:val="none" w:color="auto"/>
                <w:lang w:val="en-US" w:eastAsia="zh-CN"/>
              </w:rPr>
              <w:t>均不在厂区食宿。</w:t>
            </w:r>
            <w:r>
              <w:rPr>
                <w:rFonts w:hint="eastAsia" w:ascii="Times New Roman" w:hAnsi="Times New Roman" w:cs="Times New Roman"/>
                <w:color w:val="auto"/>
                <w:sz w:val="24"/>
                <w:szCs w:val="24"/>
                <w:highlight w:val="none"/>
                <w:u w:val="none" w:color="auto"/>
                <w:lang w:val="zh-CN" w:eastAsia="zh-CN"/>
              </w:rPr>
              <w:t>按每人每天产生生活垃圾0.5kg计，</w:t>
            </w:r>
            <w:r>
              <w:rPr>
                <w:rFonts w:hint="default" w:ascii="Times New Roman" w:hAnsi="Times New Roman" w:cs="Times New Roman"/>
                <w:color w:val="auto"/>
                <w:sz w:val="24"/>
                <w:szCs w:val="24"/>
                <w:highlight w:val="none"/>
                <w:u w:val="none" w:color="auto"/>
                <w:lang w:val="zh-CN" w:eastAsia="zh-CN"/>
              </w:rPr>
              <w:t>按年工作日</w:t>
            </w:r>
            <w:r>
              <w:rPr>
                <w:rFonts w:hint="eastAsia" w:ascii="Times New Roman" w:hAnsi="Times New Roman" w:cs="Times New Roman"/>
                <w:color w:val="auto"/>
                <w:sz w:val="24"/>
                <w:szCs w:val="24"/>
                <w:highlight w:val="none"/>
                <w:u w:val="none" w:color="auto"/>
                <w:lang w:val="en-US" w:eastAsia="zh-CN"/>
              </w:rPr>
              <w:t>300</w:t>
            </w:r>
            <w:r>
              <w:rPr>
                <w:rFonts w:hint="default" w:ascii="Times New Roman" w:hAnsi="Times New Roman" w:cs="Times New Roman"/>
                <w:color w:val="auto"/>
                <w:sz w:val="24"/>
                <w:szCs w:val="24"/>
                <w:highlight w:val="none"/>
                <w:u w:val="none" w:color="auto"/>
                <w:lang w:val="zh-CN" w:eastAsia="zh-CN"/>
              </w:rPr>
              <w:t>天计，则本项目生活垃圾产生量</w:t>
            </w:r>
            <w:r>
              <w:rPr>
                <w:rFonts w:hint="eastAsia" w:ascii="Times New Roman" w:hAnsi="Times New Roman" w:cs="Times New Roman"/>
                <w:color w:val="auto"/>
                <w:sz w:val="24"/>
                <w:szCs w:val="24"/>
                <w:highlight w:val="none"/>
                <w:u w:val="none" w:color="auto"/>
                <w:lang w:val="en-US" w:eastAsia="zh-CN"/>
              </w:rPr>
              <w:t>3.75</w:t>
            </w:r>
            <w:r>
              <w:rPr>
                <w:rFonts w:hint="default" w:ascii="Times New Roman" w:hAnsi="Times New Roman" w:cs="Times New Roman"/>
                <w:color w:val="auto"/>
                <w:sz w:val="24"/>
                <w:szCs w:val="24"/>
                <w:highlight w:val="none"/>
                <w:u w:val="none" w:color="auto"/>
                <w:lang w:val="zh-CN" w:eastAsia="zh-CN"/>
              </w:rPr>
              <w:t>t/a。</w:t>
            </w:r>
            <w:r>
              <w:rPr>
                <w:rFonts w:hint="default" w:ascii="Times New Roman" w:hAnsi="Times New Roman" w:cs="Times New Roman"/>
                <w:color w:val="auto"/>
                <w:sz w:val="24"/>
                <w:szCs w:val="24"/>
                <w:highlight w:val="none"/>
                <w:u w:val="none" w:color="auto"/>
                <w:lang w:val="en-US" w:eastAsia="zh-CN"/>
              </w:rPr>
              <w:t>查阅《固体废物分类与代码目录》公告2024年第4号可知，生活垃圾属于SW62可回收物900-001-S62、900-002-S62。</w:t>
            </w:r>
            <w:r>
              <w:rPr>
                <w:rFonts w:hint="default" w:ascii="Times New Roman" w:hAnsi="Times New Roman" w:cs="Times New Roman"/>
                <w:color w:val="auto"/>
                <w:sz w:val="24"/>
                <w:szCs w:val="24"/>
                <w:highlight w:val="none"/>
                <w:u w:val="none" w:color="auto"/>
                <w:lang w:val="zh-CN" w:eastAsia="zh-CN"/>
              </w:rPr>
              <w:t>生活垃圾实行袋装化，定点堆放，收集后由环卫部门统一清运。</w:t>
            </w:r>
          </w:p>
          <w:p w14:paraId="1D9CD003">
            <w:pPr>
              <w:keepNext w:val="0"/>
              <w:keepLines w:val="0"/>
              <w:pageBreakBefore w:val="0"/>
              <w:widowControl w:val="0"/>
              <w:kinsoku/>
              <w:wordWrap/>
              <w:overflowPunct/>
              <w:topLinePunct w:val="0"/>
              <w:autoSpaceDE/>
              <w:autoSpaceDN/>
              <w:bidi w:val="0"/>
              <w:spacing w:line="420" w:lineRule="exact"/>
              <w:ind w:left="0" w:leftChars="0" w:firstLine="480" w:firstLineChars="200"/>
              <w:textAlignment w:val="auto"/>
              <w:rPr>
                <w:rFonts w:hint="default" w:ascii="Times New Roman" w:hAnsi="Times New Roman" w:cs="Times New Roman"/>
                <w:color w:val="auto"/>
                <w:sz w:val="24"/>
                <w:szCs w:val="24"/>
                <w:highlight w:val="none"/>
                <w:u w:val="none" w:color="auto"/>
                <w:lang w:val="en-US" w:eastAsia="zh-CN"/>
              </w:rPr>
            </w:pPr>
            <w:r>
              <w:rPr>
                <w:rFonts w:hint="default" w:ascii="Times New Roman" w:hAnsi="Times New Roman" w:cs="Times New Roman"/>
                <w:color w:val="auto"/>
                <w:sz w:val="24"/>
                <w:szCs w:val="24"/>
                <w:highlight w:val="none"/>
                <w:u w:val="none" w:color="auto"/>
                <w:lang w:val="en-US" w:eastAsia="zh-CN"/>
              </w:rPr>
              <w:t>本项目固体废物</w:t>
            </w:r>
            <w:r>
              <w:rPr>
                <w:rFonts w:hint="default" w:ascii="Times New Roman" w:hAnsi="Times New Roman" w:cs="Times New Roman"/>
                <w:color w:val="auto"/>
                <w:sz w:val="24"/>
                <w:szCs w:val="24"/>
                <w:highlight w:val="none"/>
                <w:u w:val="none" w:color="auto"/>
                <w:lang w:val="zh-CN" w:eastAsia="zh-CN"/>
              </w:rPr>
              <w:t>产生及处置情况</w:t>
            </w:r>
            <w:r>
              <w:rPr>
                <w:rFonts w:hint="default" w:ascii="Times New Roman" w:hAnsi="Times New Roman" w:cs="Times New Roman"/>
                <w:color w:val="auto"/>
                <w:sz w:val="24"/>
                <w:szCs w:val="24"/>
                <w:highlight w:val="none"/>
                <w:u w:val="none" w:color="auto"/>
                <w:lang w:val="en-US" w:eastAsia="zh-CN"/>
              </w:rPr>
              <w:t>汇总如下表所示。</w:t>
            </w:r>
          </w:p>
          <w:p w14:paraId="724B451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21"/>
                <w:szCs w:val="21"/>
                <w:highlight w:val="none"/>
                <w:u w:val="none" w:color="auto"/>
                <w:lang w:val="en-US" w:eastAsia="zh-CN"/>
              </w:rPr>
            </w:pPr>
          </w:p>
          <w:p w14:paraId="7C0A2FB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21"/>
                <w:szCs w:val="21"/>
                <w:highlight w:val="none"/>
                <w:u w:val="none" w:color="auto"/>
                <w:lang w:val="en-US" w:eastAsia="zh-CN"/>
              </w:rPr>
            </w:pPr>
            <w:r>
              <w:rPr>
                <w:rFonts w:hint="default" w:ascii="Times New Roman" w:hAnsi="Times New Roman" w:eastAsia="宋体" w:cs="Times New Roman"/>
                <w:b/>
                <w:bCs/>
                <w:color w:val="auto"/>
                <w:sz w:val="21"/>
                <w:szCs w:val="21"/>
                <w:highlight w:val="none"/>
                <w:u w:val="none" w:color="auto"/>
                <w:lang w:val="en-US" w:eastAsia="zh-CN"/>
              </w:rPr>
              <w:t>表4-</w:t>
            </w:r>
            <w:r>
              <w:rPr>
                <w:rFonts w:hint="eastAsia" w:ascii="Times New Roman" w:hAnsi="Times New Roman" w:eastAsia="宋体" w:cs="Times New Roman"/>
                <w:b/>
                <w:bCs/>
                <w:color w:val="auto"/>
                <w:sz w:val="21"/>
                <w:szCs w:val="21"/>
                <w:highlight w:val="none"/>
                <w:u w:val="none" w:color="auto"/>
                <w:lang w:val="en-US" w:eastAsia="zh-CN"/>
              </w:rPr>
              <w:t>17</w:t>
            </w:r>
            <w:r>
              <w:rPr>
                <w:rFonts w:hint="default" w:ascii="Times New Roman" w:hAnsi="Times New Roman" w:eastAsia="宋体" w:cs="Times New Roman"/>
                <w:b/>
                <w:bCs/>
                <w:color w:val="auto"/>
                <w:sz w:val="21"/>
                <w:szCs w:val="21"/>
                <w:highlight w:val="none"/>
                <w:u w:val="none" w:color="auto"/>
                <w:lang w:val="en-US" w:eastAsia="zh-CN"/>
              </w:rPr>
              <w:t xml:space="preserve">   </w:t>
            </w:r>
            <w:r>
              <w:rPr>
                <w:rFonts w:hint="eastAsia" w:ascii="Times New Roman" w:hAnsi="Times New Roman" w:eastAsia="宋体" w:cs="Times New Roman"/>
                <w:b/>
                <w:bCs/>
                <w:color w:val="auto"/>
                <w:sz w:val="21"/>
                <w:szCs w:val="21"/>
                <w:highlight w:val="none"/>
                <w:u w:val="none" w:color="auto"/>
                <w:lang w:val="en-US" w:eastAsia="zh-CN"/>
              </w:rPr>
              <w:t>本项目固体</w:t>
            </w:r>
            <w:r>
              <w:rPr>
                <w:rFonts w:hint="default" w:ascii="Times New Roman" w:hAnsi="Times New Roman" w:eastAsia="宋体" w:cs="Times New Roman"/>
                <w:b/>
                <w:bCs/>
                <w:color w:val="auto"/>
                <w:sz w:val="21"/>
                <w:szCs w:val="21"/>
                <w:highlight w:val="none"/>
                <w:u w:val="none" w:color="auto"/>
                <w:lang w:val="en-US" w:eastAsia="zh-CN"/>
              </w:rPr>
              <w:t>废物产生及处置情况</w:t>
            </w:r>
            <w:r>
              <w:rPr>
                <w:rFonts w:hint="eastAsia" w:ascii="Times New Roman" w:hAnsi="Times New Roman" w:eastAsia="宋体" w:cs="Times New Roman"/>
                <w:b/>
                <w:bCs/>
                <w:color w:val="auto"/>
                <w:sz w:val="21"/>
                <w:szCs w:val="21"/>
                <w:highlight w:val="none"/>
                <w:u w:val="none" w:color="auto"/>
                <w:lang w:val="en-US" w:eastAsia="zh-CN"/>
              </w:rPr>
              <w:t>表</w:t>
            </w:r>
          </w:p>
          <w:tbl>
            <w:tblPr>
              <w:tblStyle w:val="32"/>
              <w:tblW w:w="49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1060"/>
              <w:gridCol w:w="1313"/>
              <w:gridCol w:w="853"/>
              <w:gridCol w:w="841"/>
              <w:gridCol w:w="908"/>
              <w:gridCol w:w="1493"/>
              <w:gridCol w:w="918"/>
            </w:tblGrid>
            <w:tr w14:paraId="4E283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9" w:type="pct"/>
                  <w:noWrap w:val="0"/>
                  <w:vAlign w:val="center"/>
                </w:tcPr>
                <w:p w14:paraId="0090383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auto"/>
                      <w:spacing w:val="-10"/>
                      <w:sz w:val="21"/>
                      <w:szCs w:val="21"/>
                      <w:u w:val="none" w:color="auto"/>
                    </w:rPr>
                  </w:pPr>
                  <w:r>
                    <w:rPr>
                      <w:rFonts w:hint="default" w:ascii="Times New Roman" w:hAnsi="Times New Roman" w:cs="Times New Roman"/>
                      <w:b/>
                      <w:bCs w:val="0"/>
                      <w:color w:val="auto"/>
                      <w:spacing w:val="-10"/>
                      <w:sz w:val="21"/>
                      <w:szCs w:val="21"/>
                      <w:u w:val="none" w:color="auto"/>
                    </w:rPr>
                    <w:t>产生环节</w:t>
                  </w:r>
                </w:p>
              </w:tc>
              <w:tc>
                <w:tcPr>
                  <w:tcW w:w="634" w:type="pct"/>
                  <w:noWrap w:val="0"/>
                  <w:vAlign w:val="center"/>
                </w:tcPr>
                <w:p w14:paraId="07B885A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auto"/>
                      <w:spacing w:val="-10"/>
                      <w:sz w:val="21"/>
                      <w:szCs w:val="21"/>
                      <w:u w:val="none" w:color="auto"/>
                    </w:rPr>
                  </w:pPr>
                  <w:r>
                    <w:rPr>
                      <w:rFonts w:hint="default" w:ascii="Times New Roman" w:hAnsi="Times New Roman" w:cs="Times New Roman"/>
                      <w:b/>
                      <w:bCs w:val="0"/>
                      <w:color w:val="auto"/>
                      <w:spacing w:val="-10"/>
                      <w:sz w:val="21"/>
                      <w:szCs w:val="21"/>
                      <w:u w:val="none" w:color="auto"/>
                    </w:rPr>
                    <w:t>名称</w:t>
                  </w:r>
                </w:p>
              </w:tc>
              <w:tc>
                <w:tcPr>
                  <w:tcW w:w="785" w:type="pct"/>
                  <w:noWrap w:val="0"/>
                  <w:vAlign w:val="center"/>
                </w:tcPr>
                <w:p w14:paraId="1E7664E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bCs w:val="0"/>
                      <w:color w:val="auto"/>
                      <w:spacing w:val="-10"/>
                      <w:sz w:val="21"/>
                      <w:szCs w:val="21"/>
                      <w:u w:val="none" w:color="auto"/>
                      <w:lang w:eastAsia="zh-CN"/>
                    </w:rPr>
                  </w:pPr>
                  <w:r>
                    <w:rPr>
                      <w:rFonts w:hint="eastAsia" w:ascii="Times New Roman" w:hAnsi="Times New Roman" w:cs="Times New Roman"/>
                      <w:b/>
                      <w:bCs w:val="0"/>
                      <w:color w:val="auto"/>
                      <w:spacing w:val="-10"/>
                      <w:sz w:val="21"/>
                      <w:szCs w:val="21"/>
                      <w:u w:val="none" w:color="auto"/>
                      <w:lang w:eastAsia="zh-CN"/>
                    </w:rPr>
                    <w:t>废物代码</w:t>
                  </w:r>
                </w:p>
              </w:tc>
              <w:tc>
                <w:tcPr>
                  <w:tcW w:w="510" w:type="pct"/>
                  <w:noWrap w:val="0"/>
                  <w:vAlign w:val="center"/>
                </w:tcPr>
                <w:p w14:paraId="106800C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auto"/>
                      <w:spacing w:val="-10"/>
                      <w:sz w:val="21"/>
                      <w:szCs w:val="21"/>
                      <w:u w:val="none" w:color="auto"/>
                    </w:rPr>
                  </w:pPr>
                  <w:r>
                    <w:rPr>
                      <w:rFonts w:hint="default" w:ascii="Times New Roman" w:hAnsi="Times New Roman" w:cs="Times New Roman"/>
                      <w:b/>
                      <w:bCs w:val="0"/>
                      <w:color w:val="auto"/>
                      <w:spacing w:val="-10"/>
                      <w:sz w:val="21"/>
                      <w:szCs w:val="21"/>
                      <w:u w:val="none" w:color="auto"/>
                    </w:rPr>
                    <w:t>物理</w:t>
                  </w:r>
                </w:p>
                <w:p w14:paraId="5F9E141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auto"/>
                      <w:spacing w:val="-10"/>
                      <w:sz w:val="21"/>
                      <w:szCs w:val="21"/>
                      <w:u w:val="none" w:color="auto"/>
                    </w:rPr>
                  </w:pPr>
                  <w:r>
                    <w:rPr>
                      <w:rFonts w:hint="default" w:ascii="Times New Roman" w:hAnsi="Times New Roman" w:cs="Times New Roman"/>
                      <w:b/>
                      <w:bCs w:val="0"/>
                      <w:color w:val="auto"/>
                      <w:spacing w:val="-10"/>
                      <w:sz w:val="21"/>
                      <w:szCs w:val="21"/>
                      <w:u w:val="none" w:color="auto"/>
                    </w:rPr>
                    <w:t>性状</w:t>
                  </w:r>
                </w:p>
              </w:tc>
              <w:tc>
                <w:tcPr>
                  <w:tcW w:w="503" w:type="pct"/>
                  <w:noWrap w:val="0"/>
                  <w:vAlign w:val="center"/>
                </w:tcPr>
                <w:p w14:paraId="67FCD04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auto"/>
                      <w:spacing w:val="-10"/>
                      <w:sz w:val="21"/>
                      <w:szCs w:val="21"/>
                      <w:u w:val="none" w:color="auto"/>
                    </w:rPr>
                  </w:pPr>
                  <w:r>
                    <w:rPr>
                      <w:rFonts w:hint="default" w:ascii="Times New Roman" w:hAnsi="Times New Roman" w:cs="Times New Roman"/>
                      <w:b/>
                      <w:bCs w:val="0"/>
                      <w:color w:val="auto"/>
                      <w:spacing w:val="-10"/>
                      <w:sz w:val="21"/>
                      <w:szCs w:val="21"/>
                      <w:u w:val="none" w:color="auto"/>
                    </w:rPr>
                    <w:t>年产生量t/a</w:t>
                  </w:r>
                </w:p>
              </w:tc>
              <w:tc>
                <w:tcPr>
                  <w:tcW w:w="543" w:type="pct"/>
                  <w:noWrap w:val="0"/>
                  <w:vAlign w:val="center"/>
                </w:tcPr>
                <w:p w14:paraId="3DDCDFE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auto"/>
                      <w:spacing w:val="-10"/>
                      <w:sz w:val="21"/>
                      <w:szCs w:val="21"/>
                      <w:u w:val="none" w:color="auto"/>
                    </w:rPr>
                  </w:pPr>
                  <w:r>
                    <w:rPr>
                      <w:rFonts w:hint="default" w:ascii="Times New Roman" w:hAnsi="Times New Roman" w:cs="Times New Roman"/>
                      <w:b/>
                      <w:bCs w:val="0"/>
                      <w:color w:val="auto"/>
                      <w:spacing w:val="-10"/>
                      <w:sz w:val="21"/>
                      <w:szCs w:val="21"/>
                      <w:u w:val="none" w:color="auto"/>
                    </w:rPr>
                    <w:t>贮存</w:t>
                  </w:r>
                </w:p>
                <w:p w14:paraId="0A9263F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auto"/>
                      <w:spacing w:val="-10"/>
                      <w:sz w:val="21"/>
                      <w:szCs w:val="21"/>
                      <w:u w:val="none" w:color="auto"/>
                    </w:rPr>
                  </w:pPr>
                  <w:r>
                    <w:rPr>
                      <w:rFonts w:hint="default" w:ascii="Times New Roman" w:hAnsi="Times New Roman" w:cs="Times New Roman"/>
                      <w:b/>
                      <w:bCs w:val="0"/>
                      <w:color w:val="auto"/>
                      <w:spacing w:val="-10"/>
                      <w:sz w:val="21"/>
                      <w:szCs w:val="21"/>
                      <w:u w:val="none" w:color="auto"/>
                    </w:rPr>
                    <w:t>方式</w:t>
                  </w:r>
                </w:p>
              </w:tc>
              <w:tc>
                <w:tcPr>
                  <w:tcW w:w="893" w:type="pct"/>
                  <w:noWrap w:val="0"/>
                  <w:vAlign w:val="center"/>
                </w:tcPr>
                <w:p w14:paraId="395CA3F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auto"/>
                      <w:spacing w:val="-10"/>
                      <w:sz w:val="21"/>
                      <w:szCs w:val="21"/>
                      <w:u w:val="none" w:color="auto"/>
                    </w:rPr>
                  </w:pPr>
                  <w:r>
                    <w:rPr>
                      <w:rFonts w:hint="default" w:ascii="Times New Roman" w:hAnsi="Times New Roman" w:cs="Times New Roman"/>
                      <w:b/>
                      <w:bCs w:val="0"/>
                      <w:color w:val="auto"/>
                      <w:spacing w:val="-10"/>
                      <w:sz w:val="21"/>
                      <w:szCs w:val="21"/>
                      <w:u w:val="none" w:color="auto"/>
                    </w:rPr>
                    <w:t>利用处置方式</w:t>
                  </w:r>
                </w:p>
                <w:p w14:paraId="5552B4B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auto"/>
                      <w:spacing w:val="-10"/>
                      <w:sz w:val="21"/>
                      <w:szCs w:val="21"/>
                      <w:u w:val="none" w:color="auto"/>
                    </w:rPr>
                  </w:pPr>
                  <w:r>
                    <w:rPr>
                      <w:rFonts w:hint="default" w:ascii="Times New Roman" w:hAnsi="Times New Roman" w:cs="Times New Roman"/>
                      <w:b/>
                      <w:bCs w:val="0"/>
                      <w:color w:val="auto"/>
                      <w:spacing w:val="-10"/>
                      <w:sz w:val="21"/>
                      <w:szCs w:val="21"/>
                      <w:u w:val="none" w:color="auto"/>
                    </w:rPr>
                    <w:t>和去向</w:t>
                  </w:r>
                </w:p>
              </w:tc>
              <w:tc>
                <w:tcPr>
                  <w:tcW w:w="549" w:type="pct"/>
                  <w:noWrap w:val="0"/>
                  <w:vAlign w:val="center"/>
                </w:tcPr>
                <w:p w14:paraId="6E3A1D6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auto"/>
                      <w:spacing w:val="-10"/>
                      <w:sz w:val="21"/>
                      <w:szCs w:val="21"/>
                      <w:u w:val="none" w:color="auto"/>
                    </w:rPr>
                  </w:pPr>
                  <w:r>
                    <w:rPr>
                      <w:rFonts w:hint="default" w:ascii="Times New Roman" w:hAnsi="Times New Roman" w:cs="Times New Roman"/>
                      <w:b/>
                      <w:bCs w:val="0"/>
                      <w:color w:val="auto"/>
                      <w:spacing w:val="-10"/>
                      <w:sz w:val="21"/>
                      <w:szCs w:val="21"/>
                      <w:u w:val="none" w:color="auto"/>
                    </w:rPr>
                    <w:t>利用或处置量t/a</w:t>
                  </w:r>
                </w:p>
              </w:tc>
            </w:tr>
            <w:tr w14:paraId="5B55E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579" w:type="pct"/>
                  <w:shd w:val="clear" w:color="auto" w:fill="auto"/>
                  <w:noWrap w:val="0"/>
                  <w:vAlign w:val="center"/>
                </w:tcPr>
                <w:p w14:paraId="7459501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b w:val="0"/>
                      <w:bCs/>
                      <w:snapToGrid w:val="0"/>
                      <w:color w:val="auto"/>
                      <w:spacing w:val="4"/>
                      <w:sz w:val="21"/>
                      <w:szCs w:val="21"/>
                      <w:u w:val="none" w:color="auto"/>
                      <w:lang w:val="en-US" w:eastAsia="zh-CN"/>
                    </w:rPr>
                    <w:t>风扇风罩下料切割</w:t>
                  </w:r>
                </w:p>
              </w:tc>
              <w:tc>
                <w:tcPr>
                  <w:tcW w:w="634" w:type="pct"/>
                  <w:shd w:val="clear" w:color="auto" w:fill="auto"/>
                  <w:noWrap w:val="0"/>
                  <w:vAlign w:val="center"/>
                </w:tcPr>
                <w:p w14:paraId="4A016B2F">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金属边角料</w:t>
                  </w:r>
                </w:p>
              </w:tc>
              <w:tc>
                <w:tcPr>
                  <w:tcW w:w="785" w:type="pct"/>
                  <w:shd w:val="clear" w:color="auto" w:fill="auto"/>
                  <w:noWrap w:val="0"/>
                  <w:vAlign w:val="center"/>
                </w:tcPr>
                <w:p w14:paraId="631950B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SW17，900-001-S17</w:t>
                  </w:r>
                </w:p>
              </w:tc>
              <w:tc>
                <w:tcPr>
                  <w:tcW w:w="510" w:type="pct"/>
                  <w:noWrap w:val="0"/>
                  <w:vAlign w:val="center"/>
                </w:tcPr>
                <w:p w14:paraId="53EEF668">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b w:val="0"/>
                      <w:bCs/>
                      <w:snapToGrid w:val="0"/>
                      <w:color w:val="auto"/>
                      <w:spacing w:val="4"/>
                      <w:sz w:val="21"/>
                      <w:szCs w:val="21"/>
                      <w:u w:val="none" w:color="auto"/>
                      <w:lang w:val="en-US" w:eastAsia="zh-CN"/>
                    </w:rPr>
                    <w:t>固态</w:t>
                  </w:r>
                </w:p>
              </w:tc>
              <w:tc>
                <w:tcPr>
                  <w:tcW w:w="503" w:type="pct"/>
                  <w:noWrap w:val="0"/>
                  <w:vAlign w:val="center"/>
                </w:tcPr>
                <w:p w14:paraId="066B14AB">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0.5</w:t>
                  </w:r>
                </w:p>
              </w:tc>
              <w:tc>
                <w:tcPr>
                  <w:tcW w:w="543" w:type="pct"/>
                  <w:vMerge w:val="restart"/>
                  <w:shd w:val="clear" w:color="auto" w:fill="auto"/>
                  <w:noWrap w:val="0"/>
                  <w:vAlign w:val="center"/>
                </w:tcPr>
                <w:p w14:paraId="1AF76DE7">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一般固废暂存场所</w:t>
                  </w:r>
                </w:p>
              </w:tc>
              <w:tc>
                <w:tcPr>
                  <w:tcW w:w="893" w:type="pct"/>
                  <w:vMerge w:val="restart"/>
                  <w:shd w:val="clear" w:color="auto" w:fill="auto"/>
                  <w:noWrap w:val="0"/>
                  <w:vAlign w:val="center"/>
                </w:tcPr>
                <w:p w14:paraId="171AF4B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b w:val="0"/>
                      <w:bCs/>
                      <w:snapToGrid w:val="0"/>
                      <w:color w:val="auto"/>
                      <w:spacing w:val="4"/>
                      <w:sz w:val="21"/>
                      <w:szCs w:val="21"/>
                      <w:u w:val="none" w:color="auto"/>
                      <w:lang w:val="en-US" w:eastAsia="zh-CN"/>
                    </w:rPr>
                    <w:t>收集后外售综合利用</w:t>
                  </w:r>
                </w:p>
              </w:tc>
              <w:tc>
                <w:tcPr>
                  <w:tcW w:w="549" w:type="pct"/>
                  <w:noWrap w:val="0"/>
                  <w:vAlign w:val="center"/>
                </w:tcPr>
                <w:p w14:paraId="56D74AF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0.5</w:t>
                  </w:r>
                </w:p>
              </w:tc>
            </w:tr>
            <w:tr w14:paraId="52854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9" w:type="pct"/>
                  <w:shd w:val="clear" w:color="auto" w:fill="auto"/>
                  <w:noWrap w:val="0"/>
                  <w:vAlign w:val="center"/>
                </w:tcPr>
                <w:p w14:paraId="46A2C61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b w:val="0"/>
                      <w:bCs/>
                      <w:snapToGrid w:val="0"/>
                      <w:color w:val="auto"/>
                      <w:spacing w:val="4"/>
                      <w:sz w:val="21"/>
                      <w:szCs w:val="21"/>
                      <w:u w:val="none" w:color="auto"/>
                      <w:lang w:val="en-US" w:eastAsia="zh-CN"/>
                    </w:rPr>
                    <w:t>风扇风罩</w:t>
                  </w:r>
                  <w:r>
                    <w:rPr>
                      <w:rFonts w:hint="eastAsia" w:ascii="Times New Roman" w:hAnsi="Times New Roman" w:eastAsia="宋体" w:cs="Times New Roman"/>
                      <w:b w:val="0"/>
                      <w:bCs/>
                      <w:snapToGrid w:val="0"/>
                      <w:color w:val="auto"/>
                      <w:spacing w:val="4"/>
                      <w:sz w:val="21"/>
                      <w:szCs w:val="21"/>
                      <w:u w:val="none" w:color="auto"/>
                      <w:lang w:val="en-US" w:eastAsia="zh-CN"/>
                    </w:rPr>
                    <w:t>焊接</w:t>
                  </w:r>
                </w:p>
              </w:tc>
              <w:tc>
                <w:tcPr>
                  <w:tcW w:w="634" w:type="pct"/>
                  <w:shd w:val="clear" w:color="auto" w:fill="auto"/>
                  <w:noWrap w:val="0"/>
                  <w:vAlign w:val="center"/>
                </w:tcPr>
                <w:p w14:paraId="09A7D480">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废焊丝、废焊渣</w:t>
                  </w:r>
                </w:p>
              </w:tc>
              <w:tc>
                <w:tcPr>
                  <w:tcW w:w="785" w:type="pct"/>
                  <w:shd w:val="clear" w:color="auto" w:fill="auto"/>
                  <w:noWrap w:val="0"/>
                  <w:vAlign w:val="center"/>
                </w:tcPr>
                <w:p w14:paraId="2933488E">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SW59，900-099-S59</w:t>
                  </w:r>
                </w:p>
              </w:tc>
              <w:tc>
                <w:tcPr>
                  <w:tcW w:w="510" w:type="pct"/>
                  <w:shd w:val="clear" w:color="auto" w:fill="auto"/>
                  <w:noWrap w:val="0"/>
                  <w:vAlign w:val="center"/>
                </w:tcPr>
                <w:p w14:paraId="00ED41A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固态</w:t>
                  </w:r>
                </w:p>
              </w:tc>
              <w:tc>
                <w:tcPr>
                  <w:tcW w:w="503" w:type="pct"/>
                  <w:shd w:val="clear" w:color="auto" w:fill="auto"/>
                  <w:noWrap w:val="0"/>
                  <w:vAlign w:val="center"/>
                </w:tcPr>
                <w:p w14:paraId="1DFA1DC1">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0.2</w:t>
                  </w:r>
                </w:p>
              </w:tc>
              <w:tc>
                <w:tcPr>
                  <w:tcW w:w="543" w:type="pct"/>
                  <w:vMerge w:val="continue"/>
                  <w:shd w:val="clear" w:color="auto" w:fill="auto"/>
                  <w:noWrap w:val="0"/>
                  <w:vAlign w:val="center"/>
                </w:tcPr>
                <w:p w14:paraId="47D745EF">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p>
              </w:tc>
              <w:tc>
                <w:tcPr>
                  <w:tcW w:w="893" w:type="pct"/>
                  <w:vMerge w:val="continue"/>
                  <w:shd w:val="clear" w:color="auto" w:fill="auto"/>
                  <w:noWrap w:val="0"/>
                  <w:vAlign w:val="center"/>
                </w:tcPr>
                <w:p w14:paraId="74832490">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p>
              </w:tc>
              <w:tc>
                <w:tcPr>
                  <w:tcW w:w="549" w:type="pct"/>
                  <w:noWrap w:val="0"/>
                  <w:vAlign w:val="center"/>
                </w:tcPr>
                <w:p w14:paraId="2CED8108">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0.2</w:t>
                  </w:r>
                </w:p>
              </w:tc>
            </w:tr>
            <w:tr w14:paraId="5640A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9" w:type="pct"/>
                  <w:shd w:val="clear" w:color="auto" w:fill="auto"/>
                  <w:noWrap w:val="0"/>
                  <w:vAlign w:val="center"/>
                </w:tcPr>
                <w:p w14:paraId="2C35A2AE">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打孔</w:t>
                  </w:r>
                </w:p>
              </w:tc>
              <w:tc>
                <w:tcPr>
                  <w:tcW w:w="634" w:type="pct"/>
                  <w:shd w:val="clear" w:color="auto" w:fill="auto"/>
                  <w:noWrap w:val="0"/>
                  <w:vAlign w:val="center"/>
                </w:tcPr>
                <w:p w14:paraId="6F011D5F">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废橡胶边角料</w:t>
                  </w:r>
                </w:p>
              </w:tc>
              <w:tc>
                <w:tcPr>
                  <w:tcW w:w="785" w:type="pct"/>
                  <w:shd w:val="clear" w:color="auto" w:fill="auto"/>
                  <w:noWrap w:val="0"/>
                  <w:vAlign w:val="center"/>
                </w:tcPr>
                <w:p w14:paraId="07D46B68">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SW17，900-006-S17</w:t>
                  </w:r>
                </w:p>
              </w:tc>
              <w:tc>
                <w:tcPr>
                  <w:tcW w:w="510" w:type="pct"/>
                  <w:shd w:val="clear" w:color="auto" w:fill="auto"/>
                  <w:noWrap w:val="0"/>
                  <w:vAlign w:val="center"/>
                </w:tcPr>
                <w:p w14:paraId="6A108DDC">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b w:val="0"/>
                      <w:bCs/>
                      <w:snapToGrid w:val="0"/>
                      <w:color w:val="auto"/>
                      <w:spacing w:val="4"/>
                      <w:sz w:val="21"/>
                      <w:szCs w:val="21"/>
                      <w:u w:val="none" w:color="auto"/>
                      <w:lang w:val="en-US" w:eastAsia="zh-CN"/>
                    </w:rPr>
                    <w:t>固态</w:t>
                  </w:r>
                </w:p>
              </w:tc>
              <w:tc>
                <w:tcPr>
                  <w:tcW w:w="503" w:type="pct"/>
                  <w:shd w:val="clear" w:color="auto" w:fill="auto"/>
                  <w:noWrap w:val="0"/>
                  <w:vAlign w:val="center"/>
                </w:tcPr>
                <w:p w14:paraId="1A9EAD6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0.01</w:t>
                  </w:r>
                </w:p>
              </w:tc>
              <w:tc>
                <w:tcPr>
                  <w:tcW w:w="543" w:type="pct"/>
                  <w:vMerge w:val="continue"/>
                  <w:shd w:val="clear" w:color="auto" w:fill="auto"/>
                  <w:noWrap w:val="0"/>
                  <w:vAlign w:val="center"/>
                </w:tcPr>
                <w:p w14:paraId="3B34F055">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p>
              </w:tc>
              <w:tc>
                <w:tcPr>
                  <w:tcW w:w="893" w:type="pct"/>
                  <w:vMerge w:val="continue"/>
                  <w:shd w:val="clear" w:color="auto" w:fill="auto"/>
                  <w:noWrap w:val="0"/>
                  <w:vAlign w:val="center"/>
                </w:tcPr>
                <w:p w14:paraId="161ADDE1">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p>
              </w:tc>
              <w:tc>
                <w:tcPr>
                  <w:tcW w:w="549" w:type="pct"/>
                  <w:noWrap w:val="0"/>
                  <w:vAlign w:val="center"/>
                </w:tcPr>
                <w:p w14:paraId="00E76117">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0.01</w:t>
                  </w:r>
                </w:p>
              </w:tc>
            </w:tr>
            <w:tr w14:paraId="62D15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9" w:type="pct"/>
                  <w:vMerge w:val="restart"/>
                  <w:shd w:val="clear" w:color="auto" w:fill="auto"/>
                  <w:noWrap w:val="0"/>
                  <w:vAlign w:val="center"/>
                </w:tcPr>
                <w:p w14:paraId="5373BA9B">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检验</w:t>
                  </w:r>
                </w:p>
              </w:tc>
              <w:tc>
                <w:tcPr>
                  <w:tcW w:w="634" w:type="pct"/>
                  <w:shd w:val="clear" w:color="auto" w:fill="auto"/>
                  <w:noWrap w:val="0"/>
                  <w:vAlign w:val="center"/>
                </w:tcPr>
                <w:p w14:paraId="752EF8B9">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风扇、风罩不合格产品</w:t>
                  </w:r>
                </w:p>
              </w:tc>
              <w:tc>
                <w:tcPr>
                  <w:tcW w:w="785" w:type="pct"/>
                  <w:shd w:val="clear" w:color="auto" w:fill="auto"/>
                  <w:noWrap w:val="0"/>
                  <w:vAlign w:val="center"/>
                </w:tcPr>
                <w:p w14:paraId="3BD62934">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SW17，900-001-S17</w:t>
                  </w:r>
                </w:p>
              </w:tc>
              <w:tc>
                <w:tcPr>
                  <w:tcW w:w="510" w:type="pct"/>
                  <w:shd w:val="clear" w:color="auto" w:fill="auto"/>
                  <w:noWrap w:val="0"/>
                  <w:vAlign w:val="center"/>
                </w:tcPr>
                <w:p w14:paraId="66230EA3">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固态</w:t>
                  </w:r>
                </w:p>
              </w:tc>
              <w:tc>
                <w:tcPr>
                  <w:tcW w:w="503" w:type="pct"/>
                  <w:shd w:val="clear" w:color="auto" w:fill="auto"/>
                  <w:noWrap w:val="0"/>
                  <w:vAlign w:val="center"/>
                </w:tcPr>
                <w:p w14:paraId="0344D706">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0.05</w:t>
                  </w:r>
                </w:p>
              </w:tc>
              <w:tc>
                <w:tcPr>
                  <w:tcW w:w="543" w:type="pct"/>
                  <w:vMerge w:val="continue"/>
                  <w:shd w:val="clear" w:color="auto" w:fill="auto"/>
                  <w:noWrap w:val="0"/>
                  <w:vAlign w:val="center"/>
                </w:tcPr>
                <w:p w14:paraId="5385827C">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p>
              </w:tc>
              <w:tc>
                <w:tcPr>
                  <w:tcW w:w="893" w:type="pct"/>
                  <w:vMerge w:val="continue"/>
                  <w:shd w:val="clear" w:color="auto" w:fill="auto"/>
                  <w:noWrap w:val="0"/>
                  <w:vAlign w:val="center"/>
                </w:tcPr>
                <w:p w14:paraId="1B035C00">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p>
              </w:tc>
              <w:tc>
                <w:tcPr>
                  <w:tcW w:w="549" w:type="pct"/>
                  <w:noWrap w:val="0"/>
                  <w:vAlign w:val="center"/>
                </w:tcPr>
                <w:p w14:paraId="37873FAB">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0.05</w:t>
                  </w:r>
                </w:p>
              </w:tc>
            </w:tr>
            <w:tr w14:paraId="4EFF9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9" w:type="pct"/>
                  <w:vMerge w:val="continue"/>
                  <w:shd w:val="clear" w:color="auto" w:fill="auto"/>
                  <w:noWrap w:val="0"/>
                  <w:vAlign w:val="center"/>
                </w:tcPr>
                <w:p w14:paraId="5E8CD549">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p>
              </w:tc>
              <w:tc>
                <w:tcPr>
                  <w:tcW w:w="634" w:type="pct"/>
                  <w:shd w:val="clear" w:color="auto" w:fill="auto"/>
                  <w:noWrap w:val="0"/>
                  <w:vAlign w:val="center"/>
                </w:tcPr>
                <w:p w14:paraId="0BDA67E0">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高铁连接板不合格产品</w:t>
                  </w:r>
                </w:p>
              </w:tc>
              <w:tc>
                <w:tcPr>
                  <w:tcW w:w="785" w:type="pct"/>
                  <w:shd w:val="clear" w:color="auto" w:fill="auto"/>
                  <w:noWrap w:val="0"/>
                  <w:vAlign w:val="center"/>
                </w:tcPr>
                <w:p w14:paraId="19FC81BF">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SW17，900-006-S17</w:t>
                  </w:r>
                </w:p>
              </w:tc>
              <w:tc>
                <w:tcPr>
                  <w:tcW w:w="510" w:type="pct"/>
                  <w:shd w:val="clear" w:color="auto" w:fill="auto"/>
                  <w:noWrap w:val="0"/>
                  <w:vAlign w:val="center"/>
                </w:tcPr>
                <w:p w14:paraId="0043EB00">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固态</w:t>
                  </w:r>
                </w:p>
              </w:tc>
              <w:tc>
                <w:tcPr>
                  <w:tcW w:w="503" w:type="pct"/>
                  <w:shd w:val="clear" w:color="auto" w:fill="auto"/>
                  <w:noWrap w:val="0"/>
                  <w:vAlign w:val="center"/>
                </w:tcPr>
                <w:p w14:paraId="3BF5E493">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0.1</w:t>
                  </w:r>
                </w:p>
              </w:tc>
              <w:tc>
                <w:tcPr>
                  <w:tcW w:w="543" w:type="pct"/>
                  <w:vMerge w:val="continue"/>
                  <w:shd w:val="clear" w:color="auto" w:fill="auto"/>
                  <w:noWrap w:val="0"/>
                  <w:vAlign w:val="center"/>
                </w:tcPr>
                <w:p w14:paraId="0CA0FBF4">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p>
              </w:tc>
              <w:tc>
                <w:tcPr>
                  <w:tcW w:w="893" w:type="pct"/>
                  <w:vMerge w:val="continue"/>
                  <w:shd w:val="clear" w:color="auto" w:fill="auto"/>
                  <w:noWrap w:val="0"/>
                  <w:vAlign w:val="center"/>
                </w:tcPr>
                <w:p w14:paraId="3D87E8D5">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p>
              </w:tc>
              <w:tc>
                <w:tcPr>
                  <w:tcW w:w="549" w:type="pct"/>
                  <w:noWrap w:val="0"/>
                  <w:vAlign w:val="center"/>
                </w:tcPr>
                <w:p w14:paraId="7DD7255E">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0.1</w:t>
                  </w:r>
                </w:p>
              </w:tc>
            </w:tr>
            <w:tr w14:paraId="53B11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579" w:type="pct"/>
                  <w:shd w:val="clear" w:color="auto" w:fill="auto"/>
                  <w:noWrap w:val="0"/>
                  <w:vAlign w:val="center"/>
                </w:tcPr>
                <w:p w14:paraId="3A52DB9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清洗</w:t>
                  </w:r>
                </w:p>
              </w:tc>
              <w:tc>
                <w:tcPr>
                  <w:tcW w:w="634" w:type="pct"/>
                  <w:shd w:val="clear" w:color="auto" w:fill="auto"/>
                  <w:noWrap w:val="0"/>
                  <w:vAlign w:val="center"/>
                </w:tcPr>
                <w:p w14:paraId="7A5A4E74">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废清洗抹布、废清洗剂桶</w:t>
                  </w:r>
                </w:p>
              </w:tc>
              <w:tc>
                <w:tcPr>
                  <w:tcW w:w="785" w:type="pct"/>
                  <w:shd w:val="clear" w:color="auto" w:fill="auto"/>
                  <w:noWrap w:val="0"/>
                  <w:vAlign w:val="center"/>
                </w:tcPr>
                <w:p w14:paraId="24741193">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HW49，900-041-49</w:t>
                  </w:r>
                </w:p>
              </w:tc>
              <w:tc>
                <w:tcPr>
                  <w:tcW w:w="510" w:type="pct"/>
                  <w:shd w:val="clear" w:color="auto" w:fill="auto"/>
                  <w:noWrap w:val="0"/>
                  <w:vAlign w:val="center"/>
                </w:tcPr>
                <w:p w14:paraId="0ACB590D">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固态</w:t>
                  </w:r>
                </w:p>
              </w:tc>
              <w:tc>
                <w:tcPr>
                  <w:tcW w:w="503" w:type="pct"/>
                  <w:shd w:val="clear" w:color="auto" w:fill="auto"/>
                  <w:noWrap w:val="0"/>
                  <w:vAlign w:val="center"/>
                </w:tcPr>
                <w:p w14:paraId="51B76D5F">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0.005</w:t>
                  </w:r>
                </w:p>
              </w:tc>
              <w:tc>
                <w:tcPr>
                  <w:tcW w:w="543" w:type="pct"/>
                  <w:vMerge w:val="restart"/>
                  <w:noWrap w:val="0"/>
                  <w:vAlign w:val="center"/>
                </w:tcPr>
                <w:p w14:paraId="3497278F">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危废暂存间</w:t>
                  </w:r>
                </w:p>
              </w:tc>
              <w:tc>
                <w:tcPr>
                  <w:tcW w:w="893" w:type="pct"/>
                  <w:vMerge w:val="restart"/>
                  <w:noWrap w:val="0"/>
                  <w:vAlign w:val="center"/>
                </w:tcPr>
                <w:p w14:paraId="0B3E532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b w:val="0"/>
                      <w:bCs/>
                      <w:snapToGrid w:val="0"/>
                      <w:color w:val="auto"/>
                      <w:spacing w:val="4"/>
                      <w:sz w:val="21"/>
                      <w:szCs w:val="21"/>
                      <w:u w:val="none" w:color="auto"/>
                      <w:lang w:val="en-US" w:eastAsia="zh-CN"/>
                    </w:rPr>
                    <w:t>收集暂存于危废暂存间</w:t>
                  </w:r>
                  <w:r>
                    <w:rPr>
                      <w:rFonts w:hint="eastAsia" w:ascii="Times New Roman" w:hAnsi="Times New Roman" w:eastAsia="宋体" w:cs="Times New Roman"/>
                      <w:b w:val="0"/>
                      <w:bCs/>
                      <w:snapToGrid w:val="0"/>
                      <w:color w:val="auto"/>
                      <w:spacing w:val="4"/>
                      <w:sz w:val="21"/>
                      <w:szCs w:val="21"/>
                      <w:u w:val="none" w:color="auto"/>
                      <w:lang w:val="en-US" w:eastAsia="zh-CN"/>
                    </w:rPr>
                    <w:t>，</w:t>
                  </w:r>
                  <w:r>
                    <w:rPr>
                      <w:rFonts w:hint="default" w:ascii="Times New Roman" w:hAnsi="Times New Roman" w:eastAsia="宋体" w:cs="Times New Roman"/>
                      <w:b w:val="0"/>
                      <w:bCs/>
                      <w:snapToGrid w:val="0"/>
                      <w:color w:val="auto"/>
                      <w:spacing w:val="4"/>
                      <w:sz w:val="21"/>
                      <w:szCs w:val="21"/>
                      <w:u w:val="none" w:color="auto"/>
                      <w:lang w:val="en-US" w:eastAsia="zh-CN"/>
                    </w:rPr>
                    <w:t>和有资质的单位签订专属合同</w:t>
                  </w:r>
                  <w:r>
                    <w:rPr>
                      <w:rFonts w:hint="eastAsia" w:ascii="Times New Roman" w:hAnsi="Times New Roman" w:eastAsia="宋体" w:cs="Times New Roman"/>
                      <w:b w:val="0"/>
                      <w:bCs/>
                      <w:snapToGrid w:val="0"/>
                      <w:color w:val="auto"/>
                      <w:spacing w:val="4"/>
                      <w:sz w:val="21"/>
                      <w:szCs w:val="21"/>
                      <w:u w:val="none" w:color="auto"/>
                      <w:lang w:val="en-US" w:eastAsia="zh-CN"/>
                    </w:rPr>
                    <w:t>，</w:t>
                  </w:r>
                  <w:r>
                    <w:rPr>
                      <w:rFonts w:hint="default" w:ascii="Times New Roman" w:hAnsi="Times New Roman" w:eastAsia="宋体" w:cs="Times New Roman"/>
                      <w:b w:val="0"/>
                      <w:bCs/>
                      <w:snapToGrid w:val="0"/>
                      <w:color w:val="auto"/>
                      <w:spacing w:val="4"/>
                      <w:sz w:val="21"/>
                      <w:szCs w:val="21"/>
                      <w:u w:val="none" w:color="auto"/>
                      <w:lang w:val="en-US" w:eastAsia="zh-CN"/>
                    </w:rPr>
                    <w:t>定期交由有资质单位处置。</w:t>
                  </w:r>
                </w:p>
              </w:tc>
              <w:tc>
                <w:tcPr>
                  <w:tcW w:w="549" w:type="pct"/>
                  <w:noWrap w:val="0"/>
                  <w:vAlign w:val="center"/>
                </w:tcPr>
                <w:p w14:paraId="6B517156">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0.005</w:t>
                  </w:r>
                </w:p>
              </w:tc>
            </w:tr>
            <w:tr w14:paraId="63CA6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579" w:type="pct"/>
                  <w:shd w:val="clear" w:color="auto" w:fill="auto"/>
                  <w:vAlign w:val="center"/>
                </w:tcPr>
                <w:p w14:paraId="0B5318D4">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喷漆</w:t>
                  </w:r>
                </w:p>
              </w:tc>
              <w:tc>
                <w:tcPr>
                  <w:tcW w:w="634" w:type="pct"/>
                  <w:shd w:val="clear" w:color="auto" w:fill="auto"/>
                  <w:vAlign w:val="center"/>
                </w:tcPr>
                <w:p w14:paraId="3D97517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废油漆桶、稀释剂桶、废固化剂桶</w:t>
                  </w:r>
                </w:p>
              </w:tc>
              <w:tc>
                <w:tcPr>
                  <w:tcW w:w="785" w:type="pct"/>
                  <w:shd w:val="clear" w:color="auto" w:fill="auto"/>
                  <w:vAlign w:val="center"/>
                </w:tcPr>
                <w:p w14:paraId="4E19776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HW49，900-041-49</w:t>
                  </w:r>
                </w:p>
              </w:tc>
              <w:tc>
                <w:tcPr>
                  <w:tcW w:w="510" w:type="pct"/>
                  <w:vAlign w:val="center"/>
                </w:tcPr>
                <w:p w14:paraId="5FF505A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固态</w:t>
                  </w:r>
                </w:p>
              </w:tc>
              <w:tc>
                <w:tcPr>
                  <w:tcW w:w="503" w:type="pct"/>
                  <w:vAlign w:val="center"/>
                </w:tcPr>
                <w:p w14:paraId="594D2A25">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0.5</w:t>
                  </w:r>
                </w:p>
              </w:tc>
              <w:tc>
                <w:tcPr>
                  <w:tcW w:w="543" w:type="pct"/>
                  <w:vMerge w:val="continue"/>
                  <w:noWrap w:val="0"/>
                  <w:vAlign w:val="center"/>
                </w:tcPr>
                <w:p w14:paraId="5A326600">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p>
              </w:tc>
              <w:tc>
                <w:tcPr>
                  <w:tcW w:w="893" w:type="pct"/>
                  <w:vMerge w:val="continue"/>
                  <w:noWrap w:val="0"/>
                  <w:vAlign w:val="center"/>
                </w:tcPr>
                <w:p w14:paraId="09E2CD0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p>
              </w:tc>
              <w:tc>
                <w:tcPr>
                  <w:tcW w:w="549" w:type="pct"/>
                  <w:shd w:val="clear" w:color="auto" w:fill="auto"/>
                  <w:noWrap w:val="0"/>
                  <w:vAlign w:val="center"/>
                </w:tcPr>
                <w:p w14:paraId="318BE811">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0.5</w:t>
                  </w:r>
                </w:p>
              </w:tc>
            </w:tr>
            <w:tr w14:paraId="4A861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0" w:type="auto"/>
                  <w:shd w:val="clear" w:color="auto" w:fill="auto"/>
                  <w:vAlign w:val="center"/>
                </w:tcPr>
                <w:p w14:paraId="5C03F4C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喷漆</w:t>
                  </w:r>
                </w:p>
              </w:tc>
              <w:tc>
                <w:tcPr>
                  <w:tcW w:w="0" w:type="auto"/>
                  <w:shd w:val="clear" w:color="auto" w:fill="auto"/>
                  <w:vAlign w:val="center"/>
                </w:tcPr>
                <w:p w14:paraId="5F46F18E">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废漆渣</w:t>
                  </w:r>
                </w:p>
              </w:tc>
              <w:tc>
                <w:tcPr>
                  <w:tcW w:w="0" w:type="auto"/>
                  <w:shd w:val="clear" w:color="auto" w:fill="auto"/>
                  <w:vAlign w:val="center"/>
                </w:tcPr>
                <w:p w14:paraId="06BD5AF7">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HW12，900-252-12</w:t>
                  </w:r>
                </w:p>
              </w:tc>
              <w:tc>
                <w:tcPr>
                  <w:tcW w:w="0" w:type="auto"/>
                  <w:vAlign w:val="center"/>
                </w:tcPr>
                <w:p w14:paraId="171FEA40">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b w:val="0"/>
                      <w:bCs/>
                      <w:snapToGrid w:val="0"/>
                      <w:color w:val="auto"/>
                      <w:spacing w:val="4"/>
                      <w:sz w:val="21"/>
                      <w:szCs w:val="21"/>
                      <w:u w:val="none" w:color="auto"/>
                      <w:lang w:val="en-US" w:eastAsia="zh-CN"/>
                    </w:rPr>
                    <w:t>固态</w:t>
                  </w:r>
                </w:p>
              </w:tc>
              <w:tc>
                <w:tcPr>
                  <w:tcW w:w="503" w:type="pct"/>
                  <w:vAlign w:val="center"/>
                </w:tcPr>
                <w:p w14:paraId="163FC253">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0.665</w:t>
                  </w:r>
                </w:p>
              </w:tc>
              <w:tc>
                <w:tcPr>
                  <w:tcW w:w="543" w:type="pct"/>
                  <w:vMerge w:val="continue"/>
                  <w:vAlign w:val="center"/>
                </w:tcPr>
                <w:p w14:paraId="751A3945">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p>
              </w:tc>
              <w:tc>
                <w:tcPr>
                  <w:tcW w:w="893" w:type="pct"/>
                  <w:vMerge w:val="continue"/>
                  <w:vAlign w:val="center"/>
                </w:tcPr>
                <w:p w14:paraId="752DD096">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p>
              </w:tc>
              <w:tc>
                <w:tcPr>
                  <w:tcW w:w="549" w:type="pct"/>
                  <w:vAlign w:val="center"/>
                </w:tcPr>
                <w:p w14:paraId="2AED402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0.665</w:t>
                  </w:r>
                </w:p>
              </w:tc>
            </w:tr>
            <w:tr w14:paraId="4E4C5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0" w:type="auto"/>
                  <w:shd w:val="clear" w:color="auto" w:fill="auto"/>
                  <w:vAlign w:val="center"/>
                </w:tcPr>
                <w:p w14:paraId="7D5BF30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环保设施</w:t>
                  </w:r>
                </w:p>
              </w:tc>
              <w:tc>
                <w:tcPr>
                  <w:tcW w:w="0" w:type="auto"/>
                  <w:shd w:val="clear" w:color="auto" w:fill="auto"/>
                  <w:vAlign w:val="center"/>
                </w:tcPr>
                <w:p w14:paraId="0BE189E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废水帘循环水</w:t>
                  </w:r>
                </w:p>
              </w:tc>
              <w:tc>
                <w:tcPr>
                  <w:tcW w:w="0" w:type="auto"/>
                  <w:shd w:val="clear" w:color="auto" w:fill="auto"/>
                  <w:vAlign w:val="center"/>
                </w:tcPr>
                <w:p w14:paraId="1498B41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HW12，264-012-12</w:t>
                  </w:r>
                </w:p>
              </w:tc>
              <w:tc>
                <w:tcPr>
                  <w:tcW w:w="510" w:type="pct"/>
                  <w:vAlign w:val="center"/>
                </w:tcPr>
                <w:p w14:paraId="18B82EC8">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液态</w:t>
                  </w:r>
                </w:p>
              </w:tc>
              <w:tc>
                <w:tcPr>
                  <w:tcW w:w="503" w:type="pct"/>
                  <w:vAlign w:val="center"/>
                </w:tcPr>
                <w:p w14:paraId="49295E63">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21.7</w:t>
                  </w:r>
                </w:p>
              </w:tc>
              <w:tc>
                <w:tcPr>
                  <w:tcW w:w="543" w:type="pct"/>
                  <w:vMerge w:val="continue"/>
                  <w:vAlign w:val="center"/>
                </w:tcPr>
                <w:p w14:paraId="3BCEF9BB">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p>
              </w:tc>
              <w:tc>
                <w:tcPr>
                  <w:tcW w:w="893" w:type="pct"/>
                  <w:vMerge w:val="continue"/>
                  <w:vAlign w:val="center"/>
                </w:tcPr>
                <w:p w14:paraId="194E223E">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p>
              </w:tc>
              <w:tc>
                <w:tcPr>
                  <w:tcW w:w="549" w:type="pct"/>
                  <w:vAlign w:val="center"/>
                </w:tcPr>
                <w:p w14:paraId="0D8026BD">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21.7</w:t>
                  </w:r>
                </w:p>
              </w:tc>
            </w:tr>
            <w:tr w14:paraId="46B12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0" w:type="auto"/>
                  <w:shd w:val="clear" w:color="auto" w:fill="auto"/>
                  <w:vAlign w:val="center"/>
                </w:tcPr>
                <w:p w14:paraId="717E426B">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环保设施</w:t>
                  </w:r>
                </w:p>
              </w:tc>
              <w:tc>
                <w:tcPr>
                  <w:tcW w:w="0" w:type="auto"/>
                  <w:shd w:val="clear" w:color="auto" w:fill="auto"/>
                  <w:vAlign w:val="center"/>
                </w:tcPr>
                <w:p w14:paraId="139745CD">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废活性炭</w:t>
                  </w:r>
                </w:p>
              </w:tc>
              <w:tc>
                <w:tcPr>
                  <w:tcW w:w="0" w:type="auto"/>
                  <w:shd w:val="clear" w:color="auto" w:fill="auto"/>
                  <w:vAlign w:val="center"/>
                </w:tcPr>
                <w:p w14:paraId="030A9E8F">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HW49，900-039-49</w:t>
                  </w:r>
                </w:p>
              </w:tc>
              <w:tc>
                <w:tcPr>
                  <w:tcW w:w="510" w:type="pct"/>
                  <w:vAlign w:val="center"/>
                </w:tcPr>
                <w:p w14:paraId="38907EF5">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b w:val="0"/>
                      <w:bCs/>
                      <w:snapToGrid w:val="0"/>
                      <w:color w:val="auto"/>
                      <w:spacing w:val="4"/>
                      <w:sz w:val="21"/>
                      <w:szCs w:val="21"/>
                      <w:u w:val="none" w:color="auto"/>
                      <w:lang w:val="en-US" w:eastAsia="zh-CN"/>
                    </w:rPr>
                    <w:t>固态</w:t>
                  </w:r>
                </w:p>
              </w:tc>
              <w:tc>
                <w:tcPr>
                  <w:tcW w:w="503" w:type="pct"/>
                  <w:vAlign w:val="center"/>
                </w:tcPr>
                <w:p w14:paraId="2AEC4F4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12.337</w:t>
                  </w:r>
                </w:p>
              </w:tc>
              <w:tc>
                <w:tcPr>
                  <w:tcW w:w="543" w:type="pct"/>
                  <w:vMerge w:val="continue"/>
                  <w:vAlign w:val="center"/>
                </w:tcPr>
                <w:p w14:paraId="4FA82A58">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p>
              </w:tc>
              <w:tc>
                <w:tcPr>
                  <w:tcW w:w="893" w:type="pct"/>
                  <w:vMerge w:val="continue"/>
                  <w:vAlign w:val="center"/>
                </w:tcPr>
                <w:p w14:paraId="77797191">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p>
              </w:tc>
              <w:tc>
                <w:tcPr>
                  <w:tcW w:w="549" w:type="pct"/>
                  <w:vAlign w:val="center"/>
                </w:tcPr>
                <w:p w14:paraId="64A5C683">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12.337</w:t>
                  </w:r>
                </w:p>
              </w:tc>
            </w:tr>
            <w:tr w14:paraId="4272F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0" w:type="auto"/>
                  <w:shd w:val="clear" w:color="auto" w:fill="auto"/>
                  <w:vAlign w:val="center"/>
                </w:tcPr>
                <w:p w14:paraId="5261A658">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环保设施</w:t>
                  </w:r>
                </w:p>
              </w:tc>
              <w:tc>
                <w:tcPr>
                  <w:tcW w:w="0" w:type="auto"/>
                  <w:shd w:val="clear" w:color="auto" w:fill="auto"/>
                  <w:vAlign w:val="center"/>
                </w:tcPr>
                <w:p w14:paraId="0384C601">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废催化剂</w:t>
                  </w:r>
                </w:p>
              </w:tc>
              <w:tc>
                <w:tcPr>
                  <w:tcW w:w="0" w:type="auto"/>
                  <w:shd w:val="clear" w:color="auto" w:fill="auto"/>
                  <w:vAlign w:val="center"/>
                </w:tcPr>
                <w:p w14:paraId="4D1C4798">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HW50，</w:t>
                  </w:r>
                  <w:r>
                    <w:rPr>
                      <w:rFonts w:hint="default" w:ascii="Times New Roman" w:hAnsi="Times New Roman" w:eastAsia="宋体" w:cs="Times New Roman"/>
                      <w:b w:val="0"/>
                      <w:bCs/>
                      <w:snapToGrid w:val="0"/>
                      <w:color w:val="auto"/>
                      <w:spacing w:val="4"/>
                      <w:sz w:val="21"/>
                      <w:szCs w:val="21"/>
                      <w:u w:val="none" w:color="auto"/>
                      <w:lang w:val="en-US" w:eastAsia="zh-CN"/>
                    </w:rPr>
                    <w:t>900-0</w:t>
                  </w:r>
                  <w:r>
                    <w:rPr>
                      <w:rFonts w:hint="eastAsia" w:ascii="Times New Roman" w:hAnsi="Times New Roman" w:eastAsia="宋体" w:cs="Times New Roman"/>
                      <w:b w:val="0"/>
                      <w:bCs/>
                      <w:snapToGrid w:val="0"/>
                      <w:color w:val="auto"/>
                      <w:spacing w:val="4"/>
                      <w:sz w:val="21"/>
                      <w:szCs w:val="21"/>
                      <w:u w:val="none" w:color="auto"/>
                      <w:lang w:val="en-US" w:eastAsia="zh-CN"/>
                    </w:rPr>
                    <w:t>49</w:t>
                  </w:r>
                  <w:r>
                    <w:rPr>
                      <w:rFonts w:hint="default" w:ascii="Times New Roman" w:hAnsi="Times New Roman" w:eastAsia="宋体" w:cs="Times New Roman"/>
                      <w:b w:val="0"/>
                      <w:bCs/>
                      <w:snapToGrid w:val="0"/>
                      <w:color w:val="auto"/>
                      <w:spacing w:val="4"/>
                      <w:sz w:val="21"/>
                      <w:szCs w:val="21"/>
                      <w:u w:val="none" w:color="auto"/>
                      <w:lang w:val="en-US" w:eastAsia="zh-CN"/>
                    </w:rPr>
                    <w:t>-</w:t>
                  </w:r>
                  <w:r>
                    <w:rPr>
                      <w:rFonts w:hint="eastAsia" w:ascii="Times New Roman" w:hAnsi="Times New Roman" w:eastAsia="宋体" w:cs="Times New Roman"/>
                      <w:b w:val="0"/>
                      <w:bCs/>
                      <w:snapToGrid w:val="0"/>
                      <w:color w:val="auto"/>
                      <w:spacing w:val="4"/>
                      <w:sz w:val="21"/>
                      <w:szCs w:val="21"/>
                      <w:u w:val="none" w:color="auto"/>
                      <w:lang w:val="en-US" w:eastAsia="zh-CN"/>
                    </w:rPr>
                    <w:t>50</w:t>
                  </w:r>
                </w:p>
              </w:tc>
              <w:tc>
                <w:tcPr>
                  <w:tcW w:w="510" w:type="pct"/>
                  <w:vAlign w:val="center"/>
                </w:tcPr>
                <w:p w14:paraId="48268C67">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固态</w:t>
                  </w:r>
                </w:p>
              </w:tc>
              <w:tc>
                <w:tcPr>
                  <w:tcW w:w="503" w:type="pct"/>
                  <w:vAlign w:val="center"/>
                </w:tcPr>
                <w:p w14:paraId="6D4337AD">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0.1</w:t>
                  </w:r>
                </w:p>
              </w:tc>
              <w:tc>
                <w:tcPr>
                  <w:tcW w:w="543" w:type="pct"/>
                  <w:vMerge w:val="continue"/>
                  <w:vAlign w:val="center"/>
                </w:tcPr>
                <w:p w14:paraId="2EF3E3F3">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p>
              </w:tc>
              <w:tc>
                <w:tcPr>
                  <w:tcW w:w="893" w:type="pct"/>
                  <w:vMerge w:val="continue"/>
                  <w:vAlign w:val="center"/>
                </w:tcPr>
                <w:p w14:paraId="7615A1D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p>
              </w:tc>
              <w:tc>
                <w:tcPr>
                  <w:tcW w:w="549" w:type="pct"/>
                  <w:vAlign w:val="center"/>
                </w:tcPr>
                <w:p w14:paraId="1D9E8AB4">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0.1</w:t>
                  </w:r>
                </w:p>
              </w:tc>
            </w:tr>
            <w:tr w14:paraId="6431E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0" w:type="auto"/>
                  <w:shd w:val="clear" w:color="auto" w:fill="auto"/>
                  <w:vAlign w:val="center"/>
                </w:tcPr>
                <w:p w14:paraId="45F4CB3B">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环保设施</w:t>
                  </w:r>
                </w:p>
              </w:tc>
              <w:tc>
                <w:tcPr>
                  <w:tcW w:w="0" w:type="auto"/>
                  <w:shd w:val="clear" w:color="auto" w:fill="auto"/>
                  <w:vAlign w:val="center"/>
                </w:tcPr>
                <w:p w14:paraId="60E1C763">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kern w:val="2"/>
                      <w:sz w:val="21"/>
                      <w:szCs w:val="21"/>
                      <w:u w:val="none" w:color="auto"/>
                      <w:lang w:val="en-US" w:eastAsia="zh-CN" w:bidi="ar-SA"/>
                    </w:rPr>
                    <w:t>废过滤棉</w:t>
                  </w:r>
                </w:p>
              </w:tc>
              <w:tc>
                <w:tcPr>
                  <w:tcW w:w="0" w:type="auto"/>
                  <w:shd w:val="clear" w:color="auto" w:fill="auto"/>
                  <w:vAlign w:val="center"/>
                </w:tcPr>
                <w:p w14:paraId="5D641B4F">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HW49，900-041-49</w:t>
                  </w:r>
                </w:p>
              </w:tc>
              <w:tc>
                <w:tcPr>
                  <w:tcW w:w="510" w:type="pct"/>
                  <w:shd w:val="clear" w:color="auto" w:fill="auto"/>
                  <w:vAlign w:val="center"/>
                </w:tcPr>
                <w:p w14:paraId="7E31ACBC">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固态</w:t>
                  </w:r>
                </w:p>
              </w:tc>
              <w:tc>
                <w:tcPr>
                  <w:tcW w:w="503" w:type="pct"/>
                  <w:shd w:val="clear" w:color="auto" w:fill="auto"/>
                  <w:vAlign w:val="center"/>
                </w:tcPr>
                <w:p w14:paraId="64D03DDF">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cs="Times New Roman"/>
                      <w:b w:val="0"/>
                      <w:bCs/>
                      <w:snapToGrid w:val="0"/>
                      <w:color w:val="auto"/>
                      <w:spacing w:val="4"/>
                      <w:kern w:val="2"/>
                      <w:sz w:val="21"/>
                      <w:szCs w:val="21"/>
                      <w:u w:val="none" w:color="auto"/>
                      <w:lang w:val="en-US" w:eastAsia="zh-CN" w:bidi="ar-SA"/>
                    </w:rPr>
                    <w:t>1</w:t>
                  </w:r>
                </w:p>
              </w:tc>
              <w:tc>
                <w:tcPr>
                  <w:tcW w:w="543" w:type="pct"/>
                  <w:vMerge w:val="continue"/>
                  <w:vAlign w:val="center"/>
                </w:tcPr>
                <w:p w14:paraId="07F4877E">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p>
              </w:tc>
              <w:tc>
                <w:tcPr>
                  <w:tcW w:w="893" w:type="pct"/>
                  <w:vMerge w:val="continue"/>
                  <w:vAlign w:val="center"/>
                </w:tcPr>
                <w:p w14:paraId="1EF24326">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p>
              </w:tc>
              <w:tc>
                <w:tcPr>
                  <w:tcW w:w="549" w:type="pct"/>
                  <w:vAlign w:val="center"/>
                </w:tcPr>
                <w:p w14:paraId="29F8E9D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1</w:t>
                  </w:r>
                </w:p>
              </w:tc>
            </w:tr>
            <w:tr w14:paraId="1D033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9" w:type="pct"/>
                  <w:vMerge w:val="restart"/>
                  <w:shd w:val="clear" w:color="auto" w:fill="auto"/>
                  <w:vAlign w:val="center"/>
                </w:tcPr>
                <w:p w14:paraId="02BE9D86">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设备维修</w:t>
                  </w:r>
                </w:p>
              </w:tc>
              <w:tc>
                <w:tcPr>
                  <w:tcW w:w="0" w:type="auto"/>
                  <w:shd w:val="clear" w:color="auto" w:fill="auto"/>
                  <w:vAlign w:val="center"/>
                </w:tcPr>
                <w:p w14:paraId="0057590B">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废机油、废油桶</w:t>
                  </w:r>
                </w:p>
              </w:tc>
              <w:tc>
                <w:tcPr>
                  <w:tcW w:w="0" w:type="auto"/>
                  <w:shd w:val="clear" w:color="auto" w:fill="auto"/>
                  <w:vAlign w:val="center"/>
                </w:tcPr>
                <w:p w14:paraId="4B9234E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HW08，900-249-08</w:t>
                  </w:r>
                </w:p>
              </w:tc>
              <w:tc>
                <w:tcPr>
                  <w:tcW w:w="510" w:type="pct"/>
                  <w:vAlign w:val="center"/>
                </w:tcPr>
                <w:p w14:paraId="5373C23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固态、液态</w:t>
                  </w:r>
                </w:p>
              </w:tc>
              <w:tc>
                <w:tcPr>
                  <w:tcW w:w="503" w:type="pct"/>
                  <w:vAlign w:val="center"/>
                </w:tcPr>
                <w:p w14:paraId="70D2D59D">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0.1</w:t>
                  </w:r>
                </w:p>
              </w:tc>
              <w:tc>
                <w:tcPr>
                  <w:tcW w:w="543" w:type="pct"/>
                  <w:vMerge w:val="continue"/>
                  <w:vAlign w:val="center"/>
                </w:tcPr>
                <w:p w14:paraId="539C818F">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p>
              </w:tc>
              <w:tc>
                <w:tcPr>
                  <w:tcW w:w="893" w:type="pct"/>
                  <w:vMerge w:val="continue"/>
                  <w:vAlign w:val="center"/>
                </w:tcPr>
                <w:p w14:paraId="17A58756">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p>
              </w:tc>
              <w:tc>
                <w:tcPr>
                  <w:tcW w:w="549" w:type="pct"/>
                  <w:vAlign w:val="center"/>
                </w:tcPr>
                <w:p w14:paraId="4BB7E07E">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0.1</w:t>
                  </w:r>
                </w:p>
              </w:tc>
            </w:tr>
            <w:tr w14:paraId="4A693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9" w:type="pct"/>
                  <w:vMerge w:val="continue"/>
                  <w:shd w:val="clear" w:color="auto" w:fill="auto"/>
                  <w:vAlign w:val="center"/>
                </w:tcPr>
                <w:p w14:paraId="6C80C707">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p>
              </w:tc>
              <w:tc>
                <w:tcPr>
                  <w:tcW w:w="0" w:type="auto"/>
                  <w:shd w:val="clear" w:color="auto" w:fill="auto"/>
                  <w:vAlign w:val="center"/>
                </w:tcPr>
                <w:p w14:paraId="7AE93932">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废抹布、废手套</w:t>
                  </w:r>
                </w:p>
              </w:tc>
              <w:tc>
                <w:tcPr>
                  <w:tcW w:w="0" w:type="auto"/>
                  <w:shd w:val="clear" w:color="auto" w:fill="auto"/>
                  <w:vAlign w:val="center"/>
                </w:tcPr>
                <w:p w14:paraId="7B7AE0D7">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HW49</w:t>
                  </w:r>
                  <w:r>
                    <w:rPr>
                      <w:rFonts w:hint="eastAsia" w:cs="Times New Roman"/>
                      <w:b w:val="0"/>
                      <w:bCs/>
                      <w:snapToGrid w:val="0"/>
                      <w:color w:val="auto"/>
                      <w:spacing w:val="4"/>
                      <w:sz w:val="21"/>
                      <w:szCs w:val="21"/>
                      <w:u w:val="none" w:color="auto"/>
                      <w:lang w:val="en-US" w:eastAsia="zh-CN"/>
                    </w:rPr>
                    <w:t>，</w:t>
                  </w:r>
                  <w:r>
                    <w:rPr>
                      <w:rFonts w:hint="eastAsia" w:ascii="Times New Roman" w:hAnsi="Times New Roman" w:eastAsia="宋体" w:cs="Times New Roman"/>
                      <w:b w:val="0"/>
                      <w:bCs/>
                      <w:snapToGrid w:val="0"/>
                      <w:color w:val="auto"/>
                      <w:spacing w:val="4"/>
                      <w:sz w:val="21"/>
                      <w:szCs w:val="21"/>
                      <w:u w:val="none" w:color="auto"/>
                      <w:lang w:val="en-US" w:eastAsia="zh-CN"/>
                    </w:rPr>
                    <w:t>900-041-49</w:t>
                  </w:r>
                </w:p>
              </w:tc>
              <w:tc>
                <w:tcPr>
                  <w:tcW w:w="510" w:type="pct"/>
                  <w:vAlign w:val="center"/>
                </w:tcPr>
                <w:p w14:paraId="6F63E3FA">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固态</w:t>
                  </w:r>
                </w:p>
              </w:tc>
              <w:tc>
                <w:tcPr>
                  <w:tcW w:w="503" w:type="pct"/>
                  <w:vAlign w:val="center"/>
                </w:tcPr>
                <w:p w14:paraId="7C695941">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0.05</w:t>
                  </w:r>
                </w:p>
              </w:tc>
              <w:tc>
                <w:tcPr>
                  <w:tcW w:w="543" w:type="pct"/>
                  <w:vMerge w:val="continue"/>
                  <w:vAlign w:val="center"/>
                </w:tcPr>
                <w:p w14:paraId="072A6777">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p>
              </w:tc>
              <w:tc>
                <w:tcPr>
                  <w:tcW w:w="893" w:type="pct"/>
                  <w:vMerge w:val="continue"/>
                  <w:vAlign w:val="center"/>
                </w:tcPr>
                <w:p w14:paraId="3A42C3EE">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p>
              </w:tc>
              <w:tc>
                <w:tcPr>
                  <w:tcW w:w="549" w:type="pct"/>
                  <w:vAlign w:val="center"/>
                </w:tcPr>
                <w:p w14:paraId="54894E40">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0.05</w:t>
                  </w:r>
                </w:p>
              </w:tc>
            </w:tr>
            <w:tr w14:paraId="31C61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0" w:type="auto"/>
                  <w:shd w:val="clear" w:color="auto" w:fill="auto"/>
                  <w:vAlign w:val="center"/>
                </w:tcPr>
                <w:p w14:paraId="057E7113">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b w:val="0"/>
                      <w:bCs/>
                      <w:snapToGrid w:val="0"/>
                      <w:color w:val="auto"/>
                      <w:spacing w:val="4"/>
                      <w:sz w:val="21"/>
                      <w:szCs w:val="21"/>
                      <w:u w:val="none" w:color="auto"/>
                      <w:lang w:val="en-US" w:eastAsia="zh-CN"/>
                    </w:rPr>
                    <w:t>员工生活</w:t>
                  </w:r>
                </w:p>
              </w:tc>
              <w:tc>
                <w:tcPr>
                  <w:tcW w:w="0" w:type="auto"/>
                  <w:shd w:val="clear" w:color="auto" w:fill="auto"/>
                  <w:vAlign w:val="center"/>
                </w:tcPr>
                <w:p w14:paraId="1E09E628">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b w:val="0"/>
                      <w:bCs/>
                      <w:snapToGrid w:val="0"/>
                      <w:color w:val="auto"/>
                      <w:spacing w:val="4"/>
                      <w:sz w:val="21"/>
                      <w:szCs w:val="21"/>
                      <w:u w:val="none" w:color="auto"/>
                      <w:lang w:val="en-US" w:eastAsia="zh-CN"/>
                    </w:rPr>
                    <w:t>生活垃圾</w:t>
                  </w:r>
                </w:p>
              </w:tc>
              <w:tc>
                <w:tcPr>
                  <w:tcW w:w="0" w:type="auto"/>
                  <w:shd w:val="clear" w:color="auto" w:fill="auto"/>
                  <w:vAlign w:val="center"/>
                </w:tcPr>
                <w:p w14:paraId="63D2AB66">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SW62</w:t>
                  </w:r>
                </w:p>
                <w:p w14:paraId="5523E6F5">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900-001-S62900-002-S62</w:t>
                  </w:r>
                </w:p>
              </w:tc>
              <w:tc>
                <w:tcPr>
                  <w:tcW w:w="510" w:type="pct"/>
                  <w:shd w:val="clear" w:color="auto" w:fill="auto"/>
                  <w:vAlign w:val="center"/>
                </w:tcPr>
                <w:p w14:paraId="574346FC">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b w:val="0"/>
                      <w:bCs/>
                      <w:snapToGrid w:val="0"/>
                      <w:color w:val="auto"/>
                      <w:spacing w:val="4"/>
                      <w:sz w:val="21"/>
                      <w:szCs w:val="21"/>
                      <w:u w:val="none" w:color="auto"/>
                      <w:lang w:val="en-US" w:eastAsia="zh-CN"/>
                    </w:rPr>
                    <w:t>固态</w:t>
                  </w:r>
                </w:p>
              </w:tc>
              <w:tc>
                <w:tcPr>
                  <w:tcW w:w="503" w:type="pct"/>
                  <w:shd w:val="clear" w:color="auto" w:fill="auto"/>
                  <w:vAlign w:val="center"/>
                </w:tcPr>
                <w:p w14:paraId="62BC970B">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2.25</w:t>
                  </w:r>
                </w:p>
              </w:tc>
              <w:tc>
                <w:tcPr>
                  <w:tcW w:w="543" w:type="pct"/>
                  <w:shd w:val="clear" w:color="auto" w:fill="auto"/>
                  <w:vAlign w:val="center"/>
                </w:tcPr>
                <w:p w14:paraId="1872370C">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b w:val="0"/>
                      <w:bCs/>
                      <w:snapToGrid w:val="0"/>
                      <w:color w:val="auto"/>
                      <w:spacing w:val="4"/>
                      <w:sz w:val="21"/>
                      <w:szCs w:val="21"/>
                      <w:u w:val="none" w:color="auto"/>
                      <w:lang w:val="en-US" w:eastAsia="zh-CN"/>
                    </w:rPr>
                    <w:t>垃圾桶</w:t>
                  </w:r>
                </w:p>
              </w:tc>
              <w:tc>
                <w:tcPr>
                  <w:tcW w:w="893" w:type="pct"/>
                  <w:shd w:val="clear" w:color="auto" w:fill="auto"/>
                  <w:vAlign w:val="center"/>
                </w:tcPr>
                <w:p w14:paraId="54654547">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b w:val="0"/>
                      <w:bCs/>
                      <w:snapToGrid w:val="0"/>
                      <w:color w:val="auto"/>
                      <w:spacing w:val="4"/>
                      <w:sz w:val="21"/>
                      <w:szCs w:val="21"/>
                      <w:u w:val="none" w:color="auto"/>
                      <w:lang w:val="en-US" w:eastAsia="zh-CN"/>
                    </w:rPr>
                    <w:t>环卫部门统一清运至垃圾填埋场</w:t>
                  </w:r>
                </w:p>
              </w:tc>
              <w:tc>
                <w:tcPr>
                  <w:tcW w:w="549" w:type="pct"/>
                  <w:shd w:val="clear" w:color="auto" w:fill="auto"/>
                  <w:vAlign w:val="center"/>
                </w:tcPr>
                <w:p w14:paraId="6ADC9B26">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2.25</w:t>
                  </w:r>
                </w:p>
              </w:tc>
            </w:tr>
          </w:tbl>
          <w:p w14:paraId="47F04B49">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cs="Times New Roman"/>
                <w:b/>
                <w:bCs/>
                <w:color w:val="auto"/>
                <w:sz w:val="24"/>
                <w:szCs w:val="24"/>
                <w:highlight w:val="none"/>
                <w:u w:val="none" w:color="auto"/>
                <w:lang w:val="en-US" w:eastAsia="zh-CN"/>
              </w:rPr>
              <w:t>2</w:t>
            </w:r>
            <w:r>
              <w:rPr>
                <w:rFonts w:hint="eastAsia" w:ascii="Times New Roman" w:hAnsi="Times New Roman" w:eastAsia="宋体" w:cs="Times New Roman"/>
                <w:b/>
                <w:bCs/>
                <w:color w:val="auto"/>
                <w:sz w:val="24"/>
                <w:szCs w:val="24"/>
                <w:highlight w:val="none"/>
                <w:u w:val="none" w:color="auto"/>
                <w:lang w:val="en-US" w:eastAsia="zh-CN"/>
              </w:rPr>
              <w:t>、固体废物环境影响分析</w:t>
            </w:r>
          </w:p>
          <w:p w14:paraId="705A1CC3">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（1）收集过程环境影响分析</w:t>
            </w:r>
          </w:p>
          <w:p w14:paraId="6B8D356D">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危险废物收集过程可能因管理不善，导致其泄漏、飞扬，对环境空气、周边水体、地下水等造成污染，或者因包装袋标签标示不清，造成混放，带来交叉污染。本项目拟按照《危险废物收集 贮存 运输技术规范》（HJ 2025-2012）、《一般工业固体废物贮存和填埋污染控制标准》（GB18599-2020）对各类固体废物按相关要求进行分类收集，根据各类固体废物的相容性、反应性进行分类收集。采取分类收集后，可避免危险废物与一般工业固体废物、生活垃圾等混合，从而避免收集过程的二次污染。</w:t>
            </w:r>
          </w:p>
          <w:p w14:paraId="37A3F1D8">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（2）贮存过程环境影响分析</w:t>
            </w:r>
          </w:p>
          <w:p w14:paraId="4DF38C85">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本项目产生的一般工业固体废物包括金属边角料、废焊丝、废焊渣、废橡胶边角料，项目一般固废暂存区位于车间三西侧，占地</w:t>
            </w:r>
            <w:r>
              <w:rPr>
                <w:rFonts w:hint="eastAsia" w:cs="Times New Roman"/>
                <w:color w:val="auto"/>
                <w:sz w:val="24"/>
                <w:szCs w:val="24"/>
                <w:highlight w:val="none"/>
                <w:u w:val="none" w:color="auto"/>
                <w:lang w:val="en-US" w:eastAsia="zh-CN"/>
              </w:rPr>
              <w:t>2</w:t>
            </w:r>
            <w:r>
              <w:rPr>
                <w:rFonts w:hint="eastAsia" w:ascii="Times New Roman" w:hAnsi="Times New Roman" w:eastAsia="宋体" w:cs="Times New Roman"/>
                <w:color w:val="auto"/>
                <w:sz w:val="24"/>
                <w:szCs w:val="24"/>
                <w:highlight w:val="none"/>
                <w:u w:val="none" w:color="auto"/>
                <w:lang w:val="en-US" w:eastAsia="zh-CN"/>
              </w:rPr>
              <w:t>0m</w:t>
            </w:r>
            <w:r>
              <w:rPr>
                <w:rFonts w:hint="eastAsia" w:ascii="Times New Roman" w:hAnsi="Times New Roman" w:eastAsia="宋体" w:cs="Times New Roman"/>
                <w:color w:val="auto"/>
                <w:sz w:val="24"/>
                <w:szCs w:val="24"/>
                <w:highlight w:val="none"/>
                <w:u w:val="none" w:color="auto"/>
                <w:vertAlign w:val="superscript"/>
                <w:lang w:val="en-US" w:eastAsia="zh-CN"/>
              </w:rPr>
              <w:t>2</w:t>
            </w:r>
            <w:r>
              <w:rPr>
                <w:rFonts w:hint="eastAsia" w:ascii="Times New Roman" w:hAnsi="Times New Roman" w:eastAsia="宋体" w:cs="Times New Roman"/>
                <w:color w:val="auto"/>
                <w:sz w:val="24"/>
                <w:szCs w:val="24"/>
                <w:highlight w:val="none"/>
                <w:u w:val="none" w:color="auto"/>
                <w:lang w:val="en-US" w:eastAsia="zh-CN"/>
              </w:rPr>
              <w:t>，用于暂存废金属边角料、废焊丝、废焊渣、废橡胶边角料。</w:t>
            </w:r>
          </w:p>
          <w:p w14:paraId="79E23B19">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本项目新建</w:t>
            </w:r>
            <w:r>
              <w:rPr>
                <w:rFonts w:hint="eastAsia" w:cs="Times New Roman"/>
                <w:color w:val="auto"/>
                <w:sz w:val="24"/>
                <w:szCs w:val="24"/>
                <w:highlight w:val="none"/>
                <w:u w:val="none" w:color="auto"/>
                <w:lang w:val="en-US" w:eastAsia="zh-CN"/>
              </w:rPr>
              <w:t>一间</w:t>
            </w:r>
            <w:r>
              <w:rPr>
                <w:rFonts w:hint="eastAsia" w:ascii="Times New Roman" w:hAnsi="Times New Roman" w:eastAsia="宋体" w:cs="Times New Roman"/>
                <w:color w:val="auto"/>
                <w:sz w:val="24"/>
                <w:szCs w:val="24"/>
                <w:highlight w:val="none"/>
                <w:u w:val="none" w:color="auto"/>
                <w:lang w:val="en-US" w:eastAsia="zh-CN"/>
              </w:rPr>
              <w:t>危废暂存间</w:t>
            </w:r>
            <w:r>
              <w:rPr>
                <w:rFonts w:hint="eastAsia" w:cs="Times New Roman"/>
                <w:color w:val="auto"/>
                <w:sz w:val="24"/>
                <w:szCs w:val="24"/>
                <w:highlight w:val="none"/>
                <w:u w:val="none" w:color="auto"/>
                <w:lang w:val="en-US" w:eastAsia="zh-CN"/>
              </w:rPr>
              <w:t>，</w:t>
            </w:r>
            <w:r>
              <w:rPr>
                <w:rFonts w:hint="eastAsia" w:ascii="Times New Roman" w:hAnsi="Times New Roman" w:eastAsia="宋体" w:cs="Times New Roman"/>
                <w:color w:val="auto"/>
                <w:sz w:val="24"/>
                <w:szCs w:val="24"/>
                <w:highlight w:val="none"/>
                <w:u w:val="none" w:color="auto"/>
                <w:lang w:val="en-US" w:eastAsia="zh-CN"/>
              </w:rPr>
              <w:t>位于车间二西侧，占地</w:t>
            </w:r>
            <w:r>
              <w:rPr>
                <w:rFonts w:hint="eastAsia" w:cs="Times New Roman"/>
                <w:color w:val="auto"/>
                <w:sz w:val="24"/>
                <w:szCs w:val="24"/>
                <w:highlight w:val="none"/>
                <w:u w:val="none" w:color="auto"/>
                <w:lang w:val="en-US" w:eastAsia="zh-CN"/>
              </w:rPr>
              <w:t>5</w:t>
            </w:r>
            <w:r>
              <w:rPr>
                <w:rFonts w:hint="eastAsia" w:ascii="Times New Roman" w:hAnsi="Times New Roman" w:eastAsia="宋体" w:cs="Times New Roman"/>
                <w:color w:val="auto"/>
                <w:sz w:val="24"/>
                <w:szCs w:val="24"/>
                <w:highlight w:val="none"/>
                <w:u w:val="none" w:color="auto"/>
                <w:lang w:val="en-US" w:eastAsia="zh-CN"/>
              </w:rPr>
              <w:t>0m</w:t>
            </w:r>
            <w:r>
              <w:rPr>
                <w:rFonts w:hint="eastAsia" w:ascii="Times New Roman" w:hAnsi="Times New Roman" w:eastAsia="宋体" w:cs="Times New Roman"/>
                <w:color w:val="auto"/>
                <w:sz w:val="24"/>
                <w:szCs w:val="24"/>
                <w:highlight w:val="none"/>
                <w:u w:val="none" w:color="auto"/>
                <w:vertAlign w:val="superscript"/>
                <w:lang w:val="en-US" w:eastAsia="zh-CN"/>
              </w:rPr>
              <w:t>2</w:t>
            </w:r>
            <w:r>
              <w:rPr>
                <w:rFonts w:hint="eastAsia" w:cs="Times New Roman"/>
                <w:color w:val="auto"/>
                <w:sz w:val="24"/>
                <w:szCs w:val="24"/>
                <w:highlight w:val="none"/>
                <w:u w:val="none" w:color="auto"/>
                <w:vertAlign w:val="superscript"/>
                <w:lang w:val="en-US" w:eastAsia="zh-CN"/>
              </w:rPr>
              <w:t>。</w:t>
            </w:r>
            <w:r>
              <w:rPr>
                <w:rFonts w:hint="eastAsia" w:ascii="Times New Roman" w:hAnsi="Times New Roman" w:eastAsia="宋体" w:cs="Times New Roman"/>
                <w:color w:val="auto"/>
                <w:sz w:val="24"/>
                <w:szCs w:val="24"/>
                <w:highlight w:val="none"/>
                <w:u w:val="none" w:color="auto"/>
                <w:lang w:val="en-US" w:eastAsia="zh-CN"/>
              </w:rPr>
              <w:t>本项目所在</w:t>
            </w:r>
            <w:r>
              <w:rPr>
                <w:rFonts w:hint="default" w:ascii="Times New Roman" w:hAnsi="Times New Roman" w:eastAsia="宋体" w:cs="Times New Roman"/>
                <w:color w:val="auto"/>
                <w:sz w:val="24"/>
                <w:szCs w:val="24"/>
                <w:highlight w:val="none"/>
                <w:u w:val="none" w:color="auto"/>
                <w:lang w:val="en-US" w:eastAsia="zh-CN"/>
              </w:rPr>
              <w:t>地区地质结构稳定，不属于溶洞区或易遭受严重自然灾害如洪水、滑坡，泥石流、潮汐等影响的地区，所在地高于地下水最高水位。因</w:t>
            </w:r>
            <w:r>
              <w:rPr>
                <w:rFonts w:hint="eastAsia" w:ascii="Times New Roman" w:hAnsi="Times New Roman" w:eastAsia="宋体" w:cs="Times New Roman"/>
                <w:color w:val="auto"/>
                <w:sz w:val="24"/>
                <w:szCs w:val="24"/>
                <w:highlight w:val="none"/>
                <w:u w:val="none" w:color="auto"/>
                <w:lang w:val="en-US" w:eastAsia="zh-CN"/>
              </w:rPr>
              <w:t>此</w:t>
            </w:r>
            <w:r>
              <w:rPr>
                <w:rFonts w:hint="default" w:ascii="Times New Roman" w:hAnsi="Times New Roman" w:eastAsia="宋体" w:cs="Times New Roman"/>
                <w:color w:val="auto"/>
                <w:sz w:val="24"/>
                <w:szCs w:val="24"/>
                <w:highlight w:val="none"/>
                <w:u w:val="none" w:color="auto"/>
                <w:lang w:val="en-US" w:eastAsia="zh-CN"/>
              </w:rPr>
              <w:t>，</w:t>
            </w:r>
            <w:r>
              <w:rPr>
                <w:rFonts w:hint="eastAsia" w:ascii="Times New Roman" w:hAnsi="Times New Roman" w:eastAsia="宋体" w:cs="Times New Roman"/>
                <w:color w:val="auto"/>
                <w:sz w:val="24"/>
                <w:szCs w:val="24"/>
                <w:highlight w:val="none"/>
                <w:u w:val="none" w:color="auto"/>
                <w:lang w:val="en-US" w:eastAsia="zh-CN"/>
              </w:rPr>
              <w:t>本</w:t>
            </w:r>
            <w:r>
              <w:rPr>
                <w:rFonts w:hint="default" w:ascii="Times New Roman" w:hAnsi="Times New Roman" w:eastAsia="宋体" w:cs="Times New Roman"/>
                <w:color w:val="auto"/>
                <w:sz w:val="24"/>
                <w:szCs w:val="24"/>
                <w:highlight w:val="none"/>
                <w:u w:val="none" w:color="auto"/>
                <w:lang w:val="en-US" w:eastAsia="zh-CN"/>
              </w:rPr>
              <w:t>项目危废暂存</w:t>
            </w:r>
            <w:r>
              <w:rPr>
                <w:rFonts w:hint="eastAsia" w:ascii="Times New Roman" w:hAnsi="Times New Roman" w:eastAsia="宋体" w:cs="Times New Roman"/>
                <w:color w:val="auto"/>
                <w:sz w:val="24"/>
                <w:szCs w:val="24"/>
                <w:highlight w:val="none"/>
                <w:u w:val="none" w:color="auto"/>
                <w:lang w:val="en-US" w:eastAsia="zh-CN"/>
              </w:rPr>
              <w:t>间</w:t>
            </w:r>
            <w:r>
              <w:rPr>
                <w:rFonts w:hint="default" w:ascii="Times New Roman" w:hAnsi="Times New Roman" w:eastAsia="宋体" w:cs="Times New Roman"/>
                <w:color w:val="auto"/>
                <w:sz w:val="24"/>
                <w:szCs w:val="24"/>
                <w:highlight w:val="none"/>
                <w:u w:val="none" w:color="auto"/>
                <w:lang w:val="en-US" w:eastAsia="zh-CN"/>
              </w:rPr>
              <w:t>选址可行。项目</w:t>
            </w:r>
            <w:r>
              <w:rPr>
                <w:rFonts w:hint="eastAsia" w:ascii="Times New Roman" w:hAnsi="Times New Roman" w:eastAsia="宋体" w:cs="Times New Roman"/>
                <w:color w:val="auto"/>
                <w:sz w:val="24"/>
                <w:szCs w:val="24"/>
                <w:highlight w:val="none"/>
                <w:u w:val="none" w:color="auto"/>
                <w:lang w:val="en-US" w:eastAsia="zh-CN"/>
              </w:rPr>
              <w:t>产生的废清洗抹布、废清洗剂桶、废油漆桶、稀释剂桶、废固化剂桶、废漆渣、废水帘循环水、废活性炭、废催化剂、废机油、废油桶</w:t>
            </w:r>
            <w:r>
              <w:rPr>
                <w:rFonts w:hint="default" w:ascii="Times New Roman" w:hAnsi="Times New Roman" w:eastAsia="宋体" w:cs="Times New Roman"/>
                <w:color w:val="auto"/>
                <w:sz w:val="24"/>
                <w:szCs w:val="24"/>
                <w:highlight w:val="none"/>
                <w:u w:val="none" w:color="auto"/>
                <w:lang w:val="en-US" w:eastAsia="zh-CN"/>
              </w:rPr>
              <w:t>收集后</w:t>
            </w:r>
            <w:r>
              <w:rPr>
                <w:rFonts w:hint="eastAsia" w:ascii="Times New Roman" w:hAnsi="Times New Roman" w:eastAsia="宋体" w:cs="Times New Roman"/>
                <w:color w:val="auto"/>
                <w:sz w:val="24"/>
                <w:szCs w:val="24"/>
                <w:highlight w:val="none"/>
                <w:u w:val="none" w:color="auto"/>
                <w:lang w:val="en-US" w:eastAsia="zh-CN"/>
              </w:rPr>
              <w:t>分类</w:t>
            </w:r>
            <w:r>
              <w:rPr>
                <w:rFonts w:hint="default" w:ascii="Times New Roman" w:hAnsi="Times New Roman" w:eastAsia="宋体" w:cs="Times New Roman"/>
                <w:color w:val="auto"/>
                <w:sz w:val="24"/>
                <w:szCs w:val="24"/>
                <w:highlight w:val="none"/>
                <w:u w:val="none" w:color="auto"/>
                <w:lang w:val="en-US" w:eastAsia="zh-CN"/>
              </w:rPr>
              <w:t>暂存于危废暂存</w:t>
            </w:r>
            <w:r>
              <w:rPr>
                <w:rFonts w:hint="eastAsia" w:ascii="Times New Roman" w:hAnsi="Times New Roman" w:eastAsia="宋体" w:cs="Times New Roman"/>
                <w:color w:val="auto"/>
                <w:sz w:val="24"/>
                <w:szCs w:val="24"/>
                <w:highlight w:val="none"/>
                <w:u w:val="none" w:color="auto"/>
                <w:lang w:val="en-US" w:eastAsia="zh-CN"/>
              </w:rPr>
              <w:t>间</w:t>
            </w:r>
            <w:r>
              <w:rPr>
                <w:rFonts w:hint="default" w:ascii="Times New Roman" w:hAnsi="Times New Roman" w:eastAsia="宋体" w:cs="Times New Roman"/>
                <w:color w:val="auto"/>
                <w:sz w:val="24"/>
                <w:szCs w:val="24"/>
                <w:highlight w:val="none"/>
                <w:u w:val="none" w:color="auto"/>
                <w:lang w:val="en-US" w:eastAsia="zh-CN"/>
              </w:rPr>
              <w:t>内</w:t>
            </w:r>
            <w:r>
              <w:rPr>
                <w:rFonts w:hint="eastAsia" w:ascii="Times New Roman" w:hAnsi="Times New Roman" w:eastAsia="宋体"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危废暂存</w:t>
            </w:r>
            <w:r>
              <w:rPr>
                <w:rFonts w:hint="eastAsia" w:ascii="Times New Roman" w:hAnsi="Times New Roman" w:eastAsia="宋体" w:cs="Times New Roman"/>
                <w:color w:val="auto"/>
                <w:sz w:val="24"/>
                <w:szCs w:val="24"/>
                <w:highlight w:val="none"/>
                <w:u w:val="none" w:color="auto"/>
                <w:lang w:val="en-US" w:eastAsia="zh-CN"/>
              </w:rPr>
              <w:t>间</w:t>
            </w:r>
            <w:r>
              <w:rPr>
                <w:rFonts w:hint="default" w:ascii="Times New Roman" w:hAnsi="Times New Roman" w:eastAsia="宋体" w:cs="Times New Roman"/>
                <w:color w:val="auto"/>
                <w:sz w:val="24"/>
                <w:szCs w:val="24"/>
                <w:highlight w:val="none"/>
                <w:u w:val="none" w:color="auto"/>
                <w:lang w:val="en-US" w:eastAsia="zh-CN"/>
              </w:rPr>
              <w:t>严格按照</w:t>
            </w:r>
            <w:r>
              <w:rPr>
                <w:rFonts w:hint="eastAsia" w:ascii="Times New Roman" w:hAnsi="Times New Roman" w:eastAsia="宋体" w:cs="Times New Roman"/>
                <w:color w:val="auto"/>
                <w:sz w:val="24"/>
                <w:szCs w:val="24"/>
                <w:highlight w:val="none"/>
                <w:u w:val="none" w:color="auto"/>
                <w:lang w:val="en-US" w:eastAsia="zh-CN"/>
              </w:rPr>
              <w:t>《危险废物贮存污染控制标准》（GB18597-2023）</w:t>
            </w:r>
            <w:r>
              <w:rPr>
                <w:rFonts w:hint="default" w:ascii="Times New Roman" w:hAnsi="Times New Roman" w:eastAsia="宋体" w:cs="Times New Roman"/>
                <w:color w:val="auto"/>
                <w:sz w:val="24"/>
                <w:szCs w:val="24"/>
                <w:highlight w:val="none"/>
                <w:u w:val="none" w:color="auto"/>
                <w:lang w:val="en-US" w:eastAsia="zh-CN"/>
              </w:rPr>
              <w:t>的要求设计，进行</w:t>
            </w:r>
            <w:r>
              <w:rPr>
                <w:rFonts w:hint="eastAsia" w:ascii="Times New Roman" w:hAnsi="Times New Roman" w:eastAsia="宋体" w:cs="Times New Roman"/>
                <w:color w:val="auto"/>
                <w:sz w:val="24"/>
                <w:szCs w:val="24"/>
                <w:highlight w:val="none"/>
                <w:u w:val="none" w:color="auto"/>
                <w:lang w:val="en-US" w:eastAsia="zh-CN"/>
              </w:rPr>
              <w:t>防漏、</w:t>
            </w:r>
            <w:r>
              <w:rPr>
                <w:rFonts w:hint="default" w:ascii="Times New Roman" w:hAnsi="Times New Roman" w:eastAsia="宋体" w:cs="Times New Roman"/>
                <w:color w:val="auto"/>
                <w:sz w:val="24"/>
                <w:szCs w:val="24"/>
                <w:highlight w:val="none"/>
                <w:u w:val="none" w:color="auto"/>
                <w:lang w:val="en-US" w:eastAsia="zh-CN"/>
              </w:rPr>
              <w:t>防渗、防腐处理。</w:t>
            </w:r>
            <w:r>
              <w:rPr>
                <w:rFonts w:hint="eastAsia" w:ascii="Times New Roman" w:hAnsi="Times New Roman" w:eastAsia="宋体" w:cs="Times New Roman"/>
                <w:color w:val="auto"/>
                <w:sz w:val="24"/>
                <w:szCs w:val="24"/>
                <w:highlight w:val="none"/>
                <w:u w:val="none" w:color="auto"/>
                <w:lang w:val="en-US" w:eastAsia="zh-CN"/>
              </w:rPr>
              <w:t>因此</w:t>
            </w:r>
            <w:r>
              <w:rPr>
                <w:rFonts w:hint="default" w:ascii="Times New Roman" w:hAnsi="Times New Roman" w:eastAsia="宋体" w:cs="Times New Roman"/>
                <w:color w:val="auto"/>
                <w:sz w:val="24"/>
                <w:szCs w:val="24"/>
                <w:highlight w:val="none"/>
                <w:u w:val="none" w:color="auto"/>
                <w:lang w:val="en-US" w:eastAsia="zh-CN"/>
              </w:rPr>
              <w:t>，</w:t>
            </w:r>
            <w:r>
              <w:rPr>
                <w:rFonts w:hint="eastAsia" w:ascii="Times New Roman" w:hAnsi="Times New Roman" w:eastAsia="宋体" w:cs="Times New Roman"/>
                <w:color w:val="auto"/>
                <w:sz w:val="24"/>
                <w:szCs w:val="24"/>
                <w:highlight w:val="none"/>
                <w:u w:val="none" w:color="auto"/>
                <w:lang w:val="en-US" w:eastAsia="zh-CN"/>
              </w:rPr>
              <w:t>在做好危废暂存间的防渗措施后，本项目危险废物在</w:t>
            </w:r>
            <w:r>
              <w:rPr>
                <w:rFonts w:hint="default" w:ascii="Times New Roman" w:hAnsi="Times New Roman" w:eastAsia="宋体" w:cs="Times New Roman"/>
                <w:color w:val="auto"/>
                <w:sz w:val="24"/>
                <w:szCs w:val="24"/>
                <w:highlight w:val="none"/>
                <w:u w:val="none" w:color="auto"/>
                <w:lang w:val="en-US" w:eastAsia="zh-CN"/>
              </w:rPr>
              <w:t>暂存过程</w:t>
            </w:r>
            <w:r>
              <w:rPr>
                <w:rFonts w:hint="eastAsia" w:ascii="Times New Roman" w:hAnsi="Times New Roman" w:eastAsia="宋体" w:cs="Times New Roman"/>
                <w:color w:val="auto"/>
                <w:sz w:val="24"/>
                <w:szCs w:val="24"/>
                <w:highlight w:val="none"/>
                <w:u w:val="none" w:color="auto"/>
                <w:lang w:val="en-US" w:eastAsia="zh-CN"/>
              </w:rPr>
              <w:t>中对环境空气、地表水、地下水、土壤环境基本不造成影响</w:t>
            </w:r>
            <w:r>
              <w:rPr>
                <w:rFonts w:hint="default" w:ascii="Times New Roman" w:hAnsi="Times New Roman" w:eastAsia="宋体" w:cs="Times New Roman"/>
                <w:color w:val="auto"/>
                <w:sz w:val="24"/>
                <w:szCs w:val="24"/>
                <w:highlight w:val="none"/>
                <w:u w:val="none" w:color="auto"/>
                <w:lang w:val="en-US" w:eastAsia="zh-CN"/>
              </w:rPr>
              <w:t>。</w:t>
            </w:r>
          </w:p>
          <w:p w14:paraId="744FA82D">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（3）运输、处置过程环境影响分析</w:t>
            </w:r>
          </w:p>
          <w:p w14:paraId="5B152DCE">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本项目固体废物由产生部位环节运输到暂存场所为厂区内部运输，可能产生散落、泄漏等，其影响可控制在厂区内，对环境空气、地下水、土壤环境及周边敏感目标产生影响的可能性比较极小。危险废物委外处置转移为外部运输，委托有资质的单位进行厂外运输，运输过程做好密闭措施，按照指定路线运输，并按照相关规范和要求做好运输过程的管理，对外环境影响不大。</w:t>
            </w:r>
          </w:p>
          <w:p w14:paraId="14E6B890">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cs="Times New Roman"/>
                <w:b/>
                <w:bCs/>
                <w:color w:val="auto"/>
                <w:sz w:val="24"/>
                <w:szCs w:val="24"/>
                <w:highlight w:val="none"/>
                <w:u w:val="none" w:color="auto"/>
                <w:lang w:val="en-US" w:eastAsia="zh-CN"/>
              </w:rPr>
              <w:t>3</w:t>
            </w:r>
            <w:r>
              <w:rPr>
                <w:rFonts w:hint="default" w:ascii="Times New Roman" w:hAnsi="Times New Roman" w:eastAsia="宋体" w:cs="Times New Roman"/>
                <w:b/>
                <w:bCs/>
                <w:color w:val="auto"/>
                <w:sz w:val="24"/>
                <w:szCs w:val="24"/>
                <w:highlight w:val="none"/>
                <w:u w:val="none" w:color="auto"/>
                <w:lang w:val="en-US" w:eastAsia="zh-CN"/>
              </w:rPr>
              <w:t>、固体废物环境管理措施</w:t>
            </w:r>
          </w:p>
          <w:p w14:paraId="0D7C8380">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（1）</w:t>
            </w:r>
            <w:r>
              <w:rPr>
                <w:rFonts w:hint="default" w:ascii="Times New Roman" w:hAnsi="Times New Roman" w:eastAsia="宋体" w:cs="Times New Roman"/>
                <w:color w:val="auto"/>
                <w:sz w:val="24"/>
                <w:szCs w:val="24"/>
                <w:highlight w:val="none"/>
                <w:u w:val="none" w:color="auto"/>
                <w:lang w:val="en-US" w:eastAsia="zh-CN"/>
              </w:rPr>
              <w:t>收集过程环境管理措施</w:t>
            </w:r>
          </w:p>
          <w:p w14:paraId="33F7D738">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①危险废物须参照分类要求，按类别分类进行包装，包装选择和危险废物的化学相容性应满足GB 12463、GB 18597、GB 18191以及HJ 2025的规范要求。根据实际情况，可采用袋装或桶装，确保危险废物不会发生泄漏。</w:t>
            </w:r>
          </w:p>
          <w:p w14:paraId="1CF11C84">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②危险废物包装容器上均应按GB 18597要求粘贴危险废物标签，还应粘贴分类管理标签，标签信息应包括实验室危险废物的分类的类别、危险特性、产生地点、联系人和电话等基本信息</w:t>
            </w:r>
            <w:r>
              <w:rPr>
                <w:rFonts w:hint="eastAsia" w:ascii="Times New Roman" w:hAnsi="Times New Roman" w:eastAsia="宋体" w:cs="Times New Roman"/>
                <w:color w:val="auto"/>
                <w:sz w:val="24"/>
                <w:szCs w:val="24"/>
                <w:highlight w:val="none"/>
                <w:u w:val="none" w:color="auto"/>
                <w:lang w:val="en-US" w:eastAsia="zh-CN"/>
              </w:rPr>
              <w:t>。</w:t>
            </w:r>
          </w:p>
          <w:p w14:paraId="6DF1273A">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③按照分类要求、包装要求和标签要求对危险废物进行分类投放。投放过程应对投放的危险废物的有害成分进行登记记录。</w:t>
            </w:r>
          </w:p>
          <w:p w14:paraId="1D3A3670">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（2）</w:t>
            </w:r>
            <w:r>
              <w:rPr>
                <w:rFonts w:hint="default" w:ascii="Times New Roman" w:hAnsi="Times New Roman" w:eastAsia="宋体" w:cs="Times New Roman"/>
                <w:color w:val="auto"/>
                <w:sz w:val="24"/>
                <w:szCs w:val="24"/>
                <w:highlight w:val="none"/>
                <w:u w:val="none" w:color="auto"/>
                <w:lang w:val="en-US" w:eastAsia="zh-CN"/>
              </w:rPr>
              <w:t>贮存过程环境管理措施</w:t>
            </w:r>
          </w:p>
          <w:p w14:paraId="0B1E39CC">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本项目应严格按照《一般工业固体废物贮存和填埋污染控制标准》（GB18599-2020）要求建设一般工业固废暂存间，其贮存过程应满足相应防渗漏、防雨淋、防扬尘等环境保护要求，不相容的固体废物应分区贮存，做好一般工业固体废物标志牌，并制定好固体废物转移运输途中的污染防治措施。</w:t>
            </w:r>
          </w:p>
          <w:p w14:paraId="45CB1557">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为防止危险废物随处堆放和保证危险废物能够及时得到合理外运处置，根据《危险废物贮存污染控制标准》（GB18597-2023）</w:t>
            </w:r>
            <w:r>
              <w:rPr>
                <w:rFonts w:hint="eastAsia" w:cs="Times New Roman"/>
                <w:color w:val="auto"/>
                <w:sz w:val="24"/>
                <w:szCs w:val="24"/>
                <w:highlight w:val="none"/>
                <w:u w:val="none" w:color="auto"/>
                <w:lang w:val="en-US" w:eastAsia="zh-CN"/>
              </w:rPr>
              <w:t>及其他</w:t>
            </w:r>
            <w:r>
              <w:rPr>
                <w:rFonts w:hint="default" w:ascii="Times New Roman" w:hAnsi="Times New Roman" w:eastAsia="宋体" w:cs="Times New Roman"/>
                <w:color w:val="auto"/>
                <w:sz w:val="24"/>
                <w:szCs w:val="24"/>
                <w:highlight w:val="none"/>
                <w:u w:val="none" w:color="auto"/>
                <w:lang w:val="en-US" w:eastAsia="zh-CN"/>
              </w:rPr>
              <w:t>相关规定，要做好防漏、防渗、防腐以及其他环境污染防治措施。本评价对危废暂存间提出如下要求：</w:t>
            </w:r>
          </w:p>
          <w:p w14:paraId="7E3C3FE0">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①危险废物贮存容器应符合《危险废物贮存污染控制标准》（GB18597-2023）相关标准要求。盛装危险废物的容器上必须粘贴符合 GB 18597附录A所示的标签，装载容器的材质要满足相应的强度要求，容器材质和衬里要与危险废物相容（不互相反应），且必须完好无损，定期对包装容器进行检查，发现破损应及时采取措施</w:t>
            </w:r>
            <w:r>
              <w:rPr>
                <w:rFonts w:hint="eastAsia" w:ascii="Times New Roman" w:hAnsi="Times New Roman" w:eastAsia="宋体" w:cs="Times New Roman"/>
                <w:color w:val="auto"/>
                <w:sz w:val="24"/>
                <w:szCs w:val="24"/>
                <w:highlight w:val="none"/>
                <w:u w:val="none" w:color="auto"/>
                <w:lang w:val="en-US" w:eastAsia="zh-CN"/>
              </w:rPr>
              <w:t>。</w:t>
            </w:r>
          </w:p>
          <w:p w14:paraId="7152CAED">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②危废暂存间内地面、墙面裙脚、堵截泄漏的围堰、接触危险废物的隔板和墙体等应采用坚固的材料建造，表面无裂缝。</w:t>
            </w:r>
          </w:p>
          <w:p w14:paraId="45AAE531">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③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rFonts w:hint="eastAsia"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vertAlign w:val="superscript"/>
                <w:lang w:val="en-US" w:eastAsia="zh-CN"/>
              </w:rPr>
              <w:t>7</w:t>
            </w:r>
            <w:r>
              <w:rPr>
                <w:rFonts w:hint="default" w:ascii="Times New Roman" w:hAnsi="Times New Roman" w:eastAsia="宋体" w:cs="Times New Roman"/>
                <w:color w:val="auto"/>
                <w:sz w:val="24"/>
                <w:szCs w:val="24"/>
                <w:highlight w:val="none"/>
                <w:u w:val="none" w:color="auto"/>
                <w:lang w:val="en-US" w:eastAsia="zh-CN"/>
              </w:rPr>
              <w:t>cm/s），或至少2mm厚高密度聚乙烯膜等人工防渗材料（渗透系数不大于10</w:t>
            </w:r>
            <w:r>
              <w:rPr>
                <w:rFonts w:hint="eastAsia"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vertAlign w:val="superscript"/>
                <w:lang w:val="en-US" w:eastAsia="zh-CN"/>
              </w:rPr>
              <w:t>10</w:t>
            </w:r>
            <w:r>
              <w:rPr>
                <w:rFonts w:hint="default" w:ascii="Times New Roman" w:hAnsi="Times New Roman" w:eastAsia="宋体" w:cs="Times New Roman"/>
                <w:color w:val="auto"/>
                <w:sz w:val="24"/>
                <w:szCs w:val="24"/>
                <w:highlight w:val="none"/>
                <w:u w:val="none" w:color="auto"/>
                <w:lang w:val="en-US" w:eastAsia="zh-CN"/>
              </w:rPr>
              <w:t>cm/s），或其他防渗性能等效的材料。</w:t>
            </w:r>
          </w:p>
          <w:p w14:paraId="162BD82A">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④同一贮存设施宜采用相同的防渗、防腐工艺（包括防渗、防腐结构或材料），防渗、防腐材料应覆盖所有可能与废物及其渗滤液、渗漏液等接触的构筑物表面；采用不同防渗、防腐工艺应分别建设贮存分区。</w:t>
            </w:r>
          </w:p>
          <w:p w14:paraId="4C428F3A">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⑤危废暂存间可整体或分区设计液体导流和收集设施，收集设施容积应保证在最不利条件下可以容纳对应贮存区域产生的渗滤液、废水等液态物质</w:t>
            </w:r>
            <w:r>
              <w:rPr>
                <w:rFonts w:hint="eastAsia" w:ascii="Times New Roman" w:hAnsi="Times New Roman" w:eastAsia="宋体" w:cs="Times New Roman"/>
                <w:color w:val="auto"/>
                <w:sz w:val="24"/>
                <w:szCs w:val="24"/>
                <w:highlight w:val="none"/>
                <w:u w:val="none" w:color="auto"/>
                <w:lang w:val="en-US" w:eastAsia="zh-CN"/>
              </w:rPr>
              <w:t>。</w:t>
            </w:r>
          </w:p>
          <w:p w14:paraId="12430936">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⑥针对不同类别、形态、物理化学性质的危险废物，其容器和包装物应满足相应的防渗、防漏、防腐和强度等要求。</w:t>
            </w:r>
          </w:p>
          <w:p w14:paraId="26AAADE5">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⑦硬质容器和包装物及其支护结构堆叠码放时不应有明显变形，无破损泄漏。柔性容器和包装物堆叠码放时应封口严密，无破损泄漏。</w:t>
            </w:r>
          </w:p>
          <w:p w14:paraId="67E3E12D">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⑧危险废物存入贮存设施前应对危险废物类别和特性与危险废物标签等危险废物识别标志的一致性进行核验，不一致的或类别、特性不明的不应存入。</w:t>
            </w:r>
          </w:p>
          <w:p w14:paraId="4561D03F">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⑨应定期检查危险废物的贮存状况，及时清理贮存设施地面，更换破损泄漏的危险废物贮存容器和包装物，保证堆存危险废物的防雨、防风、防扬尘等设施功能完好。</w:t>
            </w:r>
          </w:p>
          <w:p w14:paraId="2C2A66A7">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⑩贮存设施运行期间，应按国家有关标准和规定建立危险废物管理台账并保存。</w:t>
            </w:r>
          </w:p>
          <w:p w14:paraId="52932636">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⑪贮存设施所有者或运营者应建立贮存设施环境管理制度、管理人员岗位职责制度、设施运行操作制度、人员岗位培训制度等。</w:t>
            </w:r>
          </w:p>
          <w:p w14:paraId="666CF033">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⑫危险废物转移委托有资质单位处理时应遵从《危险废物转移联单管理办法》</w:t>
            </w:r>
            <w:r>
              <w:rPr>
                <w:rFonts w:hint="eastAsia" w:cs="Times New Roman"/>
                <w:color w:val="auto"/>
                <w:sz w:val="24"/>
                <w:szCs w:val="24"/>
                <w:highlight w:val="none"/>
                <w:u w:val="none" w:color="auto"/>
                <w:lang w:val="en-US" w:eastAsia="zh-CN"/>
              </w:rPr>
              <w:t>及其他有关</w:t>
            </w:r>
            <w:r>
              <w:rPr>
                <w:rFonts w:hint="default" w:ascii="Times New Roman" w:hAnsi="Times New Roman" w:eastAsia="宋体" w:cs="Times New Roman"/>
                <w:color w:val="auto"/>
                <w:sz w:val="24"/>
                <w:szCs w:val="24"/>
                <w:highlight w:val="none"/>
                <w:u w:val="none" w:color="auto"/>
                <w:lang w:val="en-US" w:eastAsia="zh-CN"/>
              </w:rPr>
              <w:t>规定的要求禁止在转移过程中将危险废物排放至外环境。禁止将危险废物以任何形式转移给无许可证的单位或转移到非危险废物贮存设施中。</w:t>
            </w:r>
          </w:p>
          <w:p w14:paraId="227A1CE2">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⑬落实“四专”管理（专门危废暂存库，专门识别标志，建立专业档案，实行专人负责）、制度上墙、信息联网。</w:t>
            </w:r>
          </w:p>
          <w:p w14:paraId="2710D829">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（3）</w:t>
            </w:r>
            <w:r>
              <w:rPr>
                <w:rFonts w:hint="default" w:ascii="Times New Roman" w:hAnsi="Times New Roman" w:eastAsia="宋体" w:cs="Times New Roman"/>
                <w:color w:val="auto"/>
                <w:sz w:val="24"/>
                <w:szCs w:val="24"/>
                <w:highlight w:val="none"/>
                <w:u w:val="none" w:color="auto"/>
                <w:lang w:val="en-US" w:eastAsia="zh-CN"/>
              </w:rPr>
              <w:t>运输过程环境管理措施</w:t>
            </w:r>
          </w:p>
          <w:p w14:paraId="1E9F8C6F">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对危险废物的收集、运输过程中，应严格执行《危险废物收集、贮存、运输技术规范》（HJ2025-2012）等有关管理规范的要求，应做到：</w:t>
            </w:r>
          </w:p>
          <w:p w14:paraId="27CF175A">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①包装应坚固、完整、严密不漏、外表面清洁，不</w:t>
            </w:r>
            <w:r>
              <w:rPr>
                <w:rFonts w:hint="eastAsia" w:cs="Times New Roman"/>
                <w:color w:val="auto"/>
                <w:sz w:val="24"/>
                <w:szCs w:val="24"/>
                <w:highlight w:val="none"/>
                <w:u w:val="none" w:color="auto"/>
                <w:lang w:val="en-US" w:eastAsia="zh-CN"/>
              </w:rPr>
              <w:t>黏附</w:t>
            </w:r>
            <w:r>
              <w:rPr>
                <w:rFonts w:hint="default" w:ascii="Times New Roman" w:hAnsi="Times New Roman" w:eastAsia="宋体" w:cs="Times New Roman"/>
                <w:color w:val="auto"/>
                <w:sz w:val="24"/>
                <w:szCs w:val="24"/>
                <w:highlight w:val="none"/>
                <w:u w:val="none" w:color="auto"/>
                <w:lang w:val="en-US" w:eastAsia="zh-CN"/>
              </w:rPr>
              <w:t>有害的危险物质。</w:t>
            </w:r>
          </w:p>
          <w:p w14:paraId="5457378D">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②包装的材质、规格、型式、方法和单件质量（重量）应与所装危险废物的性质相适应，并便于装卸和运输。</w:t>
            </w:r>
          </w:p>
          <w:p w14:paraId="2CC4A6C4">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③包装应具有足够的强度，其构造和封闭装置应能承受正常运输条件和装卸作业要求，并能经受一定范围的气候变化。</w:t>
            </w:r>
          </w:p>
          <w:p w14:paraId="12193941">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④应具有经受多次搬运的包装强度，并适宜于机械装卸。</w:t>
            </w:r>
          </w:p>
          <w:p w14:paraId="4FD6E770">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⑤切实做好道路及其两侧的保洁和洒水工作，运输车要控制车速，避免扬尘污染</w:t>
            </w:r>
            <w:r>
              <w:rPr>
                <w:rFonts w:hint="eastAsia" w:ascii="Times New Roman" w:hAnsi="Times New Roman" w:eastAsia="宋体" w:cs="Times New Roman"/>
                <w:color w:val="auto"/>
                <w:sz w:val="24"/>
                <w:szCs w:val="24"/>
                <w:highlight w:val="none"/>
                <w:u w:val="none" w:color="auto"/>
                <w:lang w:val="en-US" w:eastAsia="zh-CN"/>
              </w:rPr>
              <w:t>。</w:t>
            </w:r>
          </w:p>
          <w:p w14:paraId="0009581F">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⑥危险废物道路运输单位应按照《危险化学品事故应急救援预案编制导则》和《危险废物经营单位编制应急预案指南》的规定，制定危险废物道路运输应急预案，并报市交通局、市环保局备案。每辆运输车配备必要的通讯工具，供应及联络用，当运输路途中发生事故，尽快通知有关管理部门及时、妥善处理</w:t>
            </w:r>
            <w:r>
              <w:rPr>
                <w:rFonts w:hint="eastAsia" w:ascii="Times New Roman" w:hAnsi="Times New Roman" w:eastAsia="宋体" w:cs="Times New Roman"/>
                <w:color w:val="auto"/>
                <w:sz w:val="24"/>
                <w:szCs w:val="24"/>
                <w:highlight w:val="none"/>
                <w:u w:val="none" w:color="auto"/>
                <w:lang w:val="en-US" w:eastAsia="zh-CN"/>
              </w:rPr>
              <w:t>。</w:t>
            </w:r>
          </w:p>
          <w:p w14:paraId="389CE84F">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⑦危险废物运输单位应按照危险货物运输相关规定进行危险废物道路运输作业。</w:t>
            </w:r>
          </w:p>
          <w:p w14:paraId="0E649D6C">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textAlignment w:val="auto"/>
              <w:outlineLvl w:val="2"/>
              <w:rPr>
                <w:rFonts w:hint="default" w:ascii="Times New Roman" w:hAnsi="Times New Roman" w:eastAsia="宋体" w:cs="Times New Roman"/>
                <w:b/>
                <w:bCs/>
                <w:color w:val="auto"/>
                <w:kern w:val="0"/>
                <w:sz w:val="24"/>
                <w:szCs w:val="24"/>
                <w:highlight w:val="none"/>
                <w:u w:val="none" w:color="auto"/>
                <w:lang w:val="en-US" w:eastAsia="zh-CN" w:bidi="ar"/>
              </w:rPr>
            </w:pPr>
            <w:r>
              <w:rPr>
                <w:rFonts w:hint="default" w:ascii="Times New Roman" w:hAnsi="Times New Roman" w:eastAsia="宋体" w:cs="Times New Roman"/>
                <w:b/>
                <w:bCs/>
                <w:color w:val="auto"/>
                <w:kern w:val="0"/>
                <w:sz w:val="24"/>
                <w:szCs w:val="24"/>
                <w:highlight w:val="none"/>
                <w:u w:val="none" w:color="auto"/>
                <w:lang w:val="en-US" w:eastAsia="zh-CN" w:bidi="ar"/>
              </w:rPr>
              <w:t>4.</w:t>
            </w:r>
            <w:r>
              <w:rPr>
                <w:rFonts w:hint="eastAsia" w:ascii="Times New Roman" w:hAnsi="Times New Roman" w:eastAsia="宋体" w:cs="Times New Roman"/>
                <w:b/>
                <w:bCs/>
                <w:color w:val="auto"/>
                <w:kern w:val="0"/>
                <w:sz w:val="24"/>
                <w:szCs w:val="24"/>
                <w:highlight w:val="none"/>
                <w:u w:val="none" w:color="auto"/>
                <w:lang w:val="en-US" w:eastAsia="zh-CN" w:bidi="ar"/>
              </w:rPr>
              <w:t>5</w:t>
            </w:r>
            <w:r>
              <w:rPr>
                <w:rFonts w:hint="default" w:ascii="Times New Roman" w:hAnsi="Times New Roman" w:eastAsia="宋体" w:cs="Times New Roman"/>
                <w:b/>
                <w:bCs/>
                <w:color w:val="auto"/>
                <w:kern w:val="0"/>
                <w:sz w:val="24"/>
                <w:szCs w:val="24"/>
                <w:highlight w:val="none"/>
                <w:u w:val="none" w:color="auto"/>
                <w:lang w:val="en-US" w:eastAsia="zh-CN" w:bidi="ar"/>
              </w:rPr>
              <w:t>地下水</w:t>
            </w:r>
            <w:r>
              <w:rPr>
                <w:rFonts w:hint="eastAsia" w:ascii="Times New Roman" w:hAnsi="Times New Roman" w:eastAsia="宋体" w:cs="Times New Roman"/>
                <w:b/>
                <w:bCs/>
                <w:color w:val="auto"/>
                <w:kern w:val="0"/>
                <w:sz w:val="24"/>
                <w:szCs w:val="24"/>
                <w:highlight w:val="none"/>
                <w:u w:val="none" w:color="auto"/>
                <w:lang w:val="en-US" w:eastAsia="zh-CN" w:bidi="ar"/>
              </w:rPr>
              <w:t>、土壤</w:t>
            </w:r>
            <w:r>
              <w:rPr>
                <w:rFonts w:hint="default" w:ascii="Times New Roman" w:hAnsi="Times New Roman" w:eastAsia="宋体" w:cs="Times New Roman"/>
                <w:b/>
                <w:bCs/>
                <w:color w:val="auto"/>
                <w:kern w:val="0"/>
                <w:sz w:val="24"/>
                <w:szCs w:val="24"/>
                <w:highlight w:val="none"/>
                <w:u w:val="none" w:color="auto"/>
                <w:lang w:val="en-US" w:eastAsia="zh-CN" w:bidi="ar"/>
              </w:rPr>
              <w:t>环境影响分析</w:t>
            </w:r>
          </w:p>
          <w:p w14:paraId="0057C401">
            <w:pPr>
              <w:pStyle w:val="59"/>
              <w:keepNext w:val="0"/>
              <w:keepLines w:val="0"/>
              <w:pageBreakBefore w:val="0"/>
              <w:widowControl w:val="0"/>
              <w:numPr>
                <w:ilvl w:val="0"/>
                <w:numId w:val="0"/>
              </w:numPr>
              <w:tabs>
                <w:tab w:val="left" w:pos="1870"/>
              </w:tabs>
              <w:kinsoku/>
              <w:wordWrap/>
              <w:overflowPunct/>
              <w:topLinePunct w:val="0"/>
              <w:autoSpaceDE/>
              <w:autoSpaceDN/>
              <w:bidi w:val="0"/>
              <w:adjustRightInd w:val="0"/>
              <w:snapToGrid w:val="0"/>
              <w:spacing w:before="0" w:after="0" w:line="400" w:lineRule="exact"/>
              <w:ind w:leftChars="0" w:right="0" w:rightChars="0" w:firstLine="480" w:firstLineChars="200"/>
              <w:jc w:val="left"/>
              <w:textAlignment w:val="auto"/>
              <w:rPr>
                <w:rFonts w:hint="eastAsia" w:ascii="Times New Roman" w:hAnsi="Times New Roman" w:cs="Times New Roman"/>
                <w:color w:val="auto"/>
                <w:sz w:val="24"/>
                <w:szCs w:val="24"/>
                <w:highlight w:val="yellow"/>
                <w:u w:val="none" w:color="auto"/>
                <w:lang w:val="en-US" w:eastAsia="zh-CN"/>
              </w:rPr>
            </w:pPr>
            <w:r>
              <w:rPr>
                <w:rFonts w:hint="eastAsia" w:ascii="Times New Roman" w:hAnsi="Times New Roman" w:cs="Times New Roman"/>
                <w:color w:val="auto"/>
                <w:sz w:val="24"/>
                <w:szCs w:val="24"/>
                <w:highlight w:val="none"/>
                <w:u w:val="none" w:color="auto"/>
                <w:lang w:val="en-US" w:eastAsia="zh-CN"/>
              </w:rPr>
              <w:t>本项目位于湘潭县易俗河镇飞龙村龙大组，项目排放的废气污染物主要为少量的有机废气及颗粒物等，危险废物采用专用储存容器暂存，设有防泄漏托盘，当发生泄漏时，泄漏的物料可及时收集暂存于备用桶中，不会下渗污染土壤及地下水；主要化学原料为油漆、固化剂、稀释剂等，化学品仓库进行防渗及防泄漏处理，不会下渗污染土壤及地下水。厂区所有地面均采取多层硬化防渗等措施，周边地块主要为其他企业和道路，地面均做有硬化，污染物沉积渗入土壤的可能性较小；在落实防护措施后，无污染土壤及地下水环境途径，不会对土壤及地下水环境产生影响。</w:t>
            </w:r>
          </w:p>
          <w:p w14:paraId="12D471F4">
            <w:pPr>
              <w:pStyle w:val="59"/>
              <w:keepNext w:val="0"/>
              <w:keepLines w:val="0"/>
              <w:pageBreakBefore w:val="0"/>
              <w:widowControl w:val="0"/>
              <w:numPr>
                <w:ilvl w:val="0"/>
                <w:numId w:val="0"/>
              </w:numPr>
              <w:tabs>
                <w:tab w:val="left" w:pos="1870"/>
              </w:tabs>
              <w:kinsoku/>
              <w:wordWrap/>
              <w:overflowPunct/>
              <w:topLinePunct w:val="0"/>
              <w:autoSpaceDE/>
              <w:autoSpaceDN/>
              <w:bidi w:val="0"/>
              <w:adjustRightInd w:val="0"/>
              <w:snapToGrid w:val="0"/>
              <w:spacing w:before="0" w:after="0" w:line="400" w:lineRule="exact"/>
              <w:ind w:leftChars="0" w:right="0" w:rightChars="0" w:firstLine="480" w:firstLineChars="200"/>
              <w:jc w:val="left"/>
              <w:textAlignment w:val="auto"/>
              <w:rPr>
                <w:rFonts w:hint="eastAsia" w:ascii="Times New Roman" w:hAnsi="Times New Roman" w:cs="Times New Roman"/>
                <w:color w:val="auto"/>
                <w:sz w:val="24"/>
                <w:szCs w:val="24"/>
                <w:highlight w:val="none"/>
                <w:u w:val="none" w:color="auto"/>
                <w:lang w:val="en-US" w:eastAsia="zh-CN"/>
              </w:rPr>
            </w:pPr>
            <w:r>
              <w:rPr>
                <w:rFonts w:hint="eastAsia" w:ascii="Times New Roman" w:hAnsi="Times New Roman" w:cs="Times New Roman"/>
                <w:color w:val="auto"/>
                <w:sz w:val="24"/>
                <w:szCs w:val="24"/>
                <w:highlight w:val="none"/>
                <w:u w:val="none" w:color="auto"/>
                <w:lang w:val="en-US" w:eastAsia="zh-CN"/>
              </w:rPr>
              <w:t>为杜绝污染物泄漏下渗，建设单位拟采取以下防治措施：①危废暂存间、化学品仓库、喷漆房属于重点防渗区，其余生产区属于一般防渗区，办公区等属于简单防渗区。②在生产过程中做好对设备的维护、检修，切实杜绝“跑、冒、滴、漏”现象发生，同时，应加强关键部位的安全防护、警报措施，以便及时发现事故隐患，采取有效的应对措施以防事故的发生。③加强环保管理，落实生产区、化学品仓库、危废暂存间的构筑防渗，提高防渗等级。④全厂固废分类收集，危险废物暂存区设置防泄漏托盘，做好防渗、防漏、防雨淋、防晒，避免固废中的有毒物质渗入土壤及地下水，设置的固废暂存区要符合规范要求，防止其泄漏。</w:t>
            </w:r>
          </w:p>
          <w:p w14:paraId="1A9C573B">
            <w:pPr>
              <w:pStyle w:val="59"/>
              <w:keepNext w:val="0"/>
              <w:keepLines w:val="0"/>
              <w:pageBreakBefore w:val="0"/>
              <w:widowControl w:val="0"/>
              <w:numPr>
                <w:ilvl w:val="0"/>
                <w:numId w:val="0"/>
              </w:numPr>
              <w:tabs>
                <w:tab w:val="left" w:pos="1870"/>
              </w:tabs>
              <w:kinsoku/>
              <w:wordWrap/>
              <w:overflowPunct/>
              <w:topLinePunct w:val="0"/>
              <w:autoSpaceDE/>
              <w:autoSpaceDN/>
              <w:bidi w:val="0"/>
              <w:adjustRightInd w:val="0"/>
              <w:snapToGrid w:val="0"/>
              <w:spacing w:before="0" w:after="0" w:line="400" w:lineRule="exact"/>
              <w:ind w:leftChars="0" w:right="0" w:rightChars="0" w:firstLine="480" w:firstLineChars="200"/>
              <w:jc w:val="left"/>
              <w:textAlignment w:val="auto"/>
              <w:rPr>
                <w:rFonts w:hint="eastAsia" w:ascii="Times New Roman" w:hAnsi="Times New Roman" w:cs="Times New Roman"/>
                <w:color w:val="auto"/>
                <w:sz w:val="24"/>
                <w:szCs w:val="24"/>
                <w:highlight w:val="none"/>
                <w:u w:val="none" w:color="auto"/>
                <w:lang w:val="en-US" w:eastAsia="zh-CN"/>
              </w:rPr>
            </w:pPr>
            <w:r>
              <w:rPr>
                <w:rFonts w:hint="eastAsia" w:ascii="Times New Roman" w:hAnsi="Times New Roman" w:cs="Times New Roman"/>
                <w:color w:val="auto"/>
                <w:sz w:val="24"/>
                <w:szCs w:val="24"/>
                <w:highlight w:val="none"/>
                <w:u w:val="none" w:color="auto"/>
                <w:lang w:val="en-US" w:eastAsia="zh-CN"/>
              </w:rPr>
              <w:t>本项目无需进行跟踪监测。</w:t>
            </w:r>
          </w:p>
          <w:p w14:paraId="7F8CA34B">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default" w:ascii="Times New Roman" w:hAnsi="Times New Roman" w:eastAsia="宋体" w:cs="Times New Roman"/>
                <w:b/>
                <w:bCs/>
                <w:color w:val="auto"/>
                <w:sz w:val="24"/>
                <w:szCs w:val="24"/>
                <w:highlight w:val="none"/>
                <w:u w:val="none" w:color="auto"/>
                <w:lang w:val="en-US" w:eastAsia="zh-CN"/>
              </w:rPr>
              <w:t>4.</w:t>
            </w:r>
            <w:r>
              <w:rPr>
                <w:rFonts w:hint="eastAsia" w:ascii="Times New Roman" w:hAnsi="Times New Roman" w:eastAsia="宋体" w:cs="Times New Roman"/>
                <w:b/>
                <w:bCs/>
                <w:color w:val="auto"/>
                <w:sz w:val="24"/>
                <w:szCs w:val="24"/>
                <w:highlight w:val="none"/>
                <w:u w:val="none" w:color="auto"/>
                <w:lang w:val="en-US" w:eastAsia="zh-CN"/>
              </w:rPr>
              <w:t>6</w:t>
            </w:r>
            <w:r>
              <w:rPr>
                <w:rFonts w:hint="default" w:ascii="Times New Roman" w:hAnsi="Times New Roman" w:eastAsia="宋体" w:cs="Times New Roman"/>
                <w:b/>
                <w:bCs/>
                <w:color w:val="auto"/>
                <w:sz w:val="24"/>
                <w:szCs w:val="24"/>
                <w:highlight w:val="none"/>
                <w:u w:val="none" w:color="auto"/>
                <w:lang w:val="en-US" w:eastAsia="zh-CN"/>
              </w:rPr>
              <w:t>生态环境影响分析</w:t>
            </w:r>
          </w:p>
          <w:p w14:paraId="5530DCC6">
            <w:pPr>
              <w:keepNext w:val="0"/>
              <w:keepLines w:val="0"/>
              <w:pageBreakBefore w:val="0"/>
              <w:widowControl/>
              <w:suppressLineNumbers w:val="0"/>
              <w:kinsoku/>
              <w:wordWrap/>
              <w:overflowPunct/>
              <w:topLinePunct w:val="0"/>
              <w:autoSpaceDE/>
              <w:autoSpaceDN/>
              <w:bidi w:val="0"/>
              <w:adjustRightInd/>
              <w:snapToGrid/>
              <w:spacing w:line="410" w:lineRule="exact"/>
              <w:ind w:firstLine="480" w:firstLineChars="200"/>
              <w:jc w:val="left"/>
              <w:textAlignment w:val="auto"/>
              <w:rPr>
                <w:rFonts w:hint="default" w:ascii="Times New Roman" w:hAnsi="Times New Roman" w:eastAsia="宋体" w:cs="Times New Roman"/>
                <w:color w:val="auto"/>
                <w:sz w:val="24"/>
                <w:szCs w:val="24"/>
                <w:highlight w:val="yellow"/>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本项目位于</w:t>
            </w:r>
            <w:r>
              <w:rPr>
                <w:rFonts w:hint="eastAsia" w:cs="Times New Roman"/>
                <w:color w:val="auto"/>
                <w:sz w:val="24"/>
                <w:szCs w:val="24"/>
                <w:highlight w:val="none"/>
                <w:u w:val="none" w:color="auto"/>
                <w:lang w:val="en-US" w:eastAsia="zh-CN"/>
              </w:rPr>
              <w:t>湘潭县易俗河镇飞龙村龙大组</w:t>
            </w:r>
            <w:r>
              <w:rPr>
                <w:rFonts w:hint="default" w:ascii="Times New Roman" w:hAnsi="Times New Roman" w:eastAsia="宋体" w:cs="Times New Roman"/>
                <w:color w:val="auto"/>
                <w:sz w:val="24"/>
                <w:szCs w:val="24"/>
                <w:highlight w:val="none"/>
                <w:u w:val="none" w:color="auto"/>
                <w:lang w:val="en-US" w:eastAsia="zh-CN"/>
              </w:rPr>
              <w:t>，且项目用地范围内不涉及生态环境保护目标，因此，项目无需进行生态环境影响分析。项目通过绿化</w:t>
            </w:r>
            <w:r>
              <w:rPr>
                <w:rFonts w:hint="eastAsia" w:ascii="Times New Roman" w:hAnsi="Times New Roman" w:eastAsia="宋体"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植被将会得到一定程度的恢复，因此项目对生态影响甚微。</w:t>
            </w:r>
          </w:p>
          <w:p w14:paraId="50D8A89E">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4.7</w:t>
            </w:r>
            <w:r>
              <w:rPr>
                <w:rFonts w:hint="default" w:ascii="Times New Roman" w:hAnsi="Times New Roman" w:eastAsia="宋体" w:cs="Times New Roman"/>
                <w:b/>
                <w:bCs/>
                <w:color w:val="auto"/>
                <w:sz w:val="24"/>
                <w:szCs w:val="24"/>
                <w:highlight w:val="none"/>
                <w:u w:val="none" w:color="auto"/>
                <w:lang w:val="en-US" w:eastAsia="zh-CN"/>
              </w:rPr>
              <w:t>电磁辐射</w:t>
            </w:r>
          </w:p>
          <w:p w14:paraId="33322BD4">
            <w:pPr>
              <w:keepNext w:val="0"/>
              <w:keepLines w:val="0"/>
              <w:pageBreakBefore w:val="0"/>
              <w:kinsoku/>
              <w:wordWrap/>
              <w:overflowPunct/>
              <w:topLinePunct w:val="0"/>
              <w:autoSpaceDE/>
              <w:autoSpaceDN/>
              <w:bidi w:val="0"/>
              <w:spacing w:line="480" w:lineRule="exact"/>
              <w:ind w:firstLine="480" w:firstLineChars="200"/>
              <w:textAlignment w:val="auto"/>
              <w:rPr>
                <w:rFonts w:hint="default" w:ascii="Times New Roman" w:hAnsi="Times New Roman" w:eastAsia="宋体" w:cs="Times New Roman"/>
                <w:b w:val="0"/>
                <w:bCs w:val="0"/>
                <w:color w:val="auto"/>
                <w:kern w:val="0"/>
                <w:sz w:val="24"/>
                <w:szCs w:val="24"/>
                <w:highlight w:val="none"/>
                <w:u w:val="none" w:color="auto"/>
                <w:lang w:val="en-US" w:eastAsia="zh-CN" w:bidi="ar-SA"/>
              </w:rPr>
            </w:pPr>
            <w:r>
              <w:rPr>
                <w:rFonts w:hint="default" w:ascii="Times New Roman" w:hAnsi="Times New Roman" w:eastAsia="宋体" w:cs="Times New Roman"/>
                <w:b w:val="0"/>
                <w:bCs w:val="0"/>
                <w:color w:val="auto"/>
                <w:kern w:val="0"/>
                <w:sz w:val="24"/>
                <w:szCs w:val="24"/>
                <w:highlight w:val="none"/>
                <w:u w:val="none" w:color="auto"/>
                <w:lang w:val="en-US" w:eastAsia="zh-CN" w:bidi="ar-SA"/>
              </w:rPr>
              <w:t>本项目无电磁辐射源，不开展电磁辐射分析。</w:t>
            </w:r>
          </w:p>
          <w:p w14:paraId="147C5A6C">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default" w:ascii="Times New Roman" w:hAnsi="Times New Roman" w:eastAsia="宋体" w:cs="Times New Roman"/>
                <w:b/>
                <w:bCs/>
                <w:color w:val="auto"/>
                <w:sz w:val="24"/>
                <w:szCs w:val="24"/>
                <w:highlight w:val="none"/>
                <w:u w:val="none" w:color="auto"/>
                <w:lang w:val="en-US" w:eastAsia="zh-CN"/>
              </w:rPr>
              <w:t>4.</w:t>
            </w:r>
            <w:r>
              <w:rPr>
                <w:rFonts w:hint="eastAsia" w:ascii="Times New Roman" w:hAnsi="Times New Roman" w:eastAsia="宋体" w:cs="Times New Roman"/>
                <w:b/>
                <w:bCs/>
                <w:color w:val="auto"/>
                <w:sz w:val="24"/>
                <w:szCs w:val="24"/>
                <w:highlight w:val="none"/>
                <w:u w:val="none" w:color="auto"/>
                <w:lang w:val="en-US" w:eastAsia="zh-CN"/>
              </w:rPr>
              <w:t>8</w:t>
            </w:r>
            <w:r>
              <w:rPr>
                <w:rFonts w:hint="default" w:ascii="Times New Roman" w:hAnsi="Times New Roman" w:eastAsia="宋体" w:cs="Times New Roman"/>
                <w:b/>
                <w:bCs/>
                <w:color w:val="auto"/>
                <w:sz w:val="24"/>
                <w:szCs w:val="24"/>
                <w:highlight w:val="none"/>
                <w:u w:val="none" w:color="auto"/>
                <w:lang w:val="en-US" w:eastAsia="zh-CN"/>
              </w:rPr>
              <w:t xml:space="preserve"> 环境风险分析</w:t>
            </w:r>
          </w:p>
          <w:p w14:paraId="7E6E9D57">
            <w:pPr>
              <w:keepNext w:val="0"/>
              <w:keepLines w:val="0"/>
              <w:pageBreakBefore w:val="0"/>
              <w:widowControl w:val="0"/>
              <w:kinsoku/>
              <w:wordWrap/>
              <w:overflowPunct/>
              <w:topLinePunct w:val="0"/>
              <w:autoSpaceDE/>
              <w:autoSpaceDN/>
              <w:bidi w:val="0"/>
              <w:spacing w:after="0" w:line="410" w:lineRule="exact"/>
              <w:ind w:left="0" w:leftChars="0" w:firstLine="470" w:firstLineChars="200"/>
              <w:jc w:val="left"/>
              <w:textAlignment w:val="auto"/>
              <w:rPr>
                <w:rFonts w:hint="default" w:ascii="Times New Roman" w:hAnsi="Times New Roman" w:eastAsia="宋体" w:cs="Times New Roman"/>
                <w:b/>
                <w:bCs/>
                <w:color w:val="auto"/>
                <w:spacing w:val="-3"/>
                <w:kern w:val="2"/>
                <w:sz w:val="24"/>
                <w:szCs w:val="24"/>
                <w:highlight w:val="none"/>
                <w:u w:val="none" w:color="auto"/>
                <w:lang w:val="en-US" w:eastAsia="zh-CN" w:bidi="ar-SA"/>
              </w:rPr>
            </w:pPr>
            <w:r>
              <w:rPr>
                <w:rFonts w:hint="eastAsia" w:ascii="Times New Roman" w:hAnsi="Times New Roman" w:eastAsia="宋体" w:cs="Times New Roman"/>
                <w:b/>
                <w:bCs/>
                <w:color w:val="auto"/>
                <w:spacing w:val="-3"/>
                <w:kern w:val="2"/>
                <w:sz w:val="24"/>
                <w:szCs w:val="24"/>
                <w:highlight w:val="none"/>
                <w:u w:val="none" w:color="auto"/>
                <w:lang w:val="en-US" w:eastAsia="zh-CN" w:bidi="ar-SA"/>
              </w:rPr>
              <w:t>1、环境风险识别</w:t>
            </w:r>
          </w:p>
          <w:p w14:paraId="3AE9E478">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default" w:ascii="Times New Roman" w:hAnsi="Times New Roman" w:cs="Times New Roman"/>
                <w:color w:val="auto"/>
                <w:kern w:val="24"/>
                <w:sz w:val="24"/>
                <w:highlight w:val="none"/>
                <w:u w:val="none" w:color="auto"/>
              </w:rPr>
            </w:pPr>
            <w:r>
              <w:rPr>
                <w:rFonts w:hint="default" w:ascii="Times New Roman" w:hAnsi="Times New Roman" w:cs="Times New Roman"/>
                <w:color w:val="auto"/>
                <w:kern w:val="0"/>
                <w:sz w:val="24"/>
                <w:highlight w:val="none"/>
                <w:u w:val="none" w:color="auto"/>
              </w:rPr>
              <w:t>根据《有毒有害大气污染物名录》、《有毒有害水污染物名录》及《建设项目环境风险评价技术导则》（HJ/T169-2018）附录B中表B.1和表B.2中的环境风险物质。本项目涉及的风险物质主要为油漆、</w:t>
            </w:r>
            <w:r>
              <w:rPr>
                <w:rFonts w:hint="eastAsia" w:cs="Times New Roman"/>
                <w:color w:val="auto"/>
                <w:kern w:val="0"/>
                <w:sz w:val="24"/>
                <w:highlight w:val="none"/>
                <w:u w:val="none" w:color="auto"/>
                <w:lang w:val="en-US" w:eastAsia="zh-CN"/>
              </w:rPr>
              <w:t>固化剂、</w:t>
            </w:r>
            <w:r>
              <w:rPr>
                <w:rFonts w:hint="default" w:ascii="Times New Roman" w:hAnsi="Times New Roman" w:cs="Times New Roman"/>
                <w:color w:val="auto"/>
                <w:kern w:val="0"/>
                <w:sz w:val="24"/>
                <w:highlight w:val="none"/>
                <w:u w:val="none" w:color="auto"/>
              </w:rPr>
              <w:t>稀释剂、危险废物、</w:t>
            </w:r>
            <w:r>
              <w:rPr>
                <w:rFonts w:hint="eastAsia" w:cs="Times New Roman"/>
                <w:color w:val="auto"/>
                <w:kern w:val="0"/>
                <w:sz w:val="24"/>
                <w:highlight w:val="none"/>
                <w:u w:val="none" w:color="auto"/>
                <w:lang w:val="en-US" w:eastAsia="zh-CN"/>
              </w:rPr>
              <w:t>液化石油气、润滑油</w:t>
            </w:r>
            <w:r>
              <w:rPr>
                <w:rFonts w:hint="default" w:ascii="Times New Roman" w:hAnsi="Times New Roman" w:cs="Times New Roman"/>
                <w:color w:val="auto"/>
                <w:kern w:val="0"/>
                <w:sz w:val="24"/>
                <w:highlight w:val="none"/>
                <w:u w:val="none" w:color="auto"/>
              </w:rPr>
              <w:t>等，暂存量较少，远低于临界量</w:t>
            </w:r>
            <w:r>
              <w:rPr>
                <w:rFonts w:hint="eastAsia" w:ascii="Times New Roman" w:hAnsi="Times New Roman" w:cs="Times New Roman"/>
                <w:color w:val="auto"/>
                <w:kern w:val="0"/>
                <w:sz w:val="24"/>
                <w:highlight w:val="none"/>
                <w:u w:val="none" w:color="auto"/>
                <w:lang w:eastAsia="zh-CN"/>
              </w:rPr>
              <w:t>，</w:t>
            </w:r>
            <w:r>
              <w:rPr>
                <w:rFonts w:hint="default" w:ascii="Times New Roman" w:hAnsi="Times New Roman" w:cs="Times New Roman"/>
                <w:color w:val="auto"/>
                <w:sz w:val="24"/>
                <w:highlight w:val="none"/>
                <w:u w:val="none" w:color="auto"/>
              </w:rPr>
              <w:t>环境风险物质最大存在数量与临界量比值</w:t>
            </w:r>
            <w:r>
              <w:rPr>
                <w:rFonts w:hint="eastAsia" w:ascii="Times New Roman" w:hAnsi="Times New Roman" w:cs="Times New Roman"/>
                <w:color w:val="auto"/>
                <w:sz w:val="24"/>
                <w:highlight w:val="none"/>
                <w:u w:val="none" w:color="auto"/>
                <w:lang w:val="en-US" w:eastAsia="zh-CN"/>
              </w:rPr>
              <w:t>为</w:t>
            </w:r>
            <w:r>
              <w:rPr>
                <w:rFonts w:hint="default" w:ascii="Times New Roman" w:hAnsi="Times New Roman" w:cs="Times New Roman"/>
                <w:color w:val="auto"/>
                <w:sz w:val="24"/>
                <w:highlight w:val="none"/>
                <w:u w:val="none" w:color="auto"/>
              </w:rPr>
              <w:t>Q＜1，不涉及专项评价，见</w:t>
            </w:r>
            <w:r>
              <w:rPr>
                <w:rFonts w:hint="eastAsia" w:cs="Times New Roman"/>
                <w:color w:val="auto"/>
                <w:sz w:val="24"/>
                <w:highlight w:val="none"/>
                <w:u w:val="none" w:color="auto"/>
                <w:lang w:val="en-US" w:eastAsia="zh-CN"/>
              </w:rPr>
              <w:t>下表</w:t>
            </w:r>
            <w:r>
              <w:rPr>
                <w:rFonts w:hint="default" w:ascii="Times New Roman" w:hAnsi="Times New Roman" w:cs="Times New Roman"/>
                <w:color w:val="auto"/>
                <w:sz w:val="24"/>
                <w:highlight w:val="none"/>
                <w:u w:val="none" w:color="auto"/>
              </w:rPr>
              <w:t>。根据表B.2其他危险物质临界量推荐值，油漆稀释剂等属于健康危险急性物质。</w:t>
            </w:r>
            <w:r>
              <w:rPr>
                <w:rFonts w:hint="default" w:ascii="Times New Roman" w:hAnsi="Times New Roman" w:cs="Times New Roman"/>
                <w:color w:val="auto"/>
                <w:kern w:val="24"/>
                <w:sz w:val="24"/>
                <w:highlight w:val="none"/>
                <w:u w:val="none" w:color="auto"/>
              </w:rPr>
              <w:t>本项目风险源、分布情况、影响途径见</w:t>
            </w:r>
            <w:r>
              <w:rPr>
                <w:rFonts w:hint="eastAsia" w:cs="Times New Roman"/>
                <w:color w:val="auto"/>
                <w:kern w:val="24"/>
                <w:sz w:val="24"/>
                <w:highlight w:val="none"/>
                <w:u w:val="none" w:color="auto"/>
                <w:lang w:val="en-US" w:eastAsia="zh-CN"/>
              </w:rPr>
              <w:t>下</w:t>
            </w:r>
            <w:r>
              <w:rPr>
                <w:rFonts w:hint="default" w:ascii="Times New Roman" w:hAnsi="Times New Roman" w:cs="Times New Roman"/>
                <w:color w:val="auto"/>
                <w:kern w:val="24"/>
                <w:sz w:val="24"/>
                <w:highlight w:val="none"/>
                <w:u w:val="none" w:color="auto"/>
              </w:rPr>
              <w:t>表。</w:t>
            </w:r>
          </w:p>
          <w:p w14:paraId="36911093">
            <w:pPr>
              <w:spacing w:line="300" w:lineRule="exact"/>
              <w:jc w:val="center"/>
              <w:rPr>
                <w:rFonts w:hint="default" w:ascii="Times New Roman" w:hAnsi="Times New Roman" w:cs="Times New Roman"/>
                <w:b/>
                <w:color w:val="auto"/>
                <w:szCs w:val="21"/>
                <w:highlight w:val="none"/>
                <w:u w:val="none" w:color="auto"/>
              </w:rPr>
            </w:pPr>
            <w:r>
              <w:rPr>
                <w:rFonts w:hint="default" w:ascii="Times New Roman" w:hAnsi="Times New Roman" w:cs="Times New Roman"/>
                <w:b/>
                <w:color w:val="auto"/>
                <w:szCs w:val="21"/>
                <w:highlight w:val="none"/>
                <w:u w:val="none" w:color="auto"/>
              </w:rPr>
              <w:t>表</w:t>
            </w:r>
            <w:r>
              <w:rPr>
                <w:rFonts w:hint="eastAsia" w:cs="Times New Roman"/>
                <w:b/>
                <w:color w:val="auto"/>
                <w:szCs w:val="21"/>
                <w:highlight w:val="none"/>
                <w:u w:val="none" w:color="auto"/>
                <w:lang w:val="en-US" w:eastAsia="zh-CN"/>
              </w:rPr>
              <w:t xml:space="preserve">4-18 </w:t>
            </w:r>
            <w:r>
              <w:rPr>
                <w:rFonts w:hint="eastAsia" w:ascii="Times New Roman" w:hAnsi="Times New Roman" w:cs="Times New Roman"/>
                <w:b/>
                <w:color w:val="auto"/>
                <w:szCs w:val="21"/>
                <w:highlight w:val="none"/>
                <w:u w:val="none" w:color="auto"/>
                <w:lang w:val="en-US" w:eastAsia="zh-CN"/>
              </w:rPr>
              <w:t xml:space="preserve"> </w:t>
            </w:r>
            <w:r>
              <w:rPr>
                <w:rFonts w:hint="default" w:ascii="Times New Roman" w:hAnsi="Times New Roman" w:cs="Times New Roman"/>
                <w:b/>
                <w:color w:val="auto"/>
                <w:szCs w:val="21"/>
                <w:highlight w:val="none"/>
                <w:u w:val="none" w:color="auto"/>
              </w:rPr>
              <w:t>项目危险物质数量与临界量的比值（Q）</w:t>
            </w:r>
          </w:p>
          <w:tbl>
            <w:tblPr>
              <w:tblStyle w:val="31"/>
              <w:tblW w:w="47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7"/>
              <w:gridCol w:w="1732"/>
              <w:gridCol w:w="1205"/>
              <w:gridCol w:w="1280"/>
              <w:gridCol w:w="1419"/>
            </w:tblGrid>
            <w:tr w14:paraId="76348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0" w:type="pct"/>
                  <w:noWrap w:val="0"/>
                  <w:vAlign w:val="center"/>
                </w:tcPr>
                <w:p w14:paraId="3F68C78D">
                  <w:pPr>
                    <w:keepNext w:val="0"/>
                    <w:keepLines w:val="0"/>
                    <w:pageBreakBefore w:val="0"/>
                    <w:kinsoku/>
                    <w:wordWrap/>
                    <w:overflowPunct/>
                    <w:topLinePunct w:val="0"/>
                    <w:autoSpaceDE/>
                    <w:autoSpaceDN/>
                    <w:bidi w:val="0"/>
                    <w:adjustRightInd/>
                    <w:snapToGrid/>
                    <w:spacing w:line="280" w:lineRule="exact"/>
                    <w:ind w:right="0"/>
                    <w:jc w:val="center"/>
                    <w:rPr>
                      <w:rFonts w:hint="default" w:ascii="Times New Roman" w:hAnsi="Times New Roman" w:cs="Times New Roman"/>
                      <w:color w:val="auto"/>
                      <w:szCs w:val="21"/>
                      <w:highlight w:val="none"/>
                      <w:u w:val="none" w:color="auto"/>
                    </w:rPr>
                  </w:pPr>
                  <w:r>
                    <w:rPr>
                      <w:rFonts w:hint="default" w:ascii="Times New Roman" w:hAnsi="Times New Roman" w:cs="Times New Roman"/>
                      <w:color w:val="auto"/>
                      <w:szCs w:val="21"/>
                      <w:highlight w:val="none"/>
                      <w:u w:val="none" w:color="auto"/>
                    </w:rPr>
                    <w:t>化学物质</w:t>
                  </w:r>
                </w:p>
              </w:tc>
              <w:tc>
                <w:tcPr>
                  <w:tcW w:w="1087" w:type="pct"/>
                  <w:noWrap w:val="0"/>
                  <w:vAlign w:val="center"/>
                </w:tcPr>
                <w:p w14:paraId="45AD12CC">
                  <w:pPr>
                    <w:keepNext w:val="0"/>
                    <w:keepLines w:val="0"/>
                    <w:pageBreakBefore w:val="0"/>
                    <w:kinsoku/>
                    <w:wordWrap/>
                    <w:overflowPunct/>
                    <w:topLinePunct w:val="0"/>
                    <w:autoSpaceDE/>
                    <w:autoSpaceDN/>
                    <w:bidi w:val="0"/>
                    <w:adjustRightInd/>
                    <w:snapToGrid/>
                    <w:spacing w:line="280" w:lineRule="exact"/>
                    <w:ind w:right="0"/>
                    <w:jc w:val="center"/>
                    <w:rPr>
                      <w:rFonts w:hint="default" w:ascii="Times New Roman" w:hAnsi="Times New Roman" w:cs="Times New Roman"/>
                      <w:color w:val="auto"/>
                      <w:szCs w:val="21"/>
                      <w:highlight w:val="none"/>
                      <w:u w:val="none" w:color="auto"/>
                    </w:rPr>
                  </w:pPr>
                  <w:r>
                    <w:rPr>
                      <w:rFonts w:hint="default" w:ascii="Times New Roman" w:hAnsi="Times New Roman" w:cs="Times New Roman"/>
                      <w:color w:val="auto"/>
                      <w:szCs w:val="21"/>
                      <w:highlight w:val="none"/>
                      <w:u w:val="none" w:color="auto"/>
                    </w:rPr>
                    <w:t>最大存在量q</w:t>
                  </w:r>
                  <w:r>
                    <w:rPr>
                      <w:rFonts w:hint="default" w:ascii="Times New Roman" w:hAnsi="Times New Roman" w:cs="Times New Roman"/>
                      <w:color w:val="auto"/>
                      <w:szCs w:val="21"/>
                      <w:highlight w:val="none"/>
                      <w:u w:val="none" w:color="auto"/>
                      <w:vertAlign w:val="subscript"/>
                    </w:rPr>
                    <w:t>n</w:t>
                  </w:r>
                  <w:r>
                    <w:rPr>
                      <w:rFonts w:hint="default" w:ascii="Times New Roman" w:hAnsi="Times New Roman" w:cs="Times New Roman"/>
                      <w:color w:val="auto"/>
                      <w:szCs w:val="21"/>
                      <w:highlight w:val="none"/>
                      <w:u w:val="none" w:color="auto"/>
                    </w:rPr>
                    <w:t>（t）</w:t>
                  </w:r>
                </w:p>
              </w:tc>
              <w:tc>
                <w:tcPr>
                  <w:tcW w:w="756" w:type="pct"/>
                  <w:noWrap w:val="0"/>
                  <w:vAlign w:val="center"/>
                </w:tcPr>
                <w:p w14:paraId="29A43703">
                  <w:pPr>
                    <w:keepNext w:val="0"/>
                    <w:keepLines w:val="0"/>
                    <w:pageBreakBefore w:val="0"/>
                    <w:kinsoku/>
                    <w:wordWrap/>
                    <w:overflowPunct/>
                    <w:topLinePunct w:val="0"/>
                    <w:autoSpaceDE/>
                    <w:autoSpaceDN/>
                    <w:bidi w:val="0"/>
                    <w:adjustRightInd/>
                    <w:snapToGrid/>
                    <w:spacing w:line="280" w:lineRule="exact"/>
                    <w:ind w:right="0"/>
                    <w:jc w:val="center"/>
                    <w:rPr>
                      <w:rFonts w:hint="default" w:ascii="Times New Roman" w:hAnsi="Times New Roman" w:cs="Times New Roman"/>
                      <w:color w:val="auto"/>
                      <w:szCs w:val="21"/>
                      <w:highlight w:val="none"/>
                      <w:u w:val="none" w:color="auto"/>
                    </w:rPr>
                  </w:pPr>
                  <w:r>
                    <w:rPr>
                      <w:rFonts w:hint="default" w:ascii="Times New Roman" w:hAnsi="Times New Roman" w:cs="Times New Roman"/>
                      <w:color w:val="auto"/>
                      <w:szCs w:val="21"/>
                      <w:highlight w:val="none"/>
                      <w:u w:val="none" w:color="auto"/>
                    </w:rPr>
                    <w:t>临界量Q</w:t>
                  </w:r>
                  <w:r>
                    <w:rPr>
                      <w:rFonts w:hint="default" w:ascii="Times New Roman" w:hAnsi="Times New Roman" w:cs="Times New Roman"/>
                      <w:color w:val="auto"/>
                      <w:szCs w:val="21"/>
                      <w:highlight w:val="none"/>
                      <w:u w:val="none" w:color="auto"/>
                      <w:vertAlign w:val="subscript"/>
                    </w:rPr>
                    <w:t>n</w:t>
                  </w:r>
                  <w:r>
                    <w:rPr>
                      <w:rFonts w:hint="default" w:ascii="Times New Roman" w:hAnsi="Times New Roman" w:cs="Times New Roman"/>
                      <w:color w:val="auto"/>
                      <w:szCs w:val="21"/>
                      <w:highlight w:val="none"/>
                      <w:u w:val="none" w:color="auto"/>
                    </w:rPr>
                    <w:t>（t）</w:t>
                  </w:r>
                </w:p>
              </w:tc>
              <w:tc>
                <w:tcPr>
                  <w:tcW w:w="803" w:type="pct"/>
                  <w:noWrap w:val="0"/>
                  <w:vAlign w:val="center"/>
                </w:tcPr>
                <w:p w14:paraId="1E1D56B4">
                  <w:pPr>
                    <w:keepNext w:val="0"/>
                    <w:keepLines w:val="0"/>
                    <w:pageBreakBefore w:val="0"/>
                    <w:kinsoku/>
                    <w:wordWrap/>
                    <w:overflowPunct/>
                    <w:topLinePunct w:val="0"/>
                    <w:autoSpaceDE/>
                    <w:autoSpaceDN/>
                    <w:bidi w:val="0"/>
                    <w:adjustRightInd/>
                    <w:snapToGrid/>
                    <w:spacing w:line="280" w:lineRule="exact"/>
                    <w:ind w:right="0"/>
                    <w:jc w:val="center"/>
                    <w:rPr>
                      <w:rFonts w:hint="default" w:ascii="Times New Roman" w:hAnsi="Times New Roman" w:cs="Times New Roman"/>
                      <w:color w:val="auto"/>
                      <w:szCs w:val="21"/>
                      <w:highlight w:val="none"/>
                      <w:u w:val="none" w:color="auto"/>
                    </w:rPr>
                  </w:pPr>
                  <w:r>
                    <w:rPr>
                      <w:rFonts w:hint="default" w:ascii="Times New Roman" w:hAnsi="Times New Roman" w:cs="Times New Roman"/>
                      <w:color w:val="auto"/>
                      <w:szCs w:val="21"/>
                      <w:highlight w:val="none"/>
                      <w:u w:val="none" w:color="auto"/>
                    </w:rPr>
                    <w:t>比值q</w:t>
                  </w:r>
                  <w:r>
                    <w:rPr>
                      <w:rFonts w:hint="default" w:ascii="Times New Roman" w:hAnsi="Times New Roman" w:cs="Times New Roman"/>
                      <w:color w:val="auto"/>
                      <w:szCs w:val="21"/>
                      <w:highlight w:val="none"/>
                      <w:u w:val="none" w:color="auto"/>
                      <w:vertAlign w:val="subscript"/>
                    </w:rPr>
                    <w:t>n</w:t>
                  </w:r>
                  <w:r>
                    <w:rPr>
                      <w:rFonts w:hint="default" w:ascii="Times New Roman" w:hAnsi="Times New Roman" w:cs="Times New Roman"/>
                      <w:color w:val="auto"/>
                      <w:szCs w:val="21"/>
                      <w:highlight w:val="none"/>
                      <w:u w:val="none" w:color="auto"/>
                    </w:rPr>
                    <w:t>/Q</w:t>
                  </w:r>
                  <w:r>
                    <w:rPr>
                      <w:rFonts w:hint="default" w:ascii="Times New Roman" w:hAnsi="Times New Roman" w:cs="Times New Roman"/>
                      <w:color w:val="auto"/>
                      <w:szCs w:val="21"/>
                      <w:highlight w:val="none"/>
                      <w:u w:val="none" w:color="auto"/>
                      <w:vertAlign w:val="subscript"/>
                    </w:rPr>
                    <w:t>n</w:t>
                  </w:r>
                </w:p>
              </w:tc>
              <w:tc>
                <w:tcPr>
                  <w:tcW w:w="890" w:type="pct"/>
                  <w:noWrap w:val="0"/>
                  <w:vAlign w:val="center"/>
                </w:tcPr>
                <w:p w14:paraId="6E02F094">
                  <w:pPr>
                    <w:keepNext w:val="0"/>
                    <w:keepLines w:val="0"/>
                    <w:pageBreakBefore w:val="0"/>
                    <w:kinsoku/>
                    <w:wordWrap/>
                    <w:overflowPunct/>
                    <w:topLinePunct w:val="0"/>
                    <w:autoSpaceDE/>
                    <w:autoSpaceDN/>
                    <w:bidi w:val="0"/>
                    <w:adjustRightInd/>
                    <w:snapToGrid/>
                    <w:spacing w:line="280" w:lineRule="exact"/>
                    <w:ind w:right="0"/>
                    <w:jc w:val="center"/>
                    <w:rPr>
                      <w:rFonts w:hint="default" w:ascii="Times New Roman" w:hAnsi="Times New Roman" w:cs="Times New Roman"/>
                      <w:color w:val="auto"/>
                      <w:szCs w:val="21"/>
                      <w:highlight w:val="none"/>
                      <w:u w:val="none" w:color="auto"/>
                    </w:rPr>
                  </w:pPr>
                  <w:r>
                    <w:rPr>
                      <w:rFonts w:hint="default" w:ascii="Times New Roman" w:hAnsi="Times New Roman" w:cs="Times New Roman"/>
                      <w:color w:val="auto"/>
                      <w:szCs w:val="21"/>
                      <w:highlight w:val="none"/>
                      <w:u w:val="none" w:color="auto"/>
                    </w:rPr>
                    <w:t>临界量确定依据</w:t>
                  </w:r>
                </w:p>
              </w:tc>
            </w:tr>
            <w:tr w14:paraId="33C34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460" w:type="pct"/>
                  <w:noWrap w:val="0"/>
                  <w:vAlign w:val="center"/>
                </w:tcPr>
                <w:p w14:paraId="029BD6B1">
                  <w:pPr>
                    <w:keepNext w:val="0"/>
                    <w:keepLines w:val="0"/>
                    <w:pageBreakBefore w:val="0"/>
                    <w:kinsoku/>
                    <w:wordWrap/>
                    <w:overflowPunct/>
                    <w:topLinePunct w:val="0"/>
                    <w:autoSpaceDE/>
                    <w:autoSpaceDN/>
                    <w:bidi w:val="0"/>
                    <w:adjustRightInd/>
                    <w:snapToGrid/>
                    <w:spacing w:line="280" w:lineRule="exact"/>
                    <w:ind w:right="0"/>
                    <w:jc w:val="center"/>
                    <w:rPr>
                      <w:rFonts w:hint="default" w:ascii="Times New Roman" w:hAnsi="Times New Roman" w:eastAsia="宋体" w:cs="Times New Roman"/>
                      <w:bCs/>
                      <w:color w:val="auto"/>
                      <w:szCs w:val="21"/>
                      <w:highlight w:val="none"/>
                      <w:u w:val="none" w:color="auto"/>
                      <w:lang w:val="en-US" w:eastAsia="zh-CN"/>
                    </w:rPr>
                  </w:pPr>
                  <w:r>
                    <w:rPr>
                      <w:rFonts w:hint="default" w:ascii="Times New Roman" w:hAnsi="Times New Roman" w:cs="Times New Roman"/>
                      <w:bCs/>
                      <w:color w:val="auto"/>
                      <w:szCs w:val="21"/>
                      <w:highlight w:val="none"/>
                      <w:u w:val="none" w:color="auto"/>
                    </w:rPr>
                    <w:t>油漆</w:t>
                  </w:r>
                  <w:r>
                    <w:rPr>
                      <w:rFonts w:hint="eastAsia" w:cs="Times New Roman"/>
                      <w:bCs/>
                      <w:color w:val="auto"/>
                      <w:szCs w:val="21"/>
                      <w:highlight w:val="none"/>
                      <w:u w:val="none" w:color="auto"/>
                      <w:lang w:eastAsia="zh-CN"/>
                    </w:rPr>
                    <w:t>、</w:t>
                  </w:r>
                  <w:r>
                    <w:rPr>
                      <w:rFonts w:hint="eastAsia" w:cs="Times New Roman"/>
                      <w:bCs/>
                      <w:color w:val="auto"/>
                      <w:szCs w:val="21"/>
                      <w:highlight w:val="none"/>
                      <w:u w:val="none" w:color="auto"/>
                      <w:lang w:val="en-US" w:eastAsia="zh-CN"/>
                    </w:rPr>
                    <w:t>固化剂、稀释剂</w:t>
                  </w:r>
                </w:p>
              </w:tc>
              <w:tc>
                <w:tcPr>
                  <w:tcW w:w="1087" w:type="pct"/>
                  <w:noWrap w:val="0"/>
                  <w:vAlign w:val="center"/>
                </w:tcPr>
                <w:p w14:paraId="5E139C42">
                  <w:pPr>
                    <w:keepNext w:val="0"/>
                    <w:keepLines w:val="0"/>
                    <w:pageBreakBefore w:val="0"/>
                    <w:kinsoku/>
                    <w:wordWrap/>
                    <w:overflowPunct/>
                    <w:topLinePunct w:val="0"/>
                    <w:autoSpaceDE/>
                    <w:autoSpaceDN/>
                    <w:bidi w:val="0"/>
                    <w:adjustRightInd/>
                    <w:snapToGrid/>
                    <w:spacing w:line="280" w:lineRule="exact"/>
                    <w:ind w:right="0"/>
                    <w:jc w:val="center"/>
                    <w:rPr>
                      <w:rFonts w:hint="default" w:ascii="Times New Roman" w:hAnsi="Times New Roman" w:eastAsia="宋体" w:cs="Times New Roman"/>
                      <w:color w:val="auto"/>
                      <w:szCs w:val="21"/>
                      <w:highlight w:val="none"/>
                      <w:u w:val="none" w:color="auto"/>
                      <w:lang w:val="en-US" w:eastAsia="zh-CN"/>
                    </w:rPr>
                  </w:pPr>
                  <w:r>
                    <w:rPr>
                      <w:rFonts w:hint="eastAsia" w:cs="Times New Roman"/>
                      <w:color w:val="auto"/>
                      <w:szCs w:val="21"/>
                      <w:highlight w:val="none"/>
                      <w:u w:val="none" w:color="auto"/>
                      <w:lang w:val="en-US" w:eastAsia="zh-CN"/>
                    </w:rPr>
                    <w:t>0.55</w:t>
                  </w:r>
                </w:p>
              </w:tc>
              <w:tc>
                <w:tcPr>
                  <w:tcW w:w="756" w:type="pct"/>
                  <w:noWrap w:val="0"/>
                  <w:vAlign w:val="center"/>
                </w:tcPr>
                <w:p w14:paraId="37FBFF5A">
                  <w:pPr>
                    <w:keepNext w:val="0"/>
                    <w:keepLines w:val="0"/>
                    <w:pageBreakBefore w:val="0"/>
                    <w:kinsoku/>
                    <w:wordWrap/>
                    <w:overflowPunct/>
                    <w:topLinePunct w:val="0"/>
                    <w:autoSpaceDE/>
                    <w:autoSpaceDN/>
                    <w:bidi w:val="0"/>
                    <w:adjustRightInd/>
                    <w:snapToGrid/>
                    <w:spacing w:line="280" w:lineRule="exact"/>
                    <w:ind w:right="0"/>
                    <w:jc w:val="center"/>
                    <w:rPr>
                      <w:rFonts w:hint="default" w:ascii="Times New Roman" w:hAnsi="Times New Roman" w:cs="Times New Roman"/>
                      <w:color w:val="auto"/>
                      <w:szCs w:val="21"/>
                      <w:highlight w:val="none"/>
                      <w:u w:val="none" w:color="auto"/>
                    </w:rPr>
                  </w:pPr>
                  <w:r>
                    <w:rPr>
                      <w:rFonts w:hint="default" w:ascii="Times New Roman" w:hAnsi="Times New Roman" w:cs="Times New Roman"/>
                      <w:color w:val="auto"/>
                      <w:szCs w:val="21"/>
                      <w:highlight w:val="none"/>
                      <w:u w:val="none" w:color="auto"/>
                    </w:rPr>
                    <w:t>50</w:t>
                  </w:r>
                </w:p>
              </w:tc>
              <w:tc>
                <w:tcPr>
                  <w:tcW w:w="1280" w:type="dxa"/>
                  <w:noWrap w:val="0"/>
                  <w:vAlign w:val="center"/>
                </w:tcPr>
                <w:p w14:paraId="5FCA213D">
                  <w:pPr>
                    <w:keepNext w:val="0"/>
                    <w:keepLines w:val="0"/>
                    <w:widowControl/>
                    <w:suppressLineNumbers w:val="0"/>
                    <w:jc w:val="center"/>
                    <w:textAlignment w:val="center"/>
                    <w:rPr>
                      <w:rFonts w:hint="default" w:ascii="Times New Roman" w:hAnsi="Times New Roman" w:eastAsia="宋体" w:cs="Times New Roman"/>
                      <w:bCs/>
                      <w:color w:val="auto"/>
                      <w:kern w:val="0"/>
                      <w:szCs w:val="21"/>
                      <w:highlight w:val="none"/>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0.011</w:t>
                  </w:r>
                </w:p>
              </w:tc>
              <w:tc>
                <w:tcPr>
                  <w:tcW w:w="890" w:type="pct"/>
                  <w:vMerge w:val="restart"/>
                  <w:noWrap w:val="0"/>
                  <w:vAlign w:val="center"/>
                </w:tcPr>
                <w:p w14:paraId="5898A4B2">
                  <w:pPr>
                    <w:keepNext w:val="0"/>
                    <w:keepLines w:val="0"/>
                    <w:pageBreakBefore w:val="0"/>
                    <w:kinsoku/>
                    <w:wordWrap/>
                    <w:overflowPunct/>
                    <w:topLinePunct w:val="0"/>
                    <w:autoSpaceDE/>
                    <w:autoSpaceDN/>
                    <w:bidi w:val="0"/>
                    <w:adjustRightInd/>
                    <w:snapToGrid/>
                    <w:spacing w:line="280" w:lineRule="exact"/>
                    <w:ind w:right="0"/>
                    <w:jc w:val="center"/>
                    <w:rPr>
                      <w:rFonts w:hint="default" w:ascii="Times New Roman" w:hAnsi="Times New Roman" w:cs="Times New Roman"/>
                      <w:color w:val="auto"/>
                      <w:szCs w:val="21"/>
                      <w:highlight w:val="yellow"/>
                      <w:u w:val="none" w:color="auto"/>
                    </w:rPr>
                  </w:pPr>
                  <w:r>
                    <w:rPr>
                      <w:rFonts w:hint="default" w:ascii="Times New Roman" w:hAnsi="Times New Roman" w:cs="Times New Roman"/>
                      <w:color w:val="auto"/>
                      <w:szCs w:val="21"/>
                      <w:highlight w:val="none"/>
                      <w:u w:val="none" w:color="auto"/>
                    </w:rPr>
                    <w:t>HJ169-2018附录B、HJ941-2018附录A、</w:t>
                  </w:r>
                </w:p>
              </w:tc>
            </w:tr>
            <w:tr w14:paraId="038A8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460" w:type="pct"/>
                  <w:noWrap w:val="0"/>
                  <w:vAlign w:val="center"/>
                </w:tcPr>
                <w:p w14:paraId="0AE246AD">
                  <w:pPr>
                    <w:keepNext w:val="0"/>
                    <w:keepLines w:val="0"/>
                    <w:pageBreakBefore w:val="0"/>
                    <w:kinsoku/>
                    <w:wordWrap/>
                    <w:overflowPunct/>
                    <w:topLinePunct w:val="0"/>
                    <w:autoSpaceDE/>
                    <w:autoSpaceDN/>
                    <w:bidi w:val="0"/>
                    <w:adjustRightInd/>
                    <w:snapToGrid/>
                    <w:spacing w:line="280" w:lineRule="exact"/>
                    <w:ind w:right="0"/>
                    <w:jc w:val="center"/>
                    <w:rPr>
                      <w:rFonts w:hint="eastAsia" w:ascii="Times New Roman" w:hAnsi="Times New Roman" w:eastAsia="宋体" w:cs="Times New Roman"/>
                      <w:bCs/>
                      <w:color w:val="auto"/>
                      <w:szCs w:val="21"/>
                      <w:highlight w:val="none"/>
                      <w:u w:val="none" w:color="auto"/>
                      <w:lang w:eastAsia="zh-CN"/>
                    </w:rPr>
                  </w:pPr>
                  <w:r>
                    <w:rPr>
                      <w:rFonts w:hint="eastAsia" w:cs="Times New Roman"/>
                      <w:bCs/>
                      <w:color w:val="auto"/>
                      <w:szCs w:val="21"/>
                      <w:highlight w:val="none"/>
                      <w:u w:val="none" w:color="auto"/>
                      <w:lang w:val="en-US" w:eastAsia="zh-CN"/>
                    </w:rPr>
                    <w:t>液化石油气</w:t>
                  </w:r>
                </w:p>
              </w:tc>
              <w:tc>
                <w:tcPr>
                  <w:tcW w:w="1087" w:type="pct"/>
                  <w:noWrap w:val="0"/>
                  <w:vAlign w:val="center"/>
                </w:tcPr>
                <w:p w14:paraId="4F2CC7E1">
                  <w:pPr>
                    <w:keepNext w:val="0"/>
                    <w:keepLines w:val="0"/>
                    <w:pageBreakBefore w:val="0"/>
                    <w:widowControl/>
                    <w:kinsoku/>
                    <w:wordWrap/>
                    <w:overflowPunct/>
                    <w:topLinePunct w:val="0"/>
                    <w:autoSpaceDE/>
                    <w:autoSpaceDN/>
                    <w:bidi w:val="0"/>
                    <w:adjustRightInd/>
                    <w:snapToGrid/>
                    <w:spacing w:line="280" w:lineRule="exact"/>
                    <w:ind w:right="0"/>
                    <w:jc w:val="center"/>
                    <w:textAlignment w:val="center"/>
                    <w:rPr>
                      <w:rFonts w:hint="default" w:ascii="Times New Roman" w:hAnsi="Times New Roman" w:eastAsia="宋体" w:cs="Times New Roman"/>
                      <w:bCs/>
                      <w:color w:val="auto"/>
                      <w:kern w:val="0"/>
                      <w:szCs w:val="21"/>
                      <w:highlight w:val="none"/>
                      <w:u w:val="none" w:color="auto"/>
                      <w:lang w:val="en-US" w:eastAsia="zh-CN"/>
                    </w:rPr>
                  </w:pPr>
                  <w:r>
                    <w:rPr>
                      <w:rFonts w:hint="eastAsia" w:cs="Times New Roman"/>
                      <w:bCs/>
                      <w:color w:val="auto"/>
                      <w:kern w:val="0"/>
                      <w:szCs w:val="21"/>
                      <w:highlight w:val="none"/>
                      <w:u w:val="none" w:color="auto"/>
                      <w:lang w:val="en-US" w:eastAsia="zh-CN"/>
                    </w:rPr>
                    <w:t>0.2</w:t>
                  </w:r>
                </w:p>
              </w:tc>
              <w:tc>
                <w:tcPr>
                  <w:tcW w:w="756" w:type="pct"/>
                  <w:noWrap w:val="0"/>
                  <w:vAlign w:val="center"/>
                </w:tcPr>
                <w:p w14:paraId="637C94D3">
                  <w:pPr>
                    <w:keepNext w:val="0"/>
                    <w:keepLines w:val="0"/>
                    <w:pageBreakBefore w:val="0"/>
                    <w:kinsoku/>
                    <w:wordWrap/>
                    <w:overflowPunct/>
                    <w:topLinePunct w:val="0"/>
                    <w:autoSpaceDE/>
                    <w:autoSpaceDN/>
                    <w:bidi w:val="0"/>
                    <w:adjustRightInd/>
                    <w:snapToGrid/>
                    <w:spacing w:line="280" w:lineRule="exact"/>
                    <w:ind w:right="0"/>
                    <w:jc w:val="center"/>
                    <w:rPr>
                      <w:rFonts w:hint="default" w:ascii="Times New Roman" w:hAnsi="Times New Roman" w:eastAsia="宋体" w:cs="Times New Roman"/>
                      <w:color w:val="auto"/>
                      <w:szCs w:val="21"/>
                      <w:highlight w:val="none"/>
                      <w:u w:val="none" w:color="auto"/>
                      <w:lang w:val="en-US" w:eastAsia="zh-CN"/>
                    </w:rPr>
                  </w:pPr>
                  <w:r>
                    <w:rPr>
                      <w:rFonts w:hint="eastAsia" w:ascii="Times New Roman" w:hAnsi="Times New Roman" w:cs="Times New Roman"/>
                      <w:color w:val="auto"/>
                      <w:szCs w:val="21"/>
                      <w:highlight w:val="none"/>
                      <w:u w:val="none" w:color="auto"/>
                      <w:lang w:val="en-US" w:eastAsia="zh-CN"/>
                    </w:rPr>
                    <w:t>10</w:t>
                  </w:r>
                </w:p>
              </w:tc>
              <w:tc>
                <w:tcPr>
                  <w:tcW w:w="1280" w:type="dxa"/>
                  <w:noWrap w:val="0"/>
                  <w:vAlign w:val="center"/>
                </w:tcPr>
                <w:p w14:paraId="5740B283">
                  <w:pPr>
                    <w:keepNext w:val="0"/>
                    <w:keepLines w:val="0"/>
                    <w:widowControl/>
                    <w:suppressLineNumbers w:val="0"/>
                    <w:jc w:val="center"/>
                    <w:textAlignment w:val="center"/>
                    <w:rPr>
                      <w:rFonts w:hint="default" w:ascii="Times New Roman" w:hAnsi="Times New Roman" w:eastAsia="宋体" w:cs="Times New Roman"/>
                      <w:bCs/>
                      <w:color w:val="auto"/>
                      <w:kern w:val="0"/>
                      <w:szCs w:val="21"/>
                      <w:highlight w:val="none"/>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890" w:type="pct"/>
                  <w:vMerge w:val="continue"/>
                  <w:noWrap w:val="0"/>
                  <w:vAlign w:val="center"/>
                </w:tcPr>
                <w:p w14:paraId="6AE39438">
                  <w:pPr>
                    <w:keepNext w:val="0"/>
                    <w:keepLines w:val="0"/>
                    <w:pageBreakBefore w:val="0"/>
                    <w:widowControl/>
                    <w:kinsoku/>
                    <w:wordWrap/>
                    <w:overflowPunct/>
                    <w:topLinePunct w:val="0"/>
                    <w:autoSpaceDE/>
                    <w:autoSpaceDN/>
                    <w:bidi w:val="0"/>
                    <w:adjustRightInd/>
                    <w:snapToGrid/>
                    <w:spacing w:line="280" w:lineRule="exact"/>
                    <w:ind w:right="0"/>
                    <w:jc w:val="center"/>
                    <w:rPr>
                      <w:rFonts w:hint="default" w:ascii="Times New Roman" w:hAnsi="Times New Roman" w:cs="Times New Roman"/>
                      <w:color w:val="auto"/>
                      <w:szCs w:val="21"/>
                      <w:highlight w:val="yellow"/>
                      <w:u w:val="none" w:color="auto"/>
                    </w:rPr>
                  </w:pPr>
                </w:p>
              </w:tc>
            </w:tr>
            <w:tr w14:paraId="41DD6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460" w:type="pct"/>
                  <w:noWrap w:val="0"/>
                  <w:vAlign w:val="center"/>
                </w:tcPr>
                <w:p w14:paraId="02E300E7">
                  <w:pPr>
                    <w:keepNext w:val="0"/>
                    <w:keepLines w:val="0"/>
                    <w:pageBreakBefore w:val="0"/>
                    <w:kinsoku/>
                    <w:wordWrap/>
                    <w:overflowPunct/>
                    <w:topLinePunct w:val="0"/>
                    <w:autoSpaceDE/>
                    <w:autoSpaceDN/>
                    <w:bidi w:val="0"/>
                    <w:adjustRightInd/>
                    <w:snapToGrid/>
                    <w:spacing w:line="280" w:lineRule="exact"/>
                    <w:ind w:right="0"/>
                    <w:jc w:val="center"/>
                    <w:rPr>
                      <w:rFonts w:hint="default" w:ascii="Times New Roman" w:hAnsi="Times New Roman" w:cs="Times New Roman"/>
                      <w:bCs/>
                      <w:color w:val="auto"/>
                      <w:szCs w:val="21"/>
                      <w:highlight w:val="none"/>
                      <w:u w:val="none" w:color="auto"/>
                      <w:lang w:val="en-US"/>
                    </w:rPr>
                  </w:pPr>
                  <w:r>
                    <w:rPr>
                      <w:rFonts w:hint="eastAsia" w:ascii="Times New Roman" w:hAnsi="Times New Roman" w:eastAsia="宋体" w:cs="Times New Roman"/>
                      <w:color w:val="auto"/>
                      <w:kern w:val="2"/>
                      <w:sz w:val="21"/>
                      <w:szCs w:val="21"/>
                      <w:highlight w:val="none"/>
                      <w:u w:val="none" w:color="auto"/>
                      <w:lang w:val="en-US" w:eastAsia="zh-CN" w:bidi="ar-SA"/>
                    </w:rPr>
                    <w:t>废润滑油</w:t>
                  </w:r>
                </w:p>
              </w:tc>
              <w:tc>
                <w:tcPr>
                  <w:tcW w:w="1087" w:type="pct"/>
                  <w:noWrap w:val="0"/>
                  <w:vAlign w:val="center"/>
                </w:tcPr>
                <w:p w14:paraId="040AC7AC">
                  <w:pPr>
                    <w:keepNext w:val="0"/>
                    <w:keepLines w:val="0"/>
                    <w:pageBreakBefore w:val="0"/>
                    <w:widowControl/>
                    <w:kinsoku/>
                    <w:wordWrap/>
                    <w:overflowPunct/>
                    <w:topLinePunct w:val="0"/>
                    <w:autoSpaceDE/>
                    <w:autoSpaceDN/>
                    <w:bidi w:val="0"/>
                    <w:adjustRightInd/>
                    <w:snapToGrid/>
                    <w:spacing w:line="280" w:lineRule="exact"/>
                    <w:ind w:right="0"/>
                    <w:jc w:val="center"/>
                    <w:textAlignment w:val="center"/>
                    <w:rPr>
                      <w:rFonts w:hint="default" w:ascii="Times New Roman" w:hAnsi="Times New Roman" w:eastAsia="宋体" w:cs="Times New Roman"/>
                      <w:bCs/>
                      <w:color w:val="auto"/>
                      <w:kern w:val="0"/>
                      <w:szCs w:val="21"/>
                      <w:highlight w:val="none"/>
                      <w:u w:val="none" w:color="auto"/>
                      <w:lang w:val="en-US" w:eastAsia="zh-CN"/>
                    </w:rPr>
                  </w:pPr>
                  <w:r>
                    <w:rPr>
                      <w:rFonts w:hint="eastAsia" w:cs="Times New Roman"/>
                      <w:bCs/>
                      <w:color w:val="auto"/>
                      <w:kern w:val="0"/>
                      <w:szCs w:val="21"/>
                      <w:highlight w:val="none"/>
                      <w:u w:val="none" w:color="auto"/>
                      <w:lang w:val="en-US" w:eastAsia="zh-CN"/>
                    </w:rPr>
                    <w:t>0.1</w:t>
                  </w:r>
                </w:p>
              </w:tc>
              <w:tc>
                <w:tcPr>
                  <w:tcW w:w="756" w:type="pct"/>
                  <w:noWrap w:val="0"/>
                  <w:vAlign w:val="center"/>
                </w:tcPr>
                <w:p w14:paraId="48743F00">
                  <w:pPr>
                    <w:keepNext w:val="0"/>
                    <w:keepLines w:val="0"/>
                    <w:pageBreakBefore w:val="0"/>
                    <w:kinsoku/>
                    <w:wordWrap/>
                    <w:overflowPunct/>
                    <w:topLinePunct w:val="0"/>
                    <w:autoSpaceDE/>
                    <w:autoSpaceDN/>
                    <w:bidi w:val="0"/>
                    <w:adjustRightInd/>
                    <w:snapToGrid/>
                    <w:spacing w:line="280" w:lineRule="exact"/>
                    <w:ind w:right="0"/>
                    <w:jc w:val="center"/>
                    <w:rPr>
                      <w:rFonts w:hint="default" w:ascii="Times New Roman" w:hAnsi="Times New Roman" w:eastAsia="宋体" w:cs="Times New Roman"/>
                      <w:color w:val="auto"/>
                      <w:szCs w:val="21"/>
                      <w:highlight w:val="none"/>
                      <w:u w:val="none" w:color="auto"/>
                      <w:lang w:val="en-US" w:eastAsia="zh-CN"/>
                    </w:rPr>
                  </w:pPr>
                  <w:r>
                    <w:rPr>
                      <w:rFonts w:hint="eastAsia" w:ascii="Times New Roman" w:hAnsi="Times New Roman" w:eastAsia="宋体" w:cs="Times New Roman"/>
                      <w:color w:val="auto"/>
                      <w:szCs w:val="21"/>
                      <w:highlight w:val="none"/>
                      <w:u w:val="none" w:color="auto"/>
                      <w:lang w:val="en-US" w:eastAsia="zh-CN"/>
                    </w:rPr>
                    <w:t>2</w:t>
                  </w:r>
                  <w:r>
                    <w:rPr>
                      <w:rFonts w:hint="default" w:ascii="Times New Roman" w:hAnsi="Times New Roman" w:eastAsia="宋体" w:cs="Times New Roman"/>
                      <w:color w:val="auto"/>
                      <w:szCs w:val="21"/>
                      <w:highlight w:val="none"/>
                      <w:u w:val="none" w:color="auto"/>
                      <w:lang w:val="en-US" w:eastAsia="zh-CN"/>
                    </w:rPr>
                    <w:t>500</w:t>
                  </w:r>
                </w:p>
              </w:tc>
              <w:tc>
                <w:tcPr>
                  <w:tcW w:w="1280" w:type="dxa"/>
                  <w:noWrap w:val="0"/>
                  <w:vAlign w:val="center"/>
                </w:tcPr>
                <w:p w14:paraId="0AE55A01">
                  <w:pPr>
                    <w:keepNext w:val="0"/>
                    <w:keepLines w:val="0"/>
                    <w:widowControl/>
                    <w:suppressLineNumbers w:val="0"/>
                    <w:jc w:val="center"/>
                    <w:textAlignment w:val="center"/>
                    <w:rPr>
                      <w:rFonts w:hint="default" w:ascii="Times New Roman" w:hAnsi="Times New Roman" w:eastAsia="宋体" w:cs="Times New Roman"/>
                      <w:bCs/>
                      <w:color w:val="auto"/>
                      <w:kern w:val="0"/>
                      <w:szCs w:val="21"/>
                      <w:highlight w:val="none"/>
                      <w:u w:val="none" w:color="auto"/>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0.00004</w:t>
                  </w:r>
                </w:p>
              </w:tc>
              <w:tc>
                <w:tcPr>
                  <w:tcW w:w="890" w:type="pct"/>
                  <w:vMerge w:val="continue"/>
                  <w:noWrap w:val="0"/>
                  <w:vAlign w:val="center"/>
                </w:tcPr>
                <w:p w14:paraId="1F4E47EC">
                  <w:pPr>
                    <w:keepNext w:val="0"/>
                    <w:keepLines w:val="0"/>
                    <w:pageBreakBefore w:val="0"/>
                    <w:widowControl/>
                    <w:kinsoku/>
                    <w:wordWrap/>
                    <w:overflowPunct/>
                    <w:topLinePunct w:val="0"/>
                    <w:autoSpaceDE/>
                    <w:autoSpaceDN/>
                    <w:bidi w:val="0"/>
                    <w:adjustRightInd/>
                    <w:snapToGrid/>
                    <w:spacing w:line="280" w:lineRule="exact"/>
                    <w:ind w:right="0"/>
                    <w:jc w:val="center"/>
                    <w:rPr>
                      <w:rFonts w:hint="default" w:ascii="Times New Roman" w:hAnsi="Times New Roman" w:cs="Times New Roman"/>
                      <w:color w:val="auto"/>
                      <w:szCs w:val="21"/>
                      <w:highlight w:val="yellow"/>
                      <w:u w:val="none" w:color="auto"/>
                    </w:rPr>
                  </w:pPr>
                </w:p>
              </w:tc>
            </w:tr>
            <w:tr w14:paraId="2828A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460" w:type="pct"/>
                  <w:noWrap w:val="0"/>
                  <w:vAlign w:val="center"/>
                </w:tcPr>
                <w:p w14:paraId="34B194A0">
                  <w:pPr>
                    <w:keepNext w:val="0"/>
                    <w:keepLines w:val="0"/>
                    <w:pageBreakBefore w:val="0"/>
                    <w:kinsoku/>
                    <w:wordWrap/>
                    <w:overflowPunct/>
                    <w:topLinePunct w:val="0"/>
                    <w:autoSpaceDE/>
                    <w:autoSpaceDN/>
                    <w:bidi w:val="0"/>
                    <w:adjustRightInd/>
                    <w:snapToGrid/>
                    <w:spacing w:line="280" w:lineRule="exact"/>
                    <w:ind w:right="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eastAsia" w:cs="Times New Roman"/>
                      <w:color w:val="auto"/>
                      <w:kern w:val="2"/>
                      <w:sz w:val="21"/>
                      <w:szCs w:val="21"/>
                      <w:highlight w:val="none"/>
                      <w:u w:val="none" w:color="auto"/>
                      <w:lang w:val="en-US" w:eastAsia="zh-CN" w:bidi="ar-SA"/>
                    </w:rPr>
                    <w:t>危险废物</w:t>
                  </w:r>
                </w:p>
              </w:tc>
              <w:tc>
                <w:tcPr>
                  <w:tcW w:w="1087" w:type="pct"/>
                  <w:noWrap w:val="0"/>
                  <w:vAlign w:val="center"/>
                </w:tcPr>
                <w:p w14:paraId="3F6B069E">
                  <w:pPr>
                    <w:keepNext w:val="0"/>
                    <w:keepLines w:val="0"/>
                    <w:pageBreakBefore w:val="0"/>
                    <w:widowControl/>
                    <w:kinsoku/>
                    <w:wordWrap/>
                    <w:overflowPunct/>
                    <w:topLinePunct w:val="0"/>
                    <w:autoSpaceDE/>
                    <w:autoSpaceDN/>
                    <w:bidi w:val="0"/>
                    <w:adjustRightInd/>
                    <w:snapToGrid/>
                    <w:spacing w:line="280" w:lineRule="exact"/>
                    <w:ind w:right="0"/>
                    <w:jc w:val="center"/>
                    <w:textAlignment w:val="center"/>
                    <w:rPr>
                      <w:rFonts w:hint="default" w:cs="Times New Roman"/>
                      <w:bCs/>
                      <w:color w:val="auto"/>
                      <w:kern w:val="0"/>
                      <w:szCs w:val="21"/>
                      <w:highlight w:val="none"/>
                      <w:u w:val="none" w:color="auto"/>
                      <w:lang w:val="en-US" w:eastAsia="zh-CN"/>
                    </w:rPr>
                  </w:pPr>
                  <w:r>
                    <w:rPr>
                      <w:rFonts w:hint="eastAsia" w:cs="Times New Roman"/>
                      <w:bCs/>
                      <w:color w:val="auto"/>
                      <w:kern w:val="0"/>
                      <w:szCs w:val="21"/>
                      <w:highlight w:val="none"/>
                      <w:u w:val="none" w:color="auto"/>
                      <w:lang w:val="en-US" w:eastAsia="zh-CN"/>
                    </w:rPr>
                    <w:t>5</w:t>
                  </w:r>
                </w:p>
              </w:tc>
              <w:tc>
                <w:tcPr>
                  <w:tcW w:w="756" w:type="pct"/>
                  <w:noWrap w:val="0"/>
                  <w:vAlign w:val="center"/>
                </w:tcPr>
                <w:p w14:paraId="2DAAEFEB">
                  <w:pPr>
                    <w:keepNext w:val="0"/>
                    <w:keepLines w:val="0"/>
                    <w:pageBreakBefore w:val="0"/>
                    <w:kinsoku/>
                    <w:wordWrap/>
                    <w:overflowPunct/>
                    <w:topLinePunct w:val="0"/>
                    <w:autoSpaceDE/>
                    <w:autoSpaceDN/>
                    <w:bidi w:val="0"/>
                    <w:adjustRightInd/>
                    <w:snapToGrid/>
                    <w:spacing w:line="280" w:lineRule="exact"/>
                    <w:ind w:right="0"/>
                    <w:jc w:val="center"/>
                    <w:rPr>
                      <w:rFonts w:hint="default" w:ascii="Times New Roman" w:hAnsi="Times New Roman" w:eastAsia="宋体" w:cs="Times New Roman"/>
                      <w:color w:val="auto"/>
                      <w:szCs w:val="21"/>
                      <w:highlight w:val="none"/>
                      <w:u w:val="none" w:color="auto"/>
                      <w:lang w:val="en-US" w:eastAsia="zh-CN"/>
                    </w:rPr>
                  </w:pPr>
                  <w:r>
                    <w:rPr>
                      <w:rFonts w:hint="eastAsia" w:cs="Times New Roman"/>
                      <w:color w:val="auto"/>
                      <w:szCs w:val="21"/>
                      <w:highlight w:val="none"/>
                      <w:u w:val="none" w:color="auto"/>
                      <w:lang w:val="en-US" w:eastAsia="zh-CN"/>
                    </w:rPr>
                    <w:t>/</w:t>
                  </w:r>
                </w:p>
              </w:tc>
              <w:tc>
                <w:tcPr>
                  <w:tcW w:w="1280" w:type="dxa"/>
                  <w:noWrap w:val="0"/>
                  <w:vAlign w:val="center"/>
                </w:tcPr>
                <w:p w14:paraId="5DDB501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w:t>
                  </w:r>
                </w:p>
              </w:tc>
              <w:tc>
                <w:tcPr>
                  <w:tcW w:w="890" w:type="pct"/>
                  <w:vMerge w:val="continue"/>
                  <w:noWrap w:val="0"/>
                  <w:vAlign w:val="center"/>
                </w:tcPr>
                <w:p w14:paraId="1FCDDDB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5F0DF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5" w:type="pct"/>
                  <w:gridSpan w:val="3"/>
                  <w:noWrap w:val="0"/>
                  <w:vAlign w:val="center"/>
                </w:tcPr>
                <w:p w14:paraId="68207DC1">
                  <w:pPr>
                    <w:keepNext w:val="0"/>
                    <w:keepLines w:val="0"/>
                    <w:pageBreakBefore w:val="0"/>
                    <w:kinsoku/>
                    <w:wordWrap/>
                    <w:overflowPunct/>
                    <w:topLinePunct w:val="0"/>
                    <w:autoSpaceDE/>
                    <w:autoSpaceDN/>
                    <w:bidi w:val="0"/>
                    <w:adjustRightInd/>
                    <w:snapToGrid/>
                    <w:spacing w:line="280" w:lineRule="exact"/>
                    <w:ind w:right="0"/>
                    <w:jc w:val="center"/>
                    <w:rPr>
                      <w:rFonts w:hint="eastAsia" w:ascii="Times New Roman" w:hAnsi="Times New Roman" w:eastAsia="宋体" w:cs="Times New Roman"/>
                      <w:color w:val="auto"/>
                      <w:szCs w:val="21"/>
                      <w:highlight w:val="none"/>
                      <w:u w:val="none" w:color="auto"/>
                      <w:lang w:val="en-US" w:eastAsia="zh-CN"/>
                    </w:rPr>
                  </w:pPr>
                  <w:r>
                    <w:rPr>
                      <w:rFonts w:hint="eastAsia" w:ascii="Times New Roman" w:hAnsi="Times New Roman" w:eastAsia="宋体" w:cs="Times New Roman"/>
                      <w:color w:val="auto"/>
                      <w:szCs w:val="21"/>
                      <w:highlight w:val="none"/>
                      <w:u w:val="none" w:color="auto"/>
                      <w:lang w:val="en-US" w:eastAsia="zh-CN"/>
                    </w:rPr>
                    <w:t>合计</w:t>
                  </w:r>
                </w:p>
              </w:tc>
              <w:tc>
                <w:tcPr>
                  <w:tcW w:w="1694" w:type="pct"/>
                  <w:gridSpan w:val="2"/>
                  <w:shd w:val="clear" w:color="auto" w:fill="auto"/>
                  <w:noWrap w:val="0"/>
                  <w:vAlign w:val="center"/>
                </w:tcPr>
                <w:p w14:paraId="6D613B7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0.03104</w:t>
                  </w:r>
                </w:p>
              </w:tc>
            </w:tr>
          </w:tbl>
          <w:p w14:paraId="62691E7A">
            <w:pPr>
              <w:spacing w:line="300" w:lineRule="exact"/>
              <w:jc w:val="left"/>
              <w:rPr>
                <w:rFonts w:hint="default" w:ascii="Times New Roman" w:hAnsi="Times New Roman" w:cs="Times New Roman"/>
                <w:b w:val="0"/>
                <w:bCs/>
                <w:color w:val="auto"/>
                <w:szCs w:val="21"/>
                <w:highlight w:val="none"/>
                <w:u w:val="none" w:color="auto"/>
              </w:rPr>
            </w:pPr>
            <w:r>
              <w:rPr>
                <w:rFonts w:hint="default" w:ascii="Times New Roman" w:hAnsi="Times New Roman" w:cs="Times New Roman"/>
                <w:b w:val="0"/>
                <w:bCs/>
                <w:color w:val="auto"/>
                <w:szCs w:val="21"/>
                <w:highlight w:val="none"/>
                <w:u w:val="none" w:color="auto"/>
              </w:rPr>
              <w:t>注：油漆</w:t>
            </w:r>
            <w:r>
              <w:rPr>
                <w:rFonts w:hint="eastAsia" w:ascii="Times New Roman" w:hAnsi="Times New Roman" w:cs="Times New Roman"/>
                <w:b w:val="0"/>
                <w:bCs/>
                <w:color w:val="auto"/>
                <w:szCs w:val="21"/>
                <w:highlight w:val="none"/>
                <w:u w:val="none" w:color="auto"/>
                <w:lang w:eastAsia="zh-CN"/>
              </w:rPr>
              <w:t>、</w:t>
            </w:r>
            <w:r>
              <w:rPr>
                <w:rFonts w:hint="eastAsia" w:ascii="Times New Roman" w:hAnsi="Times New Roman" w:cs="Times New Roman"/>
                <w:b w:val="0"/>
                <w:bCs/>
                <w:color w:val="auto"/>
                <w:szCs w:val="21"/>
                <w:highlight w:val="none"/>
                <w:u w:val="none" w:color="auto"/>
                <w:lang w:val="en-US" w:eastAsia="zh-CN"/>
              </w:rPr>
              <w:t>稀释剂</w:t>
            </w:r>
            <w:r>
              <w:rPr>
                <w:rFonts w:hint="default" w:ascii="Times New Roman" w:hAnsi="Times New Roman" w:cs="Times New Roman"/>
                <w:b w:val="0"/>
                <w:bCs/>
                <w:color w:val="auto"/>
                <w:szCs w:val="21"/>
                <w:highlight w:val="none"/>
                <w:u w:val="none" w:color="auto"/>
              </w:rPr>
              <w:t>参照附录B.2健康危险急性毒性物质（类别2，类别3）临界量以50吨计。</w:t>
            </w:r>
          </w:p>
          <w:p w14:paraId="55AA12DA">
            <w:pPr>
              <w:spacing w:line="300" w:lineRule="exact"/>
              <w:jc w:val="center"/>
              <w:rPr>
                <w:rFonts w:hint="default" w:ascii="Times New Roman" w:hAnsi="Times New Roman" w:cs="Times New Roman"/>
                <w:b/>
                <w:color w:val="auto"/>
                <w:szCs w:val="21"/>
                <w:highlight w:val="none"/>
                <w:u w:val="none" w:color="auto"/>
              </w:rPr>
            </w:pPr>
            <w:r>
              <w:rPr>
                <w:rFonts w:hint="default" w:ascii="Times New Roman" w:hAnsi="Times New Roman" w:cs="Times New Roman"/>
                <w:b/>
                <w:color w:val="auto"/>
                <w:szCs w:val="21"/>
                <w:highlight w:val="none"/>
                <w:u w:val="none" w:color="auto"/>
              </w:rPr>
              <w:t>表</w:t>
            </w:r>
            <w:r>
              <w:rPr>
                <w:rFonts w:hint="eastAsia" w:cs="Times New Roman"/>
                <w:b/>
                <w:color w:val="auto"/>
                <w:szCs w:val="21"/>
                <w:highlight w:val="none"/>
                <w:u w:val="none" w:color="auto"/>
                <w:lang w:val="en-US" w:eastAsia="zh-CN"/>
              </w:rPr>
              <w:t xml:space="preserve">4-19  </w:t>
            </w:r>
            <w:r>
              <w:rPr>
                <w:rFonts w:hint="default" w:ascii="Times New Roman" w:hAnsi="Times New Roman" w:cs="Times New Roman"/>
                <w:b/>
                <w:color w:val="auto"/>
                <w:szCs w:val="21"/>
                <w:highlight w:val="none"/>
                <w:u w:val="none" w:color="auto"/>
              </w:rPr>
              <w:t>生产过程风险源识别</w:t>
            </w:r>
          </w:p>
          <w:tbl>
            <w:tblPr>
              <w:tblStyle w:val="31"/>
              <w:tblW w:w="8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73"/>
              <w:gridCol w:w="1560"/>
              <w:gridCol w:w="4868"/>
            </w:tblGrid>
            <w:tr w14:paraId="6FC2C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673" w:type="dxa"/>
                  <w:noWrap w:val="0"/>
                  <w:vAlign w:val="center"/>
                </w:tcPr>
                <w:p w14:paraId="6E58C945">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cs="Times New Roman"/>
                      <w:color w:val="auto"/>
                      <w:highlight w:val="none"/>
                      <w:u w:val="none" w:color="auto"/>
                      <w:lang w:eastAsia="zh-CN"/>
                    </w:rPr>
                  </w:pPr>
                  <w:r>
                    <w:rPr>
                      <w:rFonts w:hint="default" w:ascii="Times New Roman" w:hAnsi="Times New Roman" w:cs="Times New Roman"/>
                      <w:bCs/>
                      <w:color w:val="auto"/>
                      <w:sz w:val="21"/>
                      <w:szCs w:val="21"/>
                      <w:highlight w:val="none"/>
                      <w:u w:val="none" w:color="auto"/>
                      <w:lang w:eastAsia="zh-CN"/>
                    </w:rPr>
                    <w:t>危险物质</w:t>
                  </w:r>
                </w:p>
              </w:tc>
              <w:tc>
                <w:tcPr>
                  <w:tcW w:w="1560" w:type="dxa"/>
                  <w:noWrap w:val="0"/>
                  <w:vAlign w:val="center"/>
                </w:tcPr>
                <w:p w14:paraId="00592A80">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cs="Times New Roman"/>
                      <w:color w:val="auto"/>
                      <w:highlight w:val="none"/>
                      <w:u w:val="none" w:color="auto"/>
                      <w:lang w:eastAsia="zh-CN"/>
                    </w:rPr>
                  </w:pPr>
                  <w:r>
                    <w:rPr>
                      <w:rFonts w:hint="default" w:ascii="Times New Roman" w:hAnsi="Times New Roman" w:cs="Times New Roman"/>
                      <w:bCs/>
                      <w:color w:val="auto"/>
                      <w:sz w:val="21"/>
                      <w:szCs w:val="21"/>
                      <w:highlight w:val="none"/>
                      <w:u w:val="none" w:color="auto"/>
                      <w:lang w:eastAsia="zh-CN"/>
                    </w:rPr>
                    <w:t>风险源分布情况</w:t>
                  </w:r>
                </w:p>
              </w:tc>
              <w:tc>
                <w:tcPr>
                  <w:tcW w:w="4868" w:type="dxa"/>
                  <w:noWrap w:val="0"/>
                  <w:vAlign w:val="center"/>
                </w:tcPr>
                <w:p w14:paraId="4689534B">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cs="Times New Roman"/>
                      <w:color w:val="auto"/>
                      <w:highlight w:val="none"/>
                      <w:u w:val="none" w:color="auto"/>
                      <w:lang w:eastAsia="zh-CN"/>
                    </w:rPr>
                  </w:pPr>
                  <w:r>
                    <w:rPr>
                      <w:rFonts w:hint="default" w:ascii="Times New Roman" w:hAnsi="Times New Roman" w:cs="Times New Roman"/>
                      <w:bCs/>
                      <w:color w:val="auto"/>
                      <w:sz w:val="21"/>
                      <w:szCs w:val="21"/>
                      <w:highlight w:val="none"/>
                      <w:u w:val="none" w:color="auto"/>
                      <w:lang w:eastAsia="zh-CN"/>
                    </w:rPr>
                    <w:t>可能影响的途径</w:t>
                  </w:r>
                </w:p>
              </w:tc>
            </w:tr>
            <w:tr w14:paraId="75BB5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673" w:type="dxa"/>
                  <w:noWrap w:val="0"/>
                  <w:vAlign w:val="center"/>
                </w:tcPr>
                <w:p w14:paraId="4166180F">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cs="Times New Roman"/>
                      <w:bCs/>
                      <w:color w:val="auto"/>
                      <w:sz w:val="21"/>
                      <w:szCs w:val="21"/>
                      <w:highlight w:val="none"/>
                      <w:u w:val="none" w:color="auto"/>
                      <w:lang w:val="en-US" w:eastAsia="zh-CN"/>
                    </w:rPr>
                  </w:pPr>
                  <w:r>
                    <w:rPr>
                      <w:rFonts w:hint="default" w:ascii="Times New Roman" w:hAnsi="Times New Roman" w:cs="Times New Roman"/>
                      <w:bCs/>
                      <w:color w:val="auto"/>
                      <w:sz w:val="21"/>
                      <w:szCs w:val="21"/>
                      <w:highlight w:val="none"/>
                      <w:u w:val="none" w:color="auto"/>
                      <w:lang w:eastAsia="zh-CN"/>
                    </w:rPr>
                    <w:t>油漆、稀释剂、</w:t>
                  </w:r>
                  <w:r>
                    <w:rPr>
                      <w:rFonts w:hint="eastAsia" w:ascii="Times New Roman" w:hAnsi="Times New Roman" w:cs="Times New Roman"/>
                      <w:bCs/>
                      <w:color w:val="auto"/>
                      <w:sz w:val="21"/>
                      <w:szCs w:val="21"/>
                      <w:highlight w:val="none"/>
                      <w:u w:val="none" w:color="auto"/>
                      <w:lang w:val="en-US" w:eastAsia="zh-CN"/>
                    </w:rPr>
                    <w:t>固化剂、</w:t>
                  </w:r>
                  <w:r>
                    <w:rPr>
                      <w:rFonts w:hint="default" w:ascii="Times New Roman" w:hAnsi="Times New Roman" w:cs="Times New Roman"/>
                      <w:bCs/>
                      <w:color w:val="auto"/>
                      <w:szCs w:val="21"/>
                      <w:highlight w:val="none"/>
                      <w:u w:val="none" w:color="auto"/>
                      <w:lang w:eastAsia="zh-CN"/>
                    </w:rPr>
                    <w:t>润滑油</w:t>
                  </w:r>
                  <w:r>
                    <w:rPr>
                      <w:rFonts w:hint="eastAsia" w:ascii="Times New Roman" w:hAnsi="Times New Roman" w:cs="Times New Roman"/>
                      <w:bCs/>
                      <w:color w:val="auto"/>
                      <w:szCs w:val="21"/>
                      <w:highlight w:val="none"/>
                      <w:u w:val="none" w:color="auto"/>
                      <w:lang w:val="en-US" w:eastAsia="zh-CN"/>
                    </w:rPr>
                    <w:t>等</w:t>
                  </w:r>
                </w:p>
              </w:tc>
              <w:tc>
                <w:tcPr>
                  <w:tcW w:w="1560" w:type="dxa"/>
                  <w:noWrap w:val="0"/>
                  <w:vAlign w:val="center"/>
                </w:tcPr>
                <w:p w14:paraId="6A4C3152">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cs="Times New Roman"/>
                      <w:bCs/>
                      <w:color w:val="auto"/>
                      <w:sz w:val="21"/>
                      <w:szCs w:val="21"/>
                      <w:highlight w:val="none"/>
                      <w:u w:val="none" w:color="auto"/>
                      <w:lang w:val="en-US" w:eastAsia="zh-CN"/>
                    </w:rPr>
                  </w:pPr>
                  <w:r>
                    <w:rPr>
                      <w:rFonts w:hint="eastAsia" w:ascii="Times New Roman" w:hAnsi="Times New Roman" w:cs="Times New Roman"/>
                      <w:bCs/>
                      <w:color w:val="auto"/>
                      <w:sz w:val="21"/>
                      <w:szCs w:val="21"/>
                      <w:highlight w:val="none"/>
                      <w:u w:val="none" w:color="auto"/>
                      <w:lang w:val="en-US" w:eastAsia="zh-CN"/>
                    </w:rPr>
                    <w:t>化学品仓库</w:t>
                  </w:r>
                </w:p>
              </w:tc>
              <w:tc>
                <w:tcPr>
                  <w:tcW w:w="4868" w:type="dxa"/>
                  <w:noWrap w:val="0"/>
                  <w:vAlign w:val="center"/>
                </w:tcPr>
                <w:p w14:paraId="1F5D8F8B">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cs="Times New Roman"/>
                      <w:bCs/>
                      <w:color w:val="auto"/>
                      <w:sz w:val="21"/>
                      <w:szCs w:val="21"/>
                      <w:highlight w:val="none"/>
                      <w:u w:val="none" w:color="auto"/>
                      <w:lang w:eastAsia="zh-CN"/>
                    </w:rPr>
                  </w:pPr>
                  <w:r>
                    <w:rPr>
                      <w:rFonts w:hint="default" w:ascii="Times New Roman" w:hAnsi="Times New Roman" w:cs="Times New Roman"/>
                      <w:bCs/>
                      <w:color w:val="auto"/>
                      <w:sz w:val="21"/>
                      <w:szCs w:val="21"/>
                      <w:highlight w:val="none"/>
                      <w:u w:val="none" w:color="auto"/>
                      <w:lang w:eastAsia="zh-CN"/>
                    </w:rPr>
                    <w:t>贮存系统有害物质泄漏，对土壤、地下水产生影响；火灾等次生环境污染对环境空气的影响</w:t>
                  </w:r>
                </w:p>
              </w:tc>
            </w:tr>
            <w:tr w14:paraId="53096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673" w:type="dxa"/>
                  <w:noWrap w:val="0"/>
                  <w:vAlign w:val="center"/>
                </w:tcPr>
                <w:p w14:paraId="5E496E4F">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cs="Times New Roman"/>
                      <w:color w:val="auto"/>
                      <w:highlight w:val="none"/>
                      <w:u w:val="none" w:color="auto"/>
                      <w:lang w:eastAsia="zh-CN"/>
                    </w:rPr>
                  </w:pPr>
                  <w:r>
                    <w:rPr>
                      <w:rFonts w:hint="default" w:ascii="Times New Roman" w:hAnsi="Times New Roman" w:cs="Times New Roman"/>
                      <w:color w:val="auto"/>
                      <w:sz w:val="21"/>
                      <w:szCs w:val="21"/>
                      <w:highlight w:val="none"/>
                      <w:u w:val="none" w:color="auto"/>
                      <w:lang w:eastAsia="zh-CN"/>
                    </w:rPr>
                    <w:t>危险废物</w:t>
                  </w:r>
                </w:p>
              </w:tc>
              <w:tc>
                <w:tcPr>
                  <w:tcW w:w="1560" w:type="dxa"/>
                  <w:noWrap w:val="0"/>
                  <w:vAlign w:val="center"/>
                </w:tcPr>
                <w:p w14:paraId="715E57AE">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cs="Times New Roman"/>
                      <w:color w:val="auto"/>
                      <w:highlight w:val="none"/>
                      <w:u w:val="none" w:color="auto"/>
                      <w:lang w:eastAsia="zh-CN"/>
                    </w:rPr>
                  </w:pPr>
                  <w:r>
                    <w:rPr>
                      <w:rFonts w:hint="default" w:ascii="Times New Roman" w:hAnsi="Times New Roman" w:cs="Times New Roman"/>
                      <w:color w:val="auto"/>
                      <w:sz w:val="21"/>
                      <w:szCs w:val="21"/>
                      <w:highlight w:val="none"/>
                      <w:u w:val="none" w:color="auto"/>
                      <w:lang w:eastAsia="zh-CN"/>
                    </w:rPr>
                    <w:t>危废暂存间</w:t>
                  </w:r>
                </w:p>
              </w:tc>
              <w:tc>
                <w:tcPr>
                  <w:tcW w:w="4868" w:type="dxa"/>
                  <w:noWrap w:val="0"/>
                  <w:vAlign w:val="center"/>
                </w:tcPr>
                <w:p w14:paraId="17069AE9">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cs="Times New Roman"/>
                      <w:color w:val="auto"/>
                      <w:highlight w:val="none"/>
                      <w:u w:val="none" w:color="auto"/>
                      <w:lang w:eastAsia="zh-CN"/>
                    </w:rPr>
                  </w:pPr>
                  <w:r>
                    <w:rPr>
                      <w:rFonts w:hint="default" w:ascii="Times New Roman" w:hAnsi="Times New Roman" w:cs="Times New Roman"/>
                      <w:color w:val="auto"/>
                      <w:spacing w:val="-5"/>
                      <w:sz w:val="21"/>
                      <w:szCs w:val="21"/>
                      <w:highlight w:val="none"/>
                      <w:u w:val="none" w:color="auto"/>
                      <w:lang w:eastAsia="zh-CN"/>
                    </w:rPr>
                    <w:t>危废暂存间</w:t>
                  </w:r>
                  <w:r>
                    <w:rPr>
                      <w:rFonts w:hint="default" w:ascii="Times New Roman" w:hAnsi="Times New Roman" w:cs="Times New Roman"/>
                      <w:color w:val="auto"/>
                      <w:sz w:val="21"/>
                      <w:szCs w:val="21"/>
                      <w:highlight w:val="none"/>
                      <w:u w:val="none" w:color="auto"/>
                      <w:lang w:eastAsia="zh-CN"/>
                    </w:rPr>
                    <w:t>可能会发生危废泄漏，可能污染土壤</w:t>
                  </w:r>
                </w:p>
              </w:tc>
            </w:tr>
            <w:tr w14:paraId="09ECD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673" w:type="dxa"/>
                  <w:shd w:val="clear" w:color="auto" w:fill="auto"/>
                  <w:noWrap w:val="0"/>
                  <w:vAlign w:val="center"/>
                </w:tcPr>
                <w:p w14:paraId="58F0D1B9">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液化石油气</w:t>
                  </w:r>
                </w:p>
              </w:tc>
              <w:tc>
                <w:tcPr>
                  <w:tcW w:w="1560" w:type="dxa"/>
                  <w:noWrap w:val="0"/>
                  <w:vAlign w:val="center"/>
                </w:tcPr>
                <w:p w14:paraId="4F4EB733">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加气站</w:t>
                  </w:r>
                </w:p>
              </w:tc>
              <w:tc>
                <w:tcPr>
                  <w:tcW w:w="4868" w:type="dxa"/>
                  <w:shd w:val="clear" w:color="auto" w:fill="auto"/>
                  <w:noWrap w:val="0"/>
                  <w:vAlign w:val="center"/>
                </w:tcPr>
                <w:p w14:paraId="4B6C8F7D">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eastAsia="宋体" w:cs="Times New Roman"/>
                      <w:bCs/>
                      <w:color w:val="auto"/>
                      <w:kern w:val="2"/>
                      <w:sz w:val="21"/>
                      <w:szCs w:val="21"/>
                      <w:highlight w:val="none"/>
                      <w:u w:val="none" w:color="auto"/>
                      <w:lang w:val="zh-CN" w:eastAsia="zh-CN" w:bidi="zh-CN"/>
                    </w:rPr>
                  </w:pPr>
                  <w:r>
                    <w:rPr>
                      <w:rFonts w:hint="eastAsia" w:ascii="Times New Roman" w:hAnsi="Times New Roman" w:cs="Times New Roman"/>
                      <w:bCs/>
                      <w:color w:val="auto"/>
                      <w:sz w:val="21"/>
                      <w:szCs w:val="21"/>
                      <w:highlight w:val="none"/>
                      <w:u w:val="none" w:color="auto"/>
                      <w:lang w:val="en-US" w:eastAsia="zh-CN"/>
                    </w:rPr>
                    <w:t>液化石油气泄漏可能会引发火灾或爆炸</w:t>
                  </w:r>
                  <w:r>
                    <w:rPr>
                      <w:rFonts w:hint="default" w:ascii="Times New Roman" w:hAnsi="Times New Roman" w:cs="Times New Roman"/>
                      <w:bCs/>
                      <w:color w:val="auto"/>
                      <w:sz w:val="21"/>
                      <w:szCs w:val="21"/>
                      <w:highlight w:val="none"/>
                      <w:u w:val="none" w:color="auto"/>
                      <w:lang w:eastAsia="zh-CN"/>
                    </w:rPr>
                    <w:t>；火灾等次生环境污染对环境空气的影响</w:t>
                  </w:r>
                </w:p>
              </w:tc>
            </w:tr>
            <w:tr w14:paraId="7FB75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673" w:type="dxa"/>
                  <w:noWrap w:val="0"/>
                  <w:vAlign w:val="center"/>
                </w:tcPr>
                <w:p w14:paraId="6C3BFD41">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cs="Times New Roman"/>
                      <w:color w:val="auto"/>
                      <w:highlight w:val="none"/>
                      <w:u w:val="none" w:color="auto"/>
                      <w:lang w:eastAsia="zh-CN"/>
                    </w:rPr>
                  </w:pPr>
                  <w:r>
                    <w:rPr>
                      <w:rFonts w:hint="default" w:ascii="Times New Roman" w:hAnsi="Times New Roman" w:cs="Times New Roman"/>
                      <w:color w:val="auto"/>
                      <w:sz w:val="21"/>
                      <w:szCs w:val="21"/>
                      <w:highlight w:val="none"/>
                      <w:u w:val="none" w:color="auto"/>
                      <w:lang w:eastAsia="zh-CN"/>
                    </w:rPr>
                    <w:t>火灾事故次生污染物次生</w:t>
                  </w:r>
                </w:p>
              </w:tc>
              <w:tc>
                <w:tcPr>
                  <w:tcW w:w="1560" w:type="dxa"/>
                  <w:noWrap w:val="0"/>
                  <w:vAlign w:val="center"/>
                </w:tcPr>
                <w:p w14:paraId="638CAC65">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cs="Times New Roman"/>
                      <w:color w:val="auto"/>
                      <w:highlight w:val="none"/>
                      <w:u w:val="none" w:color="auto"/>
                      <w:lang w:eastAsia="zh-CN"/>
                    </w:rPr>
                  </w:pPr>
                  <w:r>
                    <w:rPr>
                      <w:rFonts w:hint="eastAsia" w:ascii="Times New Roman" w:hAnsi="Times New Roman" w:cs="Times New Roman"/>
                      <w:color w:val="auto"/>
                      <w:sz w:val="21"/>
                      <w:szCs w:val="21"/>
                      <w:highlight w:val="none"/>
                      <w:u w:val="none" w:color="auto"/>
                      <w:lang w:val="en-US" w:eastAsia="zh-CN"/>
                    </w:rPr>
                    <w:t>厂房</w:t>
                  </w:r>
                  <w:r>
                    <w:rPr>
                      <w:rFonts w:hint="default" w:ascii="Times New Roman" w:hAnsi="Times New Roman" w:cs="Times New Roman"/>
                      <w:color w:val="auto"/>
                      <w:sz w:val="21"/>
                      <w:szCs w:val="21"/>
                      <w:highlight w:val="none"/>
                      <w:u w:val="none" w:color="auto"/>
                      <w:lang w:eastAsia="zh-CN"/>
                    </w:rPr>
                    <w:t>、喷涂区</w:t>
                  </w:r>
                </w:p>
              </w:tc>
              <w:tc>
                <w:tcPr>
                  <w:tcW w:w="4868" w:type="dxa"/>
                  <w:noWrap w:val="0"/>
                  <w:vAlign w:val="center"/>
                </w:tcPr>
                <w:p w14:paraId="624C369C">
                  <w:pPr>
                    <w:pStyle w:val="42"/>
                    <w:keepNext w:val="0"/>
                    <w:keepLines w:val="0"/>
                    <w:pageBreakBefore w:val="0"/>
                    <w:widowControl w:val="0"/>
                    <w:kinsoku w:val="0"/>
                    <w:wordWrap/>
                    <w:overflowPunct w:val="0"/>
                    <w:topLinePunct w:val="0"/>
                    <w:autoSpaceDE/>
                    <w:autoSpaceDN/>
                    <w:bidi w:val="0"/>
                    <w:adjustRightInd/>
                    <w:snapToGrid/>
                    <w:spacing w:line="320" w:lineRule="exact"/>
                    <w:jc w:val="center"/>
                    <w:textAlignment w:val="auto"/>
                    <w:rPr>
                      <w:rFonts w:hint="default" w:ascii="Times New Roman" w:hAnsi="Times New Roman" w:cs="Times New Roman"/>
                      <w:color w:val="auto"/>
                      <w:sz w:val="21"/>
                      <w:szCs w:val="21"/>
                      <w:highlight w:val="none"/>
                      <w:u w:val="none" w:color="auto"/>
                      <w:lang w:eastAsia="zh-CN"/>
                    </w:rPr>
                  </w:pPr>
                  <w:r>
                    <w:rPr>
                      <w:rFonts w:hint="default" w:ascii="Times New Roman" w:hAnsi="Times New Roman" w:cs="Times New Roman"/>
                      <w:color w:val="auto"/>
                      <w:spacing w:val="-5"/>
                      <w:sz w:val="21"/>
                      <w:szCs w:val="21"/>
                      <w:highlight w:val="none"/>
                      <w:u w:val="none" w:color="auto"/>
                      <w:lang w:eastAsia="zh-CN"/>
                    </w:rPr>
                    <w:t>厂房发生火灾产生的燃烧烟气、消防废水等次生</w:t>
                  </w:r>
                  <w:r>
                    <w:rPr>
                      <w:rFonts w:hint="eastAsia" w:ascii="Times New Roman" w:hAnsi="Times New Roman" w:cs="Times New Roman"/>
                      <w:color w:val="auto"/>
                      <w:spacing w:val="-5"/>
                      <w:sz w:val="21"/>
                      <w:szCs w:val="21"/>
                      <w:highlight w:val="none"/>
                      <w:u w:val="none" w:color="auto"/>
                      <w:lang w:val="en-US" w:eastAsia="zh-CN"/>
                    </w:rPr>
                    <w:t>污染</w:t>
                  </w:r>
                  <w:r>
                    <w:rPr>
                      <w:rFonts w:hint="default" w:ascii="Times New Roman" w:hAnsi="Times New Roman" w:cs="Times New Roman"/>
                      <w:color w:val="auto"/>
                      <w:spacing w:val="-5"/>
                      <w:sz w:val="21"/>
                      <w:szCs w:val="21"/>
                      <w:highlight w:val="none"/>
                      <w:u w:val="none" w:color="auto"/>
                      <w:lang w:eastAsia="zh-CN"/>
                    </w:rPr>
                    <w:t>，</w:t>
                  </w:r>
                  <w:r>
                    <w:rPr>
                      <w:rFonts w:hint="default" w:ascii="Times New Roman" w:hAnsi="Times New Roman" w:cs="Times New Roman"/>
                      <w:color w:val="auto"/>
                      <w:sz w:val="21"/>
                      <w:szCs w:val="21"/>
                      <w:highlight w:val="none"/>
                      <w:u w:val="none" w:color="auto"/>
                      <w:lang w:eastAsia="zh-CN"/>
                    </w:rPr>
                    <w:t>可能污染周围土壤、水体及环境空气</w:t>
                  </w:r>
                </w:p>
              </w:tc>
            </w:tr>
          </w:tbl>
          <w:p w14:paraId="63A00154">
            <w:pPr>
              <w:keepNext w:val="0"/>
              <w:keepLines w:val="0"/>
              <w:pageBreakBefore w:val="0"/>
              <w:widowControl w:val="0"/>
              <w:kinsoku/>
              <w:wordWrap/>
              <w:overflowPunct/>
              <w:topLinePunct w:val="0"/>
              <w:autoSpaceDE/>
              <w:autoSpaceDN/>
              <w:bidi w:val="0"/>
              <w:adjustRightInd/>
              <w:spacing w:line="400" w:lineRule="exact"/>
              <w:ind w:firstLine="482" w:firstLineChars="200"/>
              <w:textAlignment w:val="auto"/>
              <w:rPr>
                <w:rFonts w:hint="default" w:ascii="Times New Roman" w:hAnsi="Times New Roman" w:eastAsia="宋体" w:cs="Times New Roman"/>
                <w:b/>
                <w:bCs w:val="0"/>
                <w:color w:val="auto"/>
                <w:sz w:val="24"/>
                <w:highlight w:val="none"/>
                <w:u w:val="none" w:color="auto"/>
              </w:rPr>
            </w:pPr>
            <w:r>
              <w:rPr>
                <w:rFonts w:hint="eastAsia" w:ascii="Times New Roman" w:hAnsi="Times New Roman" w:eastAsia="宋体" w:cs="Times New Roman"/>
                <w:b/>
                <w:bCs w:val="0"/>
                <w:color w:val="auto"/>
                <w:sz w:val="24"/>
                <w:highlight w:val="none"/>
                <w:u w:val="none" w:color="auto"/>
                <w:lang w:val="en-US" w:eastAsia="zh-CN"/>
              </w:rPr>
              <w:t>2、</w:t>
            </w:r>
            <w:r>
              <w:rPr>
                <w:rFonts w:hint="default" w:ascii="Times New Roman" w:hAnsi="Times New Roman" w:eastAsia="宋体" w:cs="Times New Roman"/>
                <w:b/>
                <w:bCs w:val="0"/>
                <w:color w:val="auto"/>
                <w:sz w:val="24"/>
                <w:highlight w:val="none"/>
                <w:u w:val="none" w:color="auto"/>
              </w:rPr>
              <w:t>环境风险防范措施</w:t>
            </w:r>
          </w:p>
          <w:p w14:paraId="7C43EEDA">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default" w:ascii="Times New Roman" w:hAnsi="Times New Roman" w:eastAsia="宋体" w:cs="Times New Roman"/>
                <w:b w:val="0"/>
                <w:bCs/>
                <w:color w:val="auto"/>
                <w:kern w:val="21"/>
                <w:sz w:val="24"/>
                <w:highlight w:val="none"/>
                <w:u w:val="none" w:color="auto"/>
              </w:rPr>
            </w:pPr>
            <w:r>
              <w:rPr>
                <w:rFonts w:hint="default" w:ascii="Times New Roman" w:hAnsi="Times New Roman" w:eastAsia="宋体" w:cs="Times New Roman"/>
                <w:b w:val="0"/>
                <w:bCs/>
                <w:color w:val="auto"/>
                <w:kern w:val="21"/>
                <w:sz w:val="24"/>
                <w:highlight w:val="none"/>
                <w:u w:val="none" w:color="auto"/>
              </w:rPr>
              <w:t>（1）物料贮存风险防范措施</w:t>
            </w:r>
          </w:p>
          <w:p w14:paraId="6CAE997E">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default" w:ascii="Times New Roman" w:hAnsi="Times New Roman" w:eastAsia="宋体" w:cs="Times New Roman"/>
                <w:b w:val="0"/>
                <w:bCs/>
                <w:color w:val="auto"/>
                <w:sz w:val="24"/>
                <w:highlight w:val="none"/>
                <w:u w:val="none" w:color="auto"/>
              </w:rPr>
            </w:pPr>
            <w:r>
              <w:rPr>
                <w:rFonts w:hint="default" w:ascii="Times New Roman" w:hAnsi="Times New Roman" w:eastAsia="宋体" w:cs="Times New Roman"/>
                <w:b w:val="0"/>
                <w:bCs/>
                <w:color w:val="auto"/>
                <w:sz w:val="24"/>
                <w:highlight w:val="none"/>
                <w:u w:val="none" w:color="auto"/>
              </w:rPr>
              <w:t>厂区内的化学品主要为铁桶装、塑料桶装，一般化学品桶容积为</w:t>
            </w:r>
            <w:r>
              <w:rPr>
                <w:rFonts w:hint="default" w:ascii="Times New Roman" w:hAnsi="Times New Roman" w:eastAsia="宋体" w:cs="Times New Roman"/>
                <w:b w:val="0"/>
                <w:bCs/>
                <w:color w:val="auto"/>
                <w:sz w:val="24"/>
                <w:highlight w:val="none"/>
                <w:u w:val="none" w:color="auto"/>
                <w:lang w:val="en-US" w:eastAsia="zh-CN"/>
              </w:rPr>
              <w:t>15</w:t>
            </w:r>
            <w:r>
              <w:rPr>
                <w:rFonts w:hint="eastAsia" w:cs="Times New Roman"/>
                <w:b w:val="0"/>
                <w:bCs/>
                <w:color w:val="auto"/>
                <w:sz w:val="24"/>
                <w:highlight w:val="none"/>
                <w:u w:val="none" w:color="auto"/>
                <w:lang w:val="en-US" w:eastAsia="zh-CN"/>
              </w:rPr>
              <w:t>～</w:t>
            </w:r>
            <w:r>
              <w:rPr>
                <w:rFonts w:hint="default" w:ascii="Times New Roman" w:hAnsi="Times New Roman" w:eastAsia="宋体" w:cs="Times New Roman"/>
                <w:b w:val="0"/>
                <w:bCs/>
                <w:color w:val="auto"/>
                <w:sz w:val="24"/>
                <w:highlight w:val="none"/>
                <w:u w:val="none" w:color="auto"/>
                <w:lang w:val="en-US" w:eastAsia="zh-CN"/>
              </w:rPr>
              <w:t>28</w:t>
            </w:r>
            <w:r>
              <w:rPr>
                <w:rFonts w:hint="default" w:ascii="Times New Roman" w:hAnsi="Times New Roman" w:eastAsia="宋体" w:cs="Times New Roman"/>
                <w:b w:val="0"/>
                <w:bCs/>
                <w:color w:val="auto"/>
                <w:sz w:val="24"/>
                <w:highlight w:val="none"/>
                <w:u w:val="none" w:color="auto"/>
              </w:rPr>
              <w:t>L，主要为油漆、稀释剂、</w:t>
            </w:r>
            <w:r>
              <w:rPr>
                <w:rFonts w:hint="eastAsia" w:cs="Times New Roman"/>
                <w:b w:val="0"/>
                <w:bCs/>
                <w:color w:val="auto"/>
                <w:sz w:val="24"/>
                <w:highlight w:val="none"/>
                <w:u w:val="none" w:color="auto"/>
                <w:lang w:val="en-US" w:eastAsia="zh-CN"/>
              </w:rPr>
              <w:t>固化剂、</w:t>
            </w:r>
            <w:r>
              <w:rPr>
                <w:rFonts w:hint="eastAsia" w:ascii="Times New Roman" w:hAnsi="Times New Roman" w:eastAsia="宋体" w:cs="Times New Roman"/>
                <w:b w:val="0"/>
                <w:bCs/>
                <w:color w:val="auto"/>
                <w:sz w:val="24"/>
                <w:highlight w:val="none"/>
                <w:u w:val="none" w:color="auto"/>
                <w:lang w:val="en-US" w:eastAsia="zh-CN"/>
              </w:rPr>
              <w:t>润滑油</w:t>
            </w:r>
            <w:r>
              <w:rPr>
                <w:rFonts w:hint="default" w:ascii="Times New Roman" w:hAnsi="Times New Roman" w:eastAsia="宋体" w:cs="Times New Roman"/>
                <w:b w:val="0"/>
                <w:bCs/>
                <w:color w:val="auto"/>
                <w:sz w:val="24"/>
                <w:highlight w:val="none"/>
                <w:u w:val="none" w:color="auto"/>
              </w:rPr>
              <w:t>等暂存。在厂区</w:t>
            </w:r>
            <w:r>
              <w:rPr>
                <w:rFonts w:hint="default" w:ascii="Times New Roman" w:hAnsi="Times New Roman" w:eastAsia="宋体" w:cs="Times New Roman"/>
                <w:b w:val="0"/>
                <w:bCs/>
                <w:color w:val="auto"/>
                <w:sz w:val="24"/>
                <w:highlight w:val="none"/>
                <w:u w:val="none" w:color="auto"/>
                <w:lang w:val="en-US" w:eastAsia="zh-CN"/>
              </w:rPr>
              <w:t>内</w:t>
            </w:r>
            <w:r>
              <w:rPr>
                <w:rFonts w:hint="default" w:ascii="Times New Roman" w:hAnsi="Times New Roman" w:eastAsia="宋体" w:cs="Times New Roman"/>
                <w:b w:val="0"/>
                <w:bCs/>
                <w:color w:val="auto"/>
                <w:sz w:val="24"/>
                <w:highlight w:val="none"/>
                <w:u w:val="none" w:color="auto"/>
              </w:rPr>
              <w:t>设有</w:t>
            </w:r>
            <w:r>
              <w:rPr>
                <w:rFonts w:hint="eastAsia" w:cs="Times New Roman"/>
                <w:b w:val="0"/>
                <w:bCs/>
                <w:color w:val="auto"/>
                <w:sz w:val="24"/>
                <w:highlight w:val="none"/>
                <w:u w:val="none" w:color="auto"/>
                <w:lang w:val="en-US" w:eastAsia="zh-CN"/>
              </w:rPr>
              <w:t>油漆房</w:t>
            </w:r>
            <w:r>
              <w:rPr>
                <w:rFonts w:hint="default" w:ascii="Times New Roman" w:hAnsi="Times New Roman" w:eastAsia="宋体" w:cs="Times New Roman"/>
                <w:b w:val="0"/>
                <w:bCs/>
                <w:color w:val="auto"/>
                <w:sz w:val="24"/>
                <w:highlight w:val="none"/>
                <w:u w:val="none" w:color="auto"/>
              </w:rPr>
              <w:t>，作为专门的</w:t>
            </w:r>
            <w:r>
              <w:rPr>
                <w:rFonts w:hint="eastAsia" w:cs="Times New Roman"/>
                <w:b w:val="0"/>
                <w:bCs/>
                <w:color w:val="auto"/>
                <w:sz w:val="24"/>
                <w:highlight w:val="none"/>
                <w:u w:val="none" w:color="auto"/>
                <w:lang w:val="en-US" w:eastAsia="zh-CN"/>
              </w:rPr>
              <w:t>油漆</w:t>
            </w:r>
            <w:r>
              <w:rPr>
                <w:rFonts w:hint="default" w:ascii="Times New Roman" w:hAnsi="Times New Roman" w:eastAsia="宋体" w:cs="Times New Roman"/>
                <w:b w:val="0"/>
                <w:bCs/>
                <w:color w:val="auto"/>
                <w:sz w:val="24"/>
                <w:highlight w:val="none"/>
                <w:u w:val="none" w:color="auto"/>
              </w:rPr>
              <w:t>暂存间，配备有防泄漏托盘</w:t>
            </w:r>
            <w:r>
              <w:rPr>
                <w:rFonts w:hint="default" w:ascii="Times New Roman" w:hAnsi="Times New Roman" w:eastAsia="宋体" w:cs="Times New Roman"/>
                <w:b w:val="0"/>
                <w:bCs/>
                <w:color w:val="auto"/>
                <w:sz w:val="24"/>
                <w:highlight w:val="none"/>
                <w:u w:val="none" w:color="auto"/>
                <w:lang w:eastAsia="zh-CN"/>
              </w:rPr>
              <w:t>，</w:t>
            </w:r>
            <w:r>
              <w:rPr>
                <w:rFonts w:hint="default" w:ascii="Times New Roman" w:hAnsi="Times New Roman" w:eastAsia="宋体" w:cs="Times New Roman"/>
                <w:b w:val="0"/>
                <w:bCs/>
                <w:color w:val="auto"/>
                <w:sz w:val="24"/>
                <w:highlight w:val="none"/>
                <w:u w:val="none" w:color="auto"/>
              </w:rPr>
              <w:t>化学品暂存间均按重点防渗区要求进行硬化处理，并涂敷防腐、防渗材料。</w:t>
            </w:r>
          </w:p>
          <w:p w14:paraId="43689954">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default" w:ascii="Times New Roman" w:hAnsi="Times New Roman" w:eastAsia="宋体" w:cs="Times New Roman"/>
                <w:b w:val="0"/>
                <w:bCs/>
                <w:color w:val="auto"/>
                <w:sz w:val="24"/>
                <w:highlight w:val="none"/>
                <w:u w:val="none" w:color="auto"/>
              </w:rPr>
            </w:pPr>
            <w:r>
              <w:rPr>
                <w:rFonts w:hint="eastAsia" w:cs="Times New Roman"/>
                <w:b w:val="0"/>
                <w:bCs/>
                <w:color w:val="auto"/>
                <w:sz w:val="24"/>
                <w:highlight w:val="none"/>
                <w:u w:val="none" w:color="auto"/>
                <w:lang w:val="en-US" w:eastAsia="zh-CN"/>
              </w:rPr>
              <w:t>油漆房</w:t>
            </w:r>
            <w:r>
              <w:rPr>
                <w:rFonts w:hint="default" w:ascii="Times New Roman" w:hAnsi="Times New Roman" w:eastAsia="宋体" w:cs="Times New Roman"/>
                <w:b w:val="0"/>
                <w:bCs/>
                <w:color w:val="auto"/>
                <w:sz w:val="24"/>
                <w:highlight w:val="none"/>
                <w:u w:val="none" w:color="auto"/>
              </w:rPr>
              <w:t>实行安全管理；设立明显警示</w:t>
            </w:r>
            <w:r>
              <w:rPr>
                <w:rFonts w:hint="eastAsia" w:cs="Times New Roman"/>
                <w:b w:val="0"/>
                <w:bCs/>
                <w:color w:val="auto"/>
                <w:sz w:val="24"/>
                <w:highlight w:val="none"/>
                <w:u w:val="none" w:color="auto"/>
                <w:lang w:eastAsia="zh-CN"/>
              </w:rPr>
              <w:t>标志</w:t>
            </w:r>
            <w:r>
              <w:rPr>
                <w:rFonts w:hint="default" w:ascii="Times New Roman" w:hAnsi="Times New Roman" w:eastAsia="宋体" w:cs="Times New Roman"/>
                <w:b w:val="0"/>
                <w:bCs/>
                <w:color w:val="auto"/>
                <w:sz w:val="24"/>
                <w:highlight w:val="none"/>
                <w:u w:val="none" w:color="auto"/>
              </w:rPr>
              <w:t>、警示线及警示说明，</w:t>
            </w:r>
            <w:r>
              <w:rPr>
                <w:rFonts w:hint="eastAsia" w:cs="Times New Roman"/>
                <w:b w:val="0"/>
                <w:bCs/>
                <w:color w:val="auto"/>
                <w:sz w:val="24"/>
                <w:highlight w:val="none"/>
                <w:u w:val="none" w:color="auto"/>
                <w:lang w:val="en-US" w:eastAsia="zh-CN"/>
              </w:rPr>
              <w:t>油漆房</w:t>
            </w:r>
            <w:r>
              <w:rPr>
                <w:rFonts w:hint="default" w:ascii="Times New Roman" w:hAnsi="Times New Roman" w:eastAsia="宋体" w:cs="Times New Roman"/>
                <w:b w:val="0"/>
                <w:bCs/>
                <w:color w:val="auto"/>
                <w:sz w:val="24"/>
                <w:highlight w:val="none"/>
                <w:u w:val="none" w:color="auto"/>
              </w:rPr>
              <w:t>按照规定设立应急通道和进入口，按照物质的理化性质分区、分库存储，并配备有监控；危险化学品安排专人管理，建立物料申领审批负责制度；储备足够的泄漏应急处理设备、物资和灭火器材。救援物资常备，防护物资以及各种消防器材保存在指定仓库内及危化品暂存区，专人保管，随时可用。</w:t>
            </w:r>
          </w:p>
          <w:p w14:paraId="618F0F43">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default" w:ascii="Times New Roman" w:hAnsi="Times New Roman" w:eastAsia="宋体" w:cs="Times New Roman"/>
                <w:b w:val="0"/>
                <w:bCs/>
                <w:color w:val="auto"/>
                <w:kern w:val="21"/>
                <w:sz w:val="24"/>
                <w:highlight w:val="none"/>
                <w:u w:val="none" w:color="auto"/>
              </w:rPr>
            </w:pPr>
            <w:r>
              <w:rPr>
                <w:rFonts w:hint="default" w:ascii="Times New Roman" w:hAnsi="Times New Roman" w:eastAsia="宋体" w:cs="Times New Roman"/>
                <w:b w:val="0"/>
                <w:bCs/>
                <w:color w:val="auto"/>
                <w:kern w:val="21"/>
                <w:sz w:val="24"/>
                <w:highlight w:val="none"/>
                <w:u w:val="none" w:color="auto"/>
              </w:rPr>
              <w:t>（2）废气处理设施故障风险防范措施</w:t>
            </w:r>
          </w:p>
          <w:p w14:paraId="17877E46">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default" w:ascii="Times New Roman" w:hAnsi="Times New Roman" w:eastAsia="宋体" w:cs="Times New Roman"/>
                <w:b w:val="0"/>
                <w:bCs/>
                <w:color w:val="auto"/>
                <w:sz w:val="24"/>
                <w:highlight w:val="none"/>
                <w:u w:val="none" w:color="auto"/>
              </w:rPr>
            </w:pPr>
            <w:r>
              <w:rPr>
                <w:rFonts w:hint="default" w:ascii="Times New Roman" w:hAnsi="Times New Roman" w:eastAsia="宋体" w:cs="Times New Roman"/>
                <w:b w:val="0"/>
                <w:bCs/>
                <w:color w:val="auto"/>
                <w:sz w:val="24"/>
                <w:highlight w:val="none"/>
                <w:u w:val="none" w:color="auto"/>
              </w:rPr>
              <w:t>①设置专人对车间废气处理设备进行维修和保养；现场操作人员及巡视人员应定期检查风机运行情况，如发现异常调换备用设备及时进行检修处理。</w:t>
            </w:r>
          </w:p>
          <w:p w14:paraId="61B7C439">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default" w:ascii="Times New Roman" w:hAnsi="Times New Roman" w:eastAsia="宋体" w:cs="Times New Roman"/>
                <w:b w:val="0"/>
                <w:bCs/>
                <w:color w:val="auto"/>
                <w:sz w:val="24"/>
                <w:highlight w:val="none"/>
                <w:u w:val="none" w:color="auto"/>
              </w:rPr>
            </w:pPr>
            <w:r>
              <w:rPr>
                <w:rFonts w:hint="default" w:ascii="Times New Roman" w:hAnsi="Times New Roman" w:eastAsia="宋体" w:cs="Times New Roman"/>
                <w:b w:val="0"/>
                <w:bCs/>
                <w:color w:val="auto"/>
                <w:sz w:val="24"/>
                <w:highlight w:val="none"/>
                <w:u w:val="none" w:color="auto"/>
              </w:rPr>
              <w:t>②发生废气设施故障后，当班人员立即通知负责人并查明事故原因，并及时停车。</w:t>
            </w:r>
          </w:p>
          <w:p w14:paraId="76FB3B6D">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default" w:ascii="Times New Roman" w:hAnsi="Times New Roman" w:eastAsia="宋体" w:cs="Times New Roman"/>
                <w:b w:val="0"/>
                <w:bCs/>
                <w:color w:val="auto"/>
                <w:sz w:val="24"/>
                <w:highlight w:val="none"/>
                <w:u w:val="none" w:color="auto"/>
              </w:rPr>
            </w:pPr>
            <w:r>
              <w:rPr>
                <w:rFonts w:hint="default" w:ascii="Times New Roman" w:hAnsi="Times New Roman" w:eastAsia="宋体" w:cs="Times New Roman"/>
                <w:b w:val="0"/>
                <w:bCs/>
                <w:color w:val="auto"/>
                <w:sz w:val="24"/>
                <w:highlight w:val="none"/>
                <w:u w:val="none" w:color="auto"/>
              </w:rPr>
              <w:t>③当事故得到控制后，应调查事故发生原因，制定相应措施，并上报生态环境主管部门备案。</w:t>
            </w:r>
          </w:p>
          <w:p w14:paraId="29CF3A5D">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default" w:ascii="Times New Roman" w:hAnsi="Times New Roman" w:eastAsia="宋体" w:cs="Times New Roman"/>
                <w:b w:val="0"/>
                <w:bCs/>
                <w:color w:val="auto"/>
                <w:sz w:val="24"/>
                <w:highlight w:val="none"/>
                <w:u w:val="none" w:color="auto"/>
              </w:rPr>
            </w:pPr>
            <w:r>
              <w:rPr>
                <w:rFonts w:hint="default" w:ascii="Times New Roman" w:hAnsi="Times New Roman" w:eastAsia="宋体" w:cs="Times New Roman"/>
                <w:b w:val="0"/>
                <w:bCs/>
                <w:color w:val="auto"/>
                <w:sz w:val="24"/>
                <w:highlight w:val="none"/>
                <w:u w:val="none" w:color="auto"/>
              </w:rPr>
              <w:t>④做好废气处理设施引风机、活性炭装置、</w:t>
            </w:r>
            <w:r>
              <w:rPr>
                <w:rFonts w:hint="eastAsia" w:cs="Times New Roman"/>
                <w:b w:val="0"/>
                <w:bCs/>
                <w:color w:val="auto"/>
                <w:sz w:val="24"/>
                <w:highlight w:val="none"/>
                <w:u w:val="none" w:color="auto"/>
                <w:lang w:val="en-US" w:eastAsia="zh-CN"/>
              </w:rPr>
              <w:t>催化燃烧</w:t>
            </w:r>
            <w:r>
              <w:rPr>
                <w:rFonts w:hint="default" w:ascii="Times New Roman" w:hAnsi="Times New Roman" w:eastAsia="宋体" w:cs="Times New Roman"/>
                <w:b w:val="0"/>
                <w:bCs/>
                <w:color w:val="auto"/>
                <w:sz w:val="24"/>
                <w:highlight w:val="none"/>
                <w:u w:val="none" w:color="auto"/>
              </w:rPr>
              <w:t>装置、设施维修物资的储备，保证引风机等设备故障时及时修复，实现废气处理设施故障的及时处置。</w:t>
            </w:r>
          </w:p>
          <w:p w14:paraId="14983672">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default" w:ascii="Times New Roman" w:hAnsi="Times New Roman" w:eastAsia="宋体" w:cs="Times New Roman"/>
                <w:b w:val="0"/>
                <w:bCs/>
                <w:color w:val="auto"/>
                <w:kern w:val="21"/>
                <w:sz w:val="24"/>
                <w:highlight w:val="none"/>
                <w:u w:val="none" w:color="auto"/>
              </w:rPr>
            </w:pPr>
            <w:r>
              <w:rPr>
                <w:rFonts w:hint="default" w:ascii="Times New Roman" w:hAnsi="Times New Roman" w:eastAsia="宋体" w:cs="Times New Roman"/>
                <w:b w:val="0"/>
                <w:bCs/>
                <w:color w:val="auto"/>
                <w:kern w:val="21"/>
                <w:sz w:val="24"/>
                <w:highlight w:val="none"/>
                <w:u w:val="none" w:color="auto"/>
              </w:rPr>
              <w:t>（3）危废暂存环节防范措施</w:t>
            </w:r>
          </w:p>
          <w:p w14:paraId="04F7F8F7">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default" w:ascii="Times New Roman" w:hAnsi="Times New Roman" w:eastAsia="宋体" w:cs="Times New Roman"/>
                <w:b w:val="0"/>
                <w:bCs/>
                <w:color w:val="auto"/>
                <w:sz w:val="24"/>
                <w:highlight w:val="none"/>
                <w:u w:val="none" w:color="auto"/>
              </w:rPr>
            </w:pPr>
            <w:r>
              <w:rPr>
                <w:rFonts w:hint="eastAsia" w:ascii="Times New Roman" w:hAnsi="Times New Roman" w:eastAsia="宋体" w:cs="Times New Roman"/>
                <w:color w:val="auto"/>
                <w:sz w:val="24"/>
                <w:szCs w:val="24"/>
                <w:highlight w:val="none"/>
                <w:u w:val="none" w:color="auto"/>
                <w:lang w:val="en-US" w:eastAsia="zh-CN"/>
              </w:rPr>
              <w:t>本项目新建1处建筑面积为</w:t>
            </w:r>
            <w:r>
              <w:rPr>
                <w:rFonts w:hint="eastAsia" w:cs="Times New Roman"/>
                <w:color w:val="auto"/>
                <w:sz w:val="24"/>
                <w:szCs w:val="24"/>
                <w:highlight w:val="none"/>
                <w:u w:val="none" w:color="auto"/>
                <w:lang w:val="en-US" w:eastAsia="zh-CN"/>
              </w:rPr>
              <w:t>50</w:t>
            </w:r>
            <w:r>
              <w:rPr>
                <w:rFonts w:hint="eastAsia" w:ascii="Times New Roman" w:hAnsi="Times New Roman" w:eastAsia="宋体" w:cs="Times New Roman"/>
                <w:color w:val="auto"/>
                <w:sz w:val="24"/>
                <w:szCs w:val="24"/>
                <w:highlight w:val="none"/>
                <w:u w:val="none" w:color="auto"/>
                <w:lang w:val="en-US" w:eastAsia="zh-CN"/>
              </w:rPr>
              <w:t>m</w:t>
            </w:r>
            <w:r>
              <w:rPr>
                <w:rFonts w:hint="eastAsia" w:ascii="Times New Roman" w:hAnsi="Times New Roman" w:eastAsia="宋体" w:cs="Times New Roman"/>
                <w:color w:val="auto"/>
                <w:sz w:val="24"/>
                <w:szCs w:val="24"/>
                <w:highlight w:val="none"/>
                <w:u w:val="none" w:color="auto"/>
                <w:vertAlign w:val="superscript"/>
                <w:lang w:val="en-US" w:eastAsia="zh-CN"/>
              </w:rPr>
              <w:t>2</w:t>
            </w:r>
            <w:r>
              <w:rPr>
                <w:rFonts w:hint="eastAsia" w:ascii="Times New Roman" w:hAnsi="Times New Roman" w:eastAsia="宋体" w:cs="Times New Roman"/>
                <w:color w:val="auto"/>
                <w:sz w:val="24"/>
                <w:szCs w:val="24"/>
                <w:highlight w:val="none"/>
                <w:u w:val="none" w:color="auto"/>
                <w:lang w:val="en-US" w:eastAsia="zh-CN"/>
              </w:rPr>
              <w:t>的危废暂存间位于车间二西侧，</w:t>
            </w:r>
            <w:r>
              <w:rPr>
                <w:rFonts w:hint="default" w:ascii="Times New Roman" w:hAnsi="Times New Roman" w:eastAsia="宋体" w:cs="Times New Roman"/>
                <w:color w:val="auto"/>
                <w:sz w:val="24"/>
                <w:szCs w:val="24"/>
                <w:highlight w:val="none"/>
                <w:u w:val="none" w:color="auto"/>
                <w:lang w:val="en-US" w:eastAsia="zh-CN"/>
              </w:rPr>
              <w:t>危废暂存</w:t>
            </w:r>
            <w:r>
              <w:rPr>
                <w:rFonts w:hint="eastAsia" w:ascii="Times New Roman" w:hAnsi="Times New Roman" w:eastAsia="宋体" w:cs="Times New Roman"/>
                <w:color w:val="auto"/>
                <w:sz w:val="24"/>
                <w:szCs w:val="24"/>
                <w:highlight w:val="none"/>
                <w:u w:val="none" w:color="auto"/>
                <w:lang w:val="en-US" w:eastAsia="zh-CN"/>
              </w:rPr>
              <w:t>间</w:t>
            </w:r>
            <w:r>
              <w:rPr>
                <w:rFonts w:hint="default" w:ascii="Times New Roman" w:hAnsi="Times New Roman" w:eastAsia="宋体" w:cs="Times New Roman"/>
                <w:color w:val="auto"/>
                <w:sz w:val="24"/>
                <w:szCs w:val="24"/>
                <w:highlight w:val="none"/>
                <w:u w:val="none" w:color="auto"/>
                <w:lang w:val="en-US" w:eastAsia="zh-CN"/>
              </w:rPr>
              <w:t>严格按照</w:t>
            </w:r>
            <w:r>
              <w:rPr>
                <w:rFonts w:hint="eastAsia" w:ascii="Times New Roman" w:hAnsi="Times New Roman" w:eastAsia="宋体" w:cs="Times New Roman"/>
                <w:color w:val="auto"/>
                <w:sz w:val="24"/>
                <w:szCs w:val="24"/>
                <w:highlight w:val="none"/>
                <w:u w:val="none" w:color="auto"/>
                <w:lang w:val="en-US" w:eastAsia="zh-CN"/>
              </w:rPr>
              <w:t>《危险废物贮存污染控制标准》（GB18597-2023）</w:t>
            </w:r>
            <w:r>
              <w:rPr>
                <w:rFonts w:hint="default" w:ascii="Times New Roman" w:hAnsi="Times New Roman" w:eastAsia="宋体" w:cs="Times New Roman"/>
                <w:b w:val="0"/>
                <w:bCs/>
                <w:color w:val="auto"/>
                <w:sz w:val="24"/>
                <w:highlight w:val="none"/>
                <w:u w:val="none" w:color="auto"/>
              </w:rPr>
              <w:t>要求规范建设，并做好防雨、防风、防渗、防漏等措施。危废暂存间地面进行防腐、防渗和硬化处理；暂存场采取密闭房间结构进行暂存；设有防泄漏托盘，</w:t>
            </w:r>
            <w:r>
              <w:rPr>
                <w:rFonts w:hint="default" w:ascii="Times New Roman" w:hAnsi="Times New Roman" w:eastAsia="宋体" w:cs="Times New Roman"/>
                <w:b w:val="0"/>
                <w:bCs/>
                <w:color w:val="auto"/>
                <w:sz w:val="24"/>
                <w:highlight w:val="none"/>
                <w:u w:val="none" w:color="auto"/>
                <w:lang w:val="en-US" w:eastAsia="zh-CN"/>
              </w:rPr>
              <w:t>托盘容积</w:t>
            </w:r>
            <w:r>
              <w:rPr>
                <w:rFonts w:hint="default" w:ascii="Times New Roman" w:hAnsi="Times New Roman" w:eastAsia="宋体" w:cs="Times New Roman"/>
                <w:b w:val="0"/>
                <w:bCs/>
                <w:color w:val="auto"/>
                <w:sz w:val="24"/>
                <w:highlight w:val="none"/>
                <w:u w:val="none" w:color="auto"/>
              </w:rPr>
              <w:t>不小于单桶最大化学品</w:t>
            </w:r>
            <w:r>
              <w:rPr>
                <w:rFonts w:hint="default" w:ascii="Times New Roman" w:hAnsi="Times New Roman" w:eastAsia="宋体" w:cs="Times New Roman"/>
                <w:b w:val="0"/>
                <w:bCs/>
                <w:color w:val="auto"/>
                <w:sz w:val="24"/>
                <w:highlight w:val="none"/>
                <w:u w:val="none" w:color="auto"/>
                <w:lang w:val="en-US" w:eastAsia="zh-CN"/>
              </w:rPr>
              <w:t>储存</w:t>
            </w:r>
            <w:r>
              <w:rPr>
                <w:rFonts w:hint="default" w:ascii="Times New Roman" w:hAnsi="Times New Roman" w:eastAsia="宋体" w:cs="Times New Roman"/>
                <w:b w:val="0"/>
                <w:bCs/>
                <w:color w:val="auto"/>
                <w:sz w:val="24"/>
                <w:highlight w:val="none"/>
                <w:u w:val="none" w:color="auto"/>
              </w:rPr>
              <w:t>量，可有效暂存危险废物泄漏，防止外流。</w:t>
            </w:r>
          </w:p>
          <w:p w14:paraId="3DC3C75B">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default" w:ascii="Times New Roman" w:hAnsi="Times New Roman" w:eastAsia="宋体" w:cs="Times New Roman"/>
                <w:b w:val="0"/>
                <w:bCs/>
                <w:color w:val="auto"/>
                <w:kern w:val="21"/>
                <w:sz w:val="24"/>
                <w:highlight w:val="none"/>
                <w:u w:val="none" w:color="auto"/>
              </w:rPr>
            </w:pPr>
            <w:r>
              <w:rPr>
                <w:rFonts w:hint="default" w:ascii="Times New Roman" w:hAnsi="Times New Roman" w:eastAsia="宋体" w:cs="Times New Roman"/>
                <w:b w:val="0"/>
                <w:bCs/>
                <w:color w:val="auto"/>
                <w:kern w:val="21"/>
                <w:sz w:val="24"/>
                <w:highlight w:val="none"/>
                <w:u w:val="none" w:color="auto"/>
              </w:rPr>
              <w:t>（4）消防安全防范措施</w:t>
            </w:r>
          </w:p>
          <w:p w14:paraId="3DC6E0D8">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default" w:ascii="Times New Roman" w:hAnsi="Times New Roman" w:eastAsia="宋体" w:cs="Times New Roman"/>
                <w:b w:val="0"/>
                <w:bCs/>
                <w:color w:val="auto"/>
                <w:sz w:val="24"/>
                <w:highlight w:val="none"/>
                <w:u w:val="none" w:color="auto"/>
              </w:rPr>
            </w:pPr>
            <w:r>
              <w:rPr>
                <w:rFonts w:hint="default" w:ascii="Times New Roman" w:hAnsi="Times New Roman" w:eastAsia="宋体" w:cs="Times New Roman"/>
                <w:b w:val="0"/>
                <w:bCs/>
                <w:color w:val="auto"/>
                <w:sz w:val="24"/>
                <w:highlight w:val="none"/>
                <w:u w:val="none" w:color="auto"/>
              </w:rPr>
              <w:t>为减少火灾爆炸事故的产生和影响，建设单位应采取相应的措施，需建立健全安全操作规程及值勤制度，设置通讯、报警装置，并确保其处</w:t>
            </w:r>
            <w:r>
              <w:rPr>
                <w:rFonts w:hint="eastAsia" w:cs="Times New Roman"/>
                <w:b w:val="0"/>
                <w:bCs/>
                <w:color w:val="auto"/>
                <w:sz w:val="24"/>
                <w:highlight w:val="none"/>
                <w:u w:val="none" w:color="auto"/>
                <w:lang w:eastAsia="zh-CN"/>
              </w:rPr>
              <w:t>于良</w:t>
            </w:r>
            <w:r>
              <w:rPr>
                <w:rFonts w:hint="default" w:ascii="Times New Roman" w:hAnsi="Times New Roman" w:eastAsia="宋体" w:cs="Times New Roman"/>
                <w:b w:val="0"/>
                <w:bCs/>
                <w:color w:val="auto"/>
                <w:sz w:val="24"/>
                <w:highlight w:val="none"/>
                <w:u w:val="none" w:color="auto"/>
              </w:rPr>
              <w:t>好状态；对储存危险化学品的容器，应设置明显的标识及警示牌，对使用危险化学品的名称、数量进行严格登记；凡储存、使用危险化学品的岗位，都应配置合格的消防器材，并确保其处于完好状态；所有进入储存、使用危险化学品岗位的人员，须严格遵守《危险化学品管理制度》。</w:t>
            </w:r>
          </w:p>
          <w:p w14:paraId="27348948">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default" w:ascii="Times New Roman" w:hAnsi="Times New Roman" w:eastAsia="宋体" w:cs="Times New Roman"/>
                <w:b w:val="0"/>
                <w:bCs/>
                <w:color w:val="auto"/>
                <w:kern w:val="21"/>
                <w:sz w:val="24"/>
                <w:highlight w:val="none"/>
                <w:u w:val="none" w:color="auto"/>
              </w:rPr>
            </w:pPr>
            <w:r>
              <w:rPr>
                <w:rFonts w:hint="default" w:ascii="Times New Roman" w:hAnsi="Times New Roman" w:eastAsia="宋体" w:cs="Times New Roman"/>
                <w:b w:val="0"/>
                <w:bCs/>
                <w:color w:val="auto"/>
                <w:kern w:val="21"/>
                <w:sz w:val="24"/>
                <w:highlight w:val="none"/>
                <w:u w:val="none" w:color="auto"/>
              </w:rPr>
              <w:t>（5）火灾事故引起次生污染分析</w:t>
            </w:r>
          </w:p>
          <w:p w14:paraId="0B67E9D7">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default" w:ascii="Times New Roman" w:hAnsi="Times New Roman" w:eastAsia="宋体" w:cs="Times New Roman"/>
                <w:b w:val="0"/>
                <w:bCs/>
                <w:color w:val="auto"/>
                <w:sz w:val="24"/>
                <w:highlight w:val="none"/>
                <w:u w:val="none" w:color="auto"/>
              </w:rPr>
            </w:pPr>
            <w:r>
              <w:rPr>
                <w:rFonts w:hint="default" w:ascii="Times New Roman" w:hAnsi="Times New Roman" w:eastAsia="宋体" w:cs="Times New Roman"/>
                <w:b w:val="0"/>
                <w:bCs/>
                <w:color w:val="auto"/>
                <w:sz w:val="24"/>
                <w:highlight w:val="none"/>
                <w:u w:val="none" w:color="auto"/>
              </w:rPr>
              <w:t>本项目涉及原辅材料中存在易燃物质，本项目火灾种类主要为人为火源，项目拟采用以水消防为主，移动式干粉灭火装置为辅的消防方案</w:t>
            </w:r>
            <w:r>
              <w:rPr>
                <w:rFonts w:hint="default" w:ascii="Times New Roman" w:hAnsi="Times New Roman" w:eastAsia="宋体" w:cs="Times New Roman"/>
                <w:b w:val="0"/>
                <w:bCs/>
                <w:color w:val="auto"/>
                <w:sz w:val="24"/>
                <w:highlight w:val="none"/>
                <w:u w:val="none" w:color="auto"/>
                <w:lang w:eastAsia="zh-CN"/>
              </w:rPr>
              <w:t>（</w:t>
            </w:r>
            <w:r>
              <w:rPr>
                <w:rFonts w:hint="default" w:ascii="Times New Roman" w:hAnsi="Times New Roman" w:eastAsia="宋体" w:cs="Times New Roman"/>
                <w:b w:val="0"/>
                <w:bCs/>
                <w:color w:val="auto"/>
                <w:sz w:val="24"/>
                <w:highlight w:val="none"/>
                <w:u w:val="none" w:color="auto"/>
              </w:rPr>
              <w:t>移动式干粉灭火装置</w:t>
            </w:r>
            <w:r>
              <w:rPr>
                <w:rFonts w:hint="default" w:ascii="Times New Roman" w:hAnsi="Times New Roman" w:eastAsia="宋体" w:cs="Times New Roman"/>
                <w:b w:val="0"/>
                <w:bCs/>
                <w:color w:val="auto"/>
                <w:sz w:val="24"/>
                <w:highlight w:val="none"/>
                <w:u w:val="none" w:color="auto"/>
                <w:lang w:val="en-US" w:eastAsia="zh-CN"/>
              </w:rPr>
              <w:t>主要针对油漆等化学品起火</w:t>
            </w:r>
            <w:r>
              <w:rPr>
                <w:rFonts w:hint="default" w:ascii="Times New Roman" w:hAnsi="Times New Roman" w:eastAsia="宋体" w:cs="Times New Roman"/>
                <w:b w:val="0"/>
                <w:bCs/>
                <w:color w:val="auto"/>
                <w:sz w:val="24"/>
                <w:highlight w:val="none"/>
                <w:u w:val="none" w:color="auto"/>
                <w:lang w:eastAsia="zh-CN"/>
              </w:rPr>
              <w:t>）</w:t>
            </w:r>
            <w:r>
              <w:rPr>
                <w:rFonts w:hint="default" w:ascii="Times New Roman" w:hAnsi="Times New Roman" w:eastAsia="宋体" w:cs="Times New Roman"/>
                <w:b w:val="0"/>
                <w:bCs/>
                <w:color w:val="auto"/>
                <w:sz w:val="24"/>
                <w:highlight w:val="none"/>
                <w:u w:val="none" w:color="auto"/>
              </w:rPr>
              <w:t>，以应对可能发生的火灾。</w:t>
            </w:r>
          </w:p>
          <w:p w14:paraId="484B0229">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default" w:ascii="Times New Roman" w:hAnsi="Times New Roman" w:eastAsia="宋体" w:cs="Times New Roman"/>
                <w:b w:val="0"/>
                <w:bCs/>
                <w:color w:val="auto"/>
                <w:sz w:val="24"/>
                <w:highlight w:val="none"/>
                <w:u w:val="none" w:color="auto"/>
              </w:rPr>
            </w:pPr>
            <w:r>
              <w:rPr>
                <w:rFonts w:hint="default" w:ascii="Times New Roman" w:hAnsi="Times New Roman" w:eastAsia="宋体" w:cs="Times New Roman"/>
                <w:b w:val="0"/>
                <w:bCs/>
                <w:color w:val="auto"/>
                <w:sz w:val="24"/>
                <w:highlight w:val="none"/>
                <w:u w:val="none" w:color="auto"/>
              </w:rPr>
              <w:t>厂区厂房为单栋独立，不会产生厂房与厂房之间的连锁效应；单栋厂房或单个单元的消防废水产生量较小，消防废水进入厂内雨水管网，消防废水经拦截封堵园区的雨水排口。若未涉及液态化学品泄漏进入消防废水</w:t>
            </w:r>
            <w:r>
              <w:rPr>
                <w:rFonts w:hint="eastAsia" w:ascii="Times New Roman" w:hAnsi="Times New Roman" w:eastAsia="宋体" w:cs="Times New Roman"/>
                <w:b w:val="0"/>
                <w:bCs/>
                <w:color w:val="auto"/>
                <w:sz w:val="24"/>
                <w:highlight w:val="none"/>
                <w:u w:val="none" w:color="auto"/>
                <w:lang w:eastAsia="zh-CN"/>
              </w:rPr>
              <w:t>，</w:t>
            </w:r>
            <w:r>
              <w:rPr>
                <w:rFonts w:hint="default" w:ascii="Times New Roman" w:hAnsi="Times New Roman" w:eastAsia="宋体" w:cs="Times New Roman"/>
                <w:b w:val="0"/>
                <w:bCs/>
                <w:color w:val="auto"/>
                <w:sz w:val="24"/>
                <w:highlight w:val="none"/>
                <w:u w:val="none" w:color="auto"/>
              </w:rPr>
              <w:t>经收集排至污水处理厂进行处理。若生产过程中化学品泄漏进入消防废水，经收集封堵后，先委托第三方有资质的监测单位进行分析，若符合污水处理厂的进水水质要求，则排入污水处理厂进行处理，若不符合污水处理厂进水水质要求，外委有处理资质的单位进行处理。</w:t>
            </w:r>
          </w:p>
          <w:p w14:paraId="4F0E398C">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default" w:ascii="Times New Roman" w:hAnsi="Times New Roman" w:eastAsia="宋体" w:cs="Times New Roman"/>
                <w:b w:val="0"/>
                <w:bCs/>
                <w:color w:val="auto"/>
                <w:kern w:val="21"/>
                <w:sz w:val="24"/>
                <w:highlight w:val="none"/>
                <w:u w:val="none" w:color="auto"/>
              </w:rPr>
            </w:pPr>
            <w:r>
              <w:rPr>
                <w:rFonts w:hint="default" w:ascii="Times New Roman" w:hAnsi="Times New Roman" w:eastAsia="宋体" w:cs="Times New Roman"/>
                <w:b w:val="0"/>
                <w:bCs/>
                <w:color w:val="auto"/>
                <w:kern w:val="21"/>
                <w:sz w:val="24"/>
                <w:highlight w:val="none"/>
                <w:u w:val="none" w:color="auto"/>
              </w:rPr>
              <w:t>（6）风险控制管理措施</w:t>
            </w:r>
          </w:p>
          <w:p w14:paraId="65FF9B97">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default" w:ascii="Times New Roman" w:hAnsi="Times New Roman" w:eastAsia="宋体" w:cs="Times New Roman"/>
                <w:b w:val="0"/>
                <w:bCs/>
                <w:color w:val="auto"/>
                <w:kern w:val="21"/>
                <w:sz w:val="24"/>
                <w:highlight w:val="none"/>
                <w:u w:val="none" w:color="auto"/>
              </w:rPr>
            </w:pPr>
            <w:r>
              <w:rPr>
                <w:rFonts w:hint="default" w:ascii="Times New Roman" w:hAnsi="Times New Roman" w:eastAsia="宋体" w:cs="Times New Roman"/>
                <w:b w:val="0"/>
                <w:bCs/>
                <w:color w:val="auto"/>
                <w:sz w:val="24"/>
                <w:highlight w:val="none"/>
                <w:u w:val="none" w:color="auto"/>
              </w:rPr>
              <w:t>厂区</w:t>
            </w:r>
            <w:r>
              <w:rPr>
                <w:rFonts w:hint="default" w:ascii="Times New Roman" w:hAnsi="Times New Roman" w:eastAsia="宋体" w:cs="Times New Roman"/>
                <w:b w:val="0"/>
                <w:bCs/>
                <w:color w:val="auto"/>
                <w:kern w:val="21"/>
                <w:sz w:val="24"/>
                <w:highlight w:val="none"/>
                <w:u w:val="none" w:color="auto"/>
              </w:rPr>
              <w:t>设置专职安全管理人员，建立健全各岗位安全生产责任制、安全操作规程及其他各项规章制度，定期对从业人员进行专业技术培训、安全教育培训。项目在仓库配置泄漏物吸附收集材料；生产车间内地面全部硬化并采取防腐防渗处理。</w:t>
            </w:r>
          </w:p>
          <w:p w14:paraId="6B0F628A">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default" w:ascii="Times New Roman" w:hAnsi="Times New Roman" w:eastAsia="宋体" w:cs="Times New Roman"/>
                <w:b w:val="0"/>
                <w:bCs/>
                <w:color w:val="auto"/>
                <w:kern w:val="21"/>
                <w:sz w:val="24"/>
                <w:highlight w:val="none"/>
                <w:u w:val="none" w:color="auto"/>
              </w:rPr>
            </w:pPr>
            <w:r>
              <w:rPr>
                <w:rFonts w:hint="default" w:ascii="Times New Roman" w:hAnsi="Times New Roman" w:eastAsia="宋体" w:cs="Times New Roman"/>
                <w:b w:val="0"/>
                <w:bCs/>
                <w:color w:val="auto"/>
                <w:kern w:val="21"/>
                <w:sz w:val="24"/>
                <w:highlight w:val="none"/>
                <w:u w:val="none" w:color="auto"/>
              </w:rPr>
              <w:t>（7）应急预案</w:t>
            </w:r>
          </w:p>
          <w:p w14:paraId="44B3218A">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default" w:ascii="Times New Roman" w:hAnsi="Times New Roman" w:eastAsia="宋体" w:cs="Times New Roman"/>
                <w:b w:val="0"/>
                <w:bCs/>
                <w:color w:val="auto"/>
                <w:sz w:val="24"/>
                <w:highlight w:val="none"/>
                <w:u w:val="none" w:color="auto"/>
              </w:rPr>
            </w:pPr>
            <w:r>
              <w:rPr>
                <w:rFonts w:hint="default" w:ascii="Times New Roman" w:hAnsi="Times New Roman" w:eastAsia="宋体" w:cs="Times New Roman"/>
                <w:b w:val="0"/>
                <w:bCs/>
                <w:color w:val="auto"/>
                <w:sz w:val="24"/>
                <w:highlight w:val="none"/>
                <w:u w:val="none" w:color="auto"/>
              </w:rPr>
              <w:t>企业</w:t>
            </w:r>
            <w:r>
              <w:rPr>
                <w:rFonts w:hint="eastAsia" w:cs="Times New Roman"/>
                <w:b w:val="0"/>
                <w:bCs/>
                <w:color w:val="auto"/>
                <w:sz w:val="24"/>
                <w:highlight w:val="none"/>
                <w:u w:val="none" w:color="auto"/>
                <w:lang w:val="en-US" w:eastAsia="zh-CN"/>
              </w:rPr>
              <w:t>应</w:t>
            </w:r>
            <w:r>
              <w:rPr>
                <w:rFonts w:hint="default" w:ascii="Times New Roman" w:hAnsi="Times New Roman" w:eastAsia="宋体" w:cs="Times New Roman"/>
                <w:b w:val="0"/>
                <w:bCs/>
                <w:color w:val="auto"/>
                <w:sz w:val="24"/>
                <w:highlight w:val="none"/>
                <w:u w:val="none" w:color="auto"/>
                <w:lang w:val="en-US" w:eastAsia="zh-CN"/>
              </w:rPr>
              <w:t>根据《湖南省突发环境事件应急预案管理办法（修订版）》（湘环发〔2024〕49号）要求制定《突发环境事件应急预案》</w:t>
            </w:r>
            <w:r>
              <w:rPr>
                <w:rFonts w:hint="default" w:ascii="Times New Roman" w:hAnsi="Times New Roman" w:eastAsia="宋体" w:cs="Times New Roman"/>
                <w:b w:val="0"/>
                <w:bCs/>
                <w:color w:val="auto"/>
                <w:sz w:val="24"/>
                <w:highlight w:val="none"/>
                <w:u w:val="none" w:color="auto"/>
              </w:rPr>
              <w:t>。</w:t>
            </w:r>
          </w:p>
          <w:p w14:paraId="2284C408">
            <w:pPr>
              <w:keepNext w:val="0"/>
              <w:keepLines w:val="0"/>
              <w:pageBreakBefore w:val="0"/>
              <w:widowControl w:val="0"/>
              <w:kinsoku/>
              <w:wordWrap/>
              <w:overflowPunct/>
              <w:topLinePunct w:val="0"/>
              <w:autoSpaceDE/>
              <w:autoSpaceDN/>
              <w:bidi w:val="0"/>
              <w:adjustRightInd/>
              <w:spacing w:line="380" w:lineRule="exact"/>
              <w:ind w:firstLine="482" w:firstLineChars="200"/>
              <w:textAlignment w:val="auto"/>
              <w:rPr>
                <w:rFonts w:hint="default" w:ascii="Times New Roman" w:hAnsi="Times New Roman" w:eastAsia="宋体" w:cs="Times New Roman"/>
                <w:b/>
                <w:bCs w:val="0"/>
                <w:color w:val="auto"/>
                <w:sz w:val="24"/>
                <w:highlight w:val="none"/>
                <w:u w:val="none" w:color="auto"/>
                <w:lang w:val="en-US" w:eastAsia="zh-CN"/>
              </w:rPr>
            </w:pPr>
            <w:r>
              <w:rPr>
                <w:rFonts w:hint="eastAsia" w:ascii="Times New Roman" w:hAnsi="Times New Roman" w:eastAsia="宋体" w:cs="Times New Roman"/>
                <w:b/>
                <w:bCs w:val="0"/>
                <w:color w:val="auto"/>
                <w:sz w:val="24"/>
                <w:highlight w:val="none"/>
                <w:u w:val="none" w:color="auto"/>
                <w:lang w:val="en-US" w:eastAsia="zh-CN"/>
              </w:rPr>
              <w:t>3、</w:t>
            </w:r>
            <w:r>
              <w:rPr>
                <w:rFonts w:hint="default" w:ascii="Times New Roman" w:hAnsi="Times New Roman" w:eastAsia="宋体" w:cs="Times New Roman"/>
                <w:b/>
                <w:bCs w:val="0"/>
                <w:color w:val="auto"/>
                <w:sz w:val="24"/>
                <w:highlight w:val="none"/>
                <w:u w:val="none" w:color="auto"/>
                <w:lang w:val="en-US" w:eastAsia="zh-CN"/>
              </w:rPr>
              <w:t>分析结论</w:t>
            </w:r>
          </w:p>
          <w:p w14:paraId="667577B2">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default" w:ascii="Times New Roman" w:hAnsi="Times New Roman" w:eastAsia="宋体" w:cs="Times New Roman"/>
                <w:b w:val="0"/>
                <w:bCs/>
                <w:color w:val="auto"/>
                <w:sz w:val="24"/>
                <w:highlight w:val="none"/>
                <w:u w:val="none" w:color="auto"/>
              </w:rPr>
            </w:pPr>
            <w:r>
              <w:rPr>
                <w:rFonts w:hint="default" w:ascii="Times New Roman" w:hAnsi="Times New Roman" w:eastAsia="宋体" w:cs="Times New Roman"/>
                <w:b w:val="0"/>
                <w:bCs/>
                <w:color w:val="auto"/>
                <w:sz w:val="24"/>
                <w:highlight w:val="none"/>
                <w:u w:val="none" w:color="auto"/>
              </w:rPr>
              <w:t>本评价对本项目的环境风险提出相应的</w:t>
            </w:r>
            <w:r>
              <w:rPr>
                <w:rFonts w:hint="eastAsia" w:ascii="Times New Roman" w:hAnsi="Times New Roman" w:eastAsia="宋体" w:cs="Times New Roman"/>
                <w:b w:val="0"/>
                <w:bCs/>
                <w:color w:val="auto"/>
                <w:sz w:val="24"/>
                <w:highlight w:val="none"/>
                <w:u w:val="none" w:color="auto"/>
                <w:lang w:val="en-US" w:eastAsia="zh-CN"/>
              </w:rPr>
              <w:t>风险防范措施</w:t>
            </w:r>
            <w:r>
              <w:rPr>
                <w:rFonts w:hint="default" w:ascii="Times New Roman" w:hAnsi="Times New Roman" w:eastAsia="宋体" w:cs="Times New Roman"/>
                <w:b w:val="0"/>
                <w:bCs/>
                <w:color w:val="auto"/>
                <w:sz w:val="24"/>
                <w:highlight w:val="none"/>
                <w:u w:val="none" w:color="auto"/>
              </w:rPr>
              <w:t>，为建设单位提供参考，建设单位应根据</w:t>
            </w:r>
            <w:r>
              <w:rPr>
                <w:rFonts w:hint="eastAsia" w:ascii="Times New Roman" w:hAnsi="Times New Roman" w:eastAsia="宋体" w:cs="Times New Roman"/>
                <w:b w:val="0"/>
                <w:bCs/>
                <w:color w:val="auto"/>
                <w:sz w:val="24"/>
                <w:highlight w:val="none"/>
                <w:u w:val="none" w:color="auto"/>
                <w:lang w:val="en-US" w:eastAsia="zh-CN"/>
              </w:rPr>
              <w:t>生产</w:t>
            </w:r>
            <w:r>
              <w:rPr>
                <w:rFonts w:hint="default" w:ascii="Times New Roman" w:hAnsi="Times New Roman" w:eastAsia="宋体" w:cs="Times New Roman"/>
                <w:b w:val="0"/>
                <w:bCs/>
                <w:color w:val="auto"/>
                <w:sz w:val="24"/>
                <w:highlight w:val="none"/>
                <w:u w:val="none" w:color="auto"/>
              </w:rPr>
              <w:t>实际情况认真落实，在采取有效的防范措施、制定相应的应急预案的前提下，建设单位可将事故风险的影响减至最小，本项目环境风险可防控。</w:t>
            </w:r>
          </w:p>
          <w:p w14:paraId="1E28E51A">
            <w:pPr>
              <w:keepNext w:val="0"/>
              <w:keepLines w:val="0"/>
              <w:pageBreakBefore w:val="0"/>
              <w:widowControl w:val="0"/>
              <w:kinsoku/>
              <w:wordWrap/>
              <w:overflowPunct/>
              <w:topLinePunct w:val="0"/>
              <w:autoSpaceDE/>
              <w:autoSpaceDN/>
              <w:bidi w:val="0"/>
              <w:adjustRightInd/>
              <w:spacing w:line="460" w:lineRule="exact"/>
              <w:textAlignment w:val="auto"/>
              <w:rPr>
                <w:rFonts w:hint="default" w:ascii="Times New Roman" w:hAnsi="Times New Roman" w:eastAsia="宋体" w:cs="Times New Roman"/>
                <w:b/>
                <w:bCs/>
                <w:color w:val="auto"/>
                <w:sz w:val="24"/>
                <w:szCs w:val="24"/>
                <w:highlight w:val="none"/>
                <w:u w:val="none" w:color="auto"/>
              </w:rPr>
            </w:pPr>
            <w:r>
              <w:rPr>
                <w:rFonts w:hint="default" w:ascii="Times New Roman" w:hAnsi="Times New Roman" w:eastAsia="宋体" w:cs="Times New Roman"/>
                <w:b/>
                <w:bCs/>
                <w:color w:val="auto"/>
                <w:sz w:val="24"/>
                <w:szCs w:val="24"/>
                <w:highlight w:val="none"/>
                <w:u w:val="none" w:color="auto"/>
              </w:rPr>
              <w:t>4.</w:t>
            </w:r>
            <w:r>
              <w:rPr>
                <w:rFonts w:hint="eastAsia" w:ascii="Times New Roman" w:hAnsi="Times New Roman" w:eastAsia="宋体" w:cs="Times New Roman"/>
                <w:b/>
                <w:bCs/>
                <w:color w:val="auto"/>
                <w:sz w:val="24"/>
                <w:szCs w:val="24"/>
                <w:highlight w:val="none"/>
                <w:u w:val="none" w:color="auto"/>
                <w:lang w:val="en-US" w:eastAsia="zh-CN"/>
              </w:rPr>
              <w:t>9</w:t>
            </w:r>
            <w:r>
              <w:rPr>
                <w:rFonts w:hint="default" w:ascii="Times New Roman" w:hAnsi="Times New Roman" w:eastAsia="宋体" w:cs="Times New Roman"/>
                <w:b/>
                <w:bCs/>
                <w:color w:val="auto"/>
                <w:sz w:val="24"/>
                <w:szCs w:val="24"/>
                <w:highlight w:val="none"/>
                <w:u w:val="none" w:color="auto"/>
              </w:rPr>
              <w:t>环保投资一览表</w:t>
            </w:r>
          </w:p>
          <w:p w14:paraId="52B10B3F">
            <w:pPr>
              <w:pStyle w:val="20"/>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u w:val="none" w:color="auto"/>
              </w:rPr>
            </w:pPr>
            <w:r>
              <w:rPr>
                <w:rFonts w:hint="default" w:ascii="Times New Roman" w:hAnsi="Times New Roman" w:eastAsia="宋体" w:cs="Times New Roman"/>
                <w:bCs/>
                <w:color w:val="auto"/>
                <w:sz w:val="24"/>
                <w:u w:val="none" w:color="auto"/>
              </w:rPr>
              <w:t>本项目总投资</w:t>
            </w:r>
            <w:r>
              <w:rPr>
                <w:rFonts w:hint="eastAsia" w:ascii="Times New Roman" w:hAnsi="Times New Roman" w:eastAsia="宋体" w:cs="Times New Roman"/>
                <w:bCs/>
                <w:color w:val="auto"/>
                <w:sz w:val="24"/>
                <w:u w:val="none" w:color="auto"/>
                <w:lang w:val="en-US" w:eastAsia="zh-CN"/>
              </w:rPr>
              <w:t>450万</w:t>
            </w:r>
            <w:r>
              <w:rPr>
                <w:rFonts w:hint="default" w:ascii="Times New Roman" w:hAnsi="Times New Roman" w:eastAsia="宋体" w:cs="Times New Roman"/>
                <w:bCs/>
                <w:color w:val="auto"/>
                <w:sz w:val="24"/>
                <w:u w:val="none" w:color="auto"/>
              </w:rPr>
              <w:t>元</w:t>
            </w:r>
            <w:r>
              <w:rPr>
                <w:rFonts w:hint="eastAsia" w:ascii="Times New Roman" w:hAnsi="Times New Roman" w:eastAsia="宋体" w:cs="Times New Roman"/>
                <w:bCs/>
                <w:color w:val="auto"/>
                <w:sz w:val="24"/>
                <w:u w:val="none" w:color="auto"/>
                <w:lang w:eastAsia="zh-CN"/>
              </w:rPr>
              <w:t>，</w:t>
            </w:r>
            <w:r>
              <w:rPr>
                <w:rFonts w:hint="default" w:ascii="Times New Roman" w:hAnsi="Times New Roman" w:eastAsia="宋体" w:cs="Times New Roman"/>
                <w:bCs/>
                <w:color w:val="auto"/>
                <w:sz w:val="24"/>
                <w:u w:val="none" w:color="auto"/>
              </w:rPr>
              <w:t>其中环保投资</w:t>
            </w:r>
            <w:r>
              <w:rPr>
                <w:rFonts w:hint="eastAsia" w:ascii="Times New Roman" w:hAnsi="Times New Roman" w:eastAsia="宋体" w:cs="Times New Roman"/>
                <w:bCs/>
                <w:color w:val="auto"/>
                <w:sz w:val="24"/>
                <w:u w:val="none" w:color="auto"/>
                <w:lang w:val="en-US" w:eastAsia="zh-CN"/>
              </w:rPr>
              <w:t>48.5万元</w:t>
            </w:r>
            <w:r>
              <w:rPr>
                <w:rFonts w:hint="eastAsia" w:ascii="Times New Roman" w:hAnsi="Times New Roman" w:eastAsia="宋体" w:cs="Times New Roman"/>
                <w:bCs/>
                <w:color w:val="auto"/>
                <w:sz w:val="24"/>
                <w:u w:val="none" w:color="auto"/>
                <w:lang w:eastAsia="zh-CN"/>
              </w:rPr>
              <w:t>，</w:t>
            </w:r>
            <w:r>
              <w:rPr>
                <w:rFonts w:hint="default" w:ascii="Times New Roman" w:hAnsi="Times New Roman" w:eastAsia="宋体" w:cs="Times New Roman"/>
                <w:bCs/>
                <w:color w:val="auto"/>
                <w:sz w:val="24"/>
                <w:u w:val="none" w:color="auto"/>
              </w:rPr>
              <w:t>环保投资占总投资比例</w:t>
            </w:r>
            <w:r>
              <w:rPr>
                <w:rFonts w:hint="eastAsia" w:ascii="Times New Roman" w:hAnsi="Times New Roman" w:eastAsia="宋体" w:cs="Times New Roman"/>
                <w:bCs/>
                <w:color w:val="auto"/>
                <w:sz w:val="24"/>
                <w:u w:val="none" w:color="auto"/>
                <w:lang w:val="en-US" w:eastAsia="zh-CN"/>
              </w:rPr>
              <w:t>10.78</w:t>
            </w:r>
            <w:r>
              <w:rPr>
                <w:rFonts w:hint="default" w:ascii="Times New Roman" w:hAnsi="Times New Roman" w:eastAsia="宋体" w:cs="Times New Roman"/>
                <w:bCs/>
                <w:color w:val="auto"/>
                <w:sz w:val="24"/>
                <w:u w:val="none" w:color="auto"/>
              </w:rPr>
              <w:t>%。项目环保设施及投资估算详见下表。</w:t>
            </w:r>
          </w:p>
          <w:p w14:paraId="7EF914AD">
            <w:pPr>
              <w:pStyle w:val="60"/>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rPr>
              <w:t>表4-</w:t>
            </w:r>
            <w:r>
              <w:rPr>
                <w:rFonts w:hint="eastAsia" w:cs="Times New Roman"/>
                <w:color w:val="auto"/>
                <w:sz w:val="21"/>
                <w:szCs w:val="21"/>
                <w:highlight w:val="none"/>
                <w:u w:val="none" w:color="auto"/>
                <w:lang w:val="en-US" w:eastAsia="zh-CN"/>
              </w:rPr>
              <w:t>20</w:t>
            </w:r>
            <w:r>
              <w:rPr>
                <w:rFonts w:hint="default" w:ascii="Times New Roman" w:hAnsi="Times New Roman" w:eastAsia="宋体" w:cs="Times New Roman"/>
                <w:color w:val="auto"/>
                <w:sz w:val="21"/>
                <w:szCs w:val="21"/>
                <w:highlight w:val="none"/>
                <w:u w:val="none" w:color="auto"/>
              </w:rPr>
              <w:t xml:space="preserve">  环境保护投资估算表</w:t>
            </w:r>
          </w:p>
          <w:tbl>
            <w:tblPr>
              <w:tblStyle w:val="3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46"/>
              <w:gridCol w:w="1191"/>
              <w:gridCol w:w="1797"/>
              <w:gridCol w:w="2763"/>
              <w:gridCol w:w="893"/>
              <w:gridCol w:w="888"/>
            </w:tblGrid>
            <w:tr w14:paraId="187DF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04" w:type="pct"/>
                  <w:noWrap w:val="0"/>
                  <w:vAlign w:val="center"/>
                </w:tcPr>
                <w:p w14:paraId="36C5AF85">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b/>
                      <w:bCs/>
                      <w:color w:val="auto"/>
                      <w:sz w:val="21"/>
                      <w:szCs w:val="21"/>
                      <w:u w:val="none" w:color="auto"/>
                    </w:rPr>
                  </w:pPr>
                  <w:r>
                    <w:rPr>
                      <w:rFonts w:hint="default" w:ascii="Times New Roman" w:hAnsi="Times New Roman" w:cs="Times New Roman"/>
                      <w:b/>
                      <w:bCs/>
                      <w:color w:val="auto"/>
                      <w:sz w:val="21"/>
                      <w:szCs w:val="21"/>
                      <w:u w:val="none" w:color="auto"/>
                    </w:rPr>
                    <w:t>类别</w:t>
                  </w:r>
                </w:p>
              </w:tc>
              <w:tc>
                <w:tcPr>
                  <w:tcW w:w="710" w:type="pct"/>
                  <w:noWrap w:val="0"/>
                  <w:vAlign w:val="center"/>
                </w:tcPr>
                <w:p w14:paraId="1E594842">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b/>
                      <w:bCs/>
                      <w:color w:val="auto"/>
                      <w:sz w:val="21"/>
                      <w:szCs w:val="21"/>
                      <w:u w:val="none" w:color="auto"/>
                    </w:rPr>
                  </w:pPr>
                  <w:r>
                    <w:rPr>
                      <w:rFonts w:hint="default" w:ascii="Times New Roman" w:hAnsi="Times New Roman" w:cs="Times New Roman"/>
                      <w:b/>
                      <w:bCs/>
                      <w:color w:val="auto"/>
                      <w:sz w:val="21"/>
                      <w:szCs w:val="21"/>
                      <w:u w:val="none" w:color="auto"/>
                    </w:rPr>
                    <w:t>产污环节</w:t>
                  </w:r>
                </w:p>
              </w:tc>
              <w:tc>
                <w:tcPr>
                  <w:tcW w:w="1072" w:type="pct"/>
                  <w:noWrap w:val="0"/>
                  <w:vAlign w:val="center"/>
                </w:tcPr>
                <w:p w14:paraId="1D76A2C0">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b/>
                      <w:bCs/>
                      <w:color w:val="auto"/>
                      <w:sz w:val="21"/>
                      <w:szCs w:val="21"/>
                      <w:u w:val="none" w:color="auto"/>
                    </w:rPr>
                  </w:pPr>
                  <w:r>
                    <w:rPr>
                      <w:rFonts w:hint="default" w:ascii="Times New Roman" w:hAnsi="Times New Roman" w:cs="Times New Roman"/>
                      <w:b/>
                      <w:bCs/>
                      <w:color w:val="auto"/>
                      <w:sz w:val="21"/>
                      <w:szCs w:val="21"/>
                      <w:u w:val="none" w:color="auto"/>
                    </w:rPr>
                    <w:t>主要污染物</w:t>
                  </w:r>
                </w:p>
              </w:tc>
              <w:tc>
                <w:tcPr>
                  <w:tcW w:w="1648" w:type="pct"/>
                  <w:noWrap w:val="0"/>
                  <w:vAlign w:val="center"/>
                </w:tcPr>
                <w:p w14:paraId="20C1C307">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b/>
                      <w:bCs/>
                      <w:color w:val="auto"/>
                      <w:sz w:val="21"/>
                      <w:szCs w:val="21"/>
                      <w:u w:val="none" w:color="auto"/>
                    </w:rPr>
                  </w:pPr>
                  <w:r>
                    <w:rPr>
                      <w:rFonts w:hint="default" w:ascii="Times New Roman" w:hAnsi="Times New Roman" w:cs="Times New Roman"/>
                      <w:b/>
                      <w:bCs/>
                      <w:color w:val="auto"/>
                      <w:sz w:val="21"/>
                      <w:szCs w:val="21"/>
                      <w:u w:val="none" w:color="auto"/>
                    </w:rPr>
                    <w:t>治理设施</w:t>
                  </w:r>
                </w:p>
              </w:tc>
              <w:tc>
                <w:tcPr>
                  <w:tcW w:w="532" w:type="pct"/>
                  <w:noWrap w:val="0"/>
                  <w:vAlign w:val="center"/>
                </w:tcPr>
                <w:p w14:paraId="2C4BD8EE">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b/>
                      <w:bCs/>
                      <w:color w:val="auto"/>
                      <w:sz w:val="21"/>
                      <w:szCs w:val="21"/>
                      <w:u w:val="none" w:color="auto"/>
                    </w:rPr>
                  </w:pPr>
                  <w:r>
                    <w:rPr>
                      <w:rFonts w:hint="default" w:ascii="Times New Roman" w:hAnsi="Times New Roman" w:cs="Times New Roman"/>
                      <w:b/>
                      <w:bCs/>
                      <w:color w:val="auto"/>
                      <w:sz w:val="21"/>
                      <w:szCs w:val="21"/>
                      <w:u w:val="none" w:color="auto"/>
                    </w:rPr>
                    <w:t>数量</w:t>
                  </w:r>
                </w:p>
              </w:tc>
              <w:tc>
                <w:tcPr>
                  <w:tcW w:w="529" w:type="pct"/>
                  <w:noWrap w:val="0"/>
                  <w:vAlign w:val="center"/>
                </w:tcPr>
                <w:p w14:paraId="3F532420">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b/>
                      <w:bCs/>
                      <w:color w:val="auto"/>
                      <w:sz w:val="21"/>
                      <w:szCs w:val="21"/>
                      <w:u w:val="none" w:color="auto"/>
                    </w:rPr>
                  </w:pPr>
                  <w:r>
                    <w:rPr>
                      <w:rFonts w:hint="default" w:ascii="Times New Roman" w:hAnsi="Times New Roman" w:cs="Times New Roman"/>
                      <w:b/>
                      <w:bCs/>
                      <w:color w:val="auto"/>
                      <w:sz w:val="21"/>
                      <w:szCs w:val="21"/>
                      <w:u w:val="none" w:color="auto"/>
                    </w:rPr>
                    <w:t>投资额（万元）</w:t>
                  </w:r>
                </w:p>
              </w:tc>
            </w:tr>
            <w:tr w14:paraId="0BCFB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04" w:type="pct"/>
                  <w:vMerge w:val="restart"/>
                  <w:noWrap w:val="0"/>
                  <w:vAlign w:val="center"/>
                </w:tcPr>
                <w:p w14:paraId="09D24847">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废气</w:t>
                  </w:r>
                </w:p>
              </w:tc>
              <w:tc>
                <w:tcPr>
                  <w:tcW w:w="710" w:type="pct"/>
                  <w:shd w:val="clear" w:color="auto" w:fill="auto"/>
                  <w:noWrap w:val="0"/>
                  <w:vAlign w:val="center"/>
                </w:tcPr>
                <w:p w14:paraId="15CB57B8">
                  <w:pPr>
                    <w:keepNext w:val="0"/>
                    <w:keepLines w:val="0"/>
                    <w:suppressLineNumbers w:val="0"/>
                    <w:wordWrap w:val="0"/>
                    <w:topLinePunct/>
                    <w:adjustRightInd w:val="0"/>
                    <w:snapToGrid w:val="0"/>
                    <w:spacing w:before="0" w:beforeAutospacing="0" w:after="0" w:afterAutospacing="0"/>
                    <w:ind w:left="0" w:leftChars="0" w:right="0" w:rightChars="0"/>
                    <w:jc w:val="both"/>
                    <w:rPr>
                      <w:rFonts w:hint="default" w:ascii="Times New Roman" w:hAnsi="Times New Roman" w:eastAsia="宋体" w:cs="Times New Roman"/>
                      <w:color w:val="auto"/>
                      <w:kern w:val="2"/>
                      <w:sz w:val="21"/>
                      <w:szCs w:val="21"/>
                      <w:u w:val="none" w:color="auto"/>
                      <w:lang w:val="en-US" w:eastAsia="zh-CN" w:bidi="ar-SA"/>
                    </w:rPr>
                  </w:pPr>
                  <w:r>
                    <w:rPr>
                      <w:rFonts w:hint="eastAsia" w:eastAsia="宋体" w:cs="Times New Roman"/>
                      <w:color w:val="auto"/>
                      <w:kern w:val="2"/>
                      <w:sz w:val="21"/>
                      <w:szCs w:val="21"/>
                      <w:u w:val="none" w:color="auto"/>
                      <w:lang w:val="en-US" w:eastAsia="zh-CN" w:bidi="ar-SA"/>
                    </w:rPr>
                    <w:t>下料切割、焊接、打磨</w:t>
                  </w:r>
                </w:p>
              </w:tc>
              <w:tc>
                <w:tcPr>
                  <w:tcW w:w="1072" w:type="pct"/>
                  <w:shd w:val="clear" w:color="auto" w:fill="auto"/>
                  <w:noWrap w:val="0"/>
                  <w:vAlign w:val="center"/>
                </w:tcPr>
                <w:p w14:paraId="006D691D">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eastAsia" w:eastAsia="宋体" w:cs="Times New Roman"/>
                      <w:color w:val="auto"/>
                      <w:kern w:val="2"/>
                      <w:sz w:val="21"/>
                      <w:szCs w:val="21"/>
                      <w:u w:val="none" w:color="auto"/>
                      <w:lang w:val="en-US" w:eastAsia="zh-CN" w:bidi="ar-SA"/>
                    </w:rPr>
                    <w:t>颗粒物</w:t>
                  </w:r>
                </w:p>
              </w:tc>
              <w:tc>
                <w:tcPr>
                  <w:tcW w:w="1648" w:type="pct"/>
                  <w:shd w:val="clear" w:color="auto" w:fill="auto"/>
                  <w:noWrap w:val="0"/>
                  <w:vAlign w:val="center"/>
                </w:tcPr>
                <w:p w14:paraId="29FAE41E">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eastAsia" w:eastAsia="宋体" w:cs="Times New Roman"/>
                      <w:color w:val="auto"/>
                      <w:kern w:val="2"/>
                      <w:sz w:val="21"/>
                      <w:szCs w:val="21"/>
                      <w:u w:val="none" w:color="auto"/>
                      <w:lang w:val="en-US" w:eastAsia="zh-CN" w:bidi="ar-SA"/>
                    </w:rPr>
                    <w:t>移动式粉尘净化器</w:t>
                  </w:r>
                </w:p>
              </w:tc>
              <w:tc>
                <w:tcPr>
                  <w:tcW w:w="532" w:type="pct"/>
                  <w:shd w:val="clear" w:color="auto" w:fill="auto"/>
                  <w:noWrap w:val="0"/>
                  <w:vAlign w:val="center"/>
                </w:tcPr>
                <w:p w14:paraId="6D545F61">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eastAsia" w:cs="Times New Roman"/>
                      <w:color w:val="auto"/>
                      <w:sz w:val="21"/>
                      <w:szCs w:val="21"/>
                      <w:u w:val="none" w:color="auto"/>
                      <w:lang w:val="en-US" w:eastAsia="zh-CN"/>
                    </w:rPr>
                    <w:t>6</w:t>
                  </w:r>
                  <w:r>
                    <w:rPr>
                      <w:rFonts w:hint="default" w:ascii="Times New Roman" w:hAnsi="Times New Roman" w:cs="Times New Roman"/>
                      <w:color w:val="auto"/>
                      <w:sz w:val="21"/>
                      <w:szCs w:val="21"/>
                      <w:u w:val="none" w:color="auto"/>
                    </w:rPr>
                    <w:t>套</w:t>
                  </w:r>
                </w:p>
              </w:tc>
              <w:tc>
                <w:tcPr>
                  <w:tcW w:w="529" w:type="pct"/>
                  <w:shd w:val="clear" w:color="auto" w:fill="auto"/>
                  <w:noWrap w:val="0"/>
                  <w:vAlign w:val="center"/>
                </w:tcPr>
                <w:p w14:paraId="732D0F78">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eastAsia" w:eastAsia="宋体" w:cs="Times New Roman"/>
                      <w:color w:val="auto"/>
                      <w:kern w:val="2"/>
                      <w:sz w:val="21"/>
                      <w:szCs w:val="21"/>
                      <w:u w:val="none" w:color="auto"/>
                      <w:lang w:val="en-US" w:eastAsia="zh-CN" w:bidi="ar-SA"/>
                    </w:rPr>
                    <w:t>1.5</w:t>
                  </w:r>
                </w:p>
              </w:tc>
            </w:tr>
            <w:tr w14:paraId="75778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04" w:type="pct"/>
                  <w:vMerge w:val="continue"/>
                  <w:noWrap w:val="0"/>
                  <w:vAlign w:val="center"/>
                </w:tcPr>
                <w:p w14:paraId="7393A01C">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p>
              </w:tc>
              <w:tc>
                <w:tcPr>
                  <w:tcW w:w="710" w:type="pct"/>
                  <w:shd w:val="clear" w:color="auto" w:fill="auto"/>
                  <w:noWrap w:val="0"/>
                  <w:vAlign w:val="center"/>
                </w:tcPr>
                <w:p w14:paraId="1DF54169">
                  <w:pPr>
                    <w:keepNext w:val="0"/>
                    <w:keepLines w:val="0"/>
                    <w:pageBreakBefore w:val="0"/>
                    <w:widowControl w:val="0"/>
                    <w:kinsoku/>
                    <w:wordWrap/>
                    <w:overflowPunct/>
                    <w:topLinePunct w:val="0"/>
                    <w:autoSpaceDE/>
                    <w:autoSpaceDN/>
                    <w:bidi w:val="0"/>
                    <w:spacing w:line="320" w:lineRule="exact"/>
                    <w:ind w:firstLine="0" w:firstLineChars="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eastAsia" w:ascii="Times New Roman" w:hAnsi="Times New Roman" w:eastAsia="宋体" w:cs="Times New Roman"/>
                      <w:color w:val="auto"/>
                      <w:kern w:val="2"/>
                      <w:sz w:val="21"/>
                      <w:szCs w:val="21"/>
                      <w:highlight w:val="none"/>
                      <w:u w:val="none" w:color="auto"/>
                      <w:lang w:val="en-US" w:eastAsia="zh-CN" w:bidi="ar-SA"/>
                    </w:rPr>
                    <w:t>调漆、</w:t>
                  </w:r>
                  <w:r>
                    <w:rPr>
                      <w:rFonts w:hint="eastAsia" w:cs="Times New Roman"/>
                      <w:b w:val="0"/>
                      <w:bCs/>
                      <w:snapToGrid w:val="0"/>
                      <w:color w:val="auto"/>
                      <w:spacing w:val="4"/>
                      <w:sz w:val="21"/>
                      <w:szCs w:val="21"/>
                      <w:u w:val="none" w:color="auto"/>
                      <w:lang w:val="en-US" w:eastAsia="zh-CN"/>
                    </w:rPr>
                    <w:t>车间工艺</w:t>
                  </w:r>
                  <w:r>
                    <w:rPr>
                      <w:rFonts w:hint="default" w:ascii="Times New Roman" w:hAnsi="Times New Roman" w:eastAsia="宋体" w:cs="Times New Roman"/>
                      <w:b w:val="0"/>
                      <w:bCs w:val="0"/>
                      <w:color w:val="auto"/>
                      <w:sz w:val="21"/>
                      <w:szCs w:val="21"/>
                      <w:highlight w:val="none"/>
                      <w:u w:val="none" w:color="auto"/>
                      <w:vertAlign w:val="baseline"/>
                      <w:lang w:val="en-US" w:eastAsia="zh-CN"/>
                    </w:rPr>
                    <w:t>废气</w:t>
                  </w:r>
                </w:p>
              </w:tc>
              <w:tc>
                <w:tcPr>
                  <w:tcW w:w="1072" w:type="pct"/>
                  <w:shd w:val="clear" w:color="auto" w:fill="auto"/>
                  <w:noWrap w:val="0"/>
                  <w:vAlign w:val="center"/>
                </w:tcPr>
                <w:p w14:paraId="147EB274">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eastAsia" w:eastAsia="宋体" w:cs="Times New Roman"/>
                      <w:color w:val="auto"/>
                      <w:kern w:val="2"/>
                      <w:sz w:val="21"/>
                      <w:szCs w:val="21"/>
                      <w:u w:val="none" w:color="auto"/>
                      <w:lang w:val="en-US" w:eastAsia="zh-CN" w:bidi="ar-SA"/>
                    </w:rPr>
                    <w:t>甲苯、二甲苯、VOCs</w:t>
                  </w:r>
                </w:p>
              </w:tc>
              <w:tc>
                <w:tcPr>
                  <w:tcW w:w="1648" w:type="pct"/>
                  <w:shd w:val="clear" w:color="auto" w:fill="auto"/>
                  <w:noWrap w:val="0"/>
                  <w:vAlign w:val="center"/>
                </w:tcPr>
                <w:p w14:paraId="4167F526">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eastAsia="宋体" w:cs="Times New Roman"/>
                      <w:color w:val="auto"/>
                      <w:kern w:val="2"/>
                      <w:sz w:val="21"/>
                      <w:szCs w:val="21"/>
                      <w:highlight w:val="none"/>
                      <w:u w:val="none" w:color="auto"/>
                      <w:lang w:val="en-US" w:eastAsia="zh-CN" w:bidi="ar-SA"/>
                    </w:rPr>
                    <w:t>车间负压+</w:t>
                  </w:r>
                  <w:r>
                    <w:rPr>
                      <w:rFonts w:hint="default" w:ascii="Times New Roman" w:hAnsi="Times New Roman" w:eastAsia="宋体" w:cs="Times New Roman"/>
                      <w:color w:val="auto"/>
                      <w:kern w:val="2"/>
                      <w:sz w:val="21"/>
                      <w:szCs w:val="21"/>
                      <w:highlight w:val="none"/>
                      <w:u w:val="none" w:color="auto"/>
                      <w:lang w:val="en-US" w:eastAsia="zh-CN" w:bidi="ar-SA"/>
                    </w:rPr>
                    <w:t>二级活性炭吸附设施</w:t>
                  </w:r>
                  <w:r>
                    <w:rPr>
                      <w:rFonts w:hint="eastAsia" w:ascii="Times New Roman" w:hAnsi="Times New Roman" w:eastAsia="宋体" w:cs="Times New Roman"/>
                      <w:color w:val="auto"/>
                      <w:kern w:val="2"/>
                      <w:sz w:val="21"/>
                      <w:szCs w:val="21"/>
                      <w:highlight w:val="none"/>
                      <w:u w:val="none" w:color="auto"/>
                      <w:lang w:val="en-US" w:eastAsia="zh-CN" w:bidi="ar-SA"/>
                    </w:rPr>
                    <w:t>+15m排气筒</w:t>
                  </w:r>
                </w:p>
              </w:tc>
              <w:tc>
                <w:tcPr>
                  <w:tcW w:w="532" w:type="pct"/>
                  <w:shd w:val="clear" w:color="auto" w:fill="auto"/>
                  <w:noWrap w:val="0"/>
                  <w:vAlign w:val="center"/>
                </w:tcPr>
                <w:p w14:paraId="73EB1886">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eastAsia" w:cs="Times New Roman"/>
                      <w:color w:val="auto"/>
                      <w:sz w:val="21"/>
                      <w:szCs w:val="21"/>
                      <w:u w:val="none" w:color="auto"/>
                      <w:lang w:val="en-US" w:eastAsia="zh-CN"/>
                    </w:rPr>
                    <w:t>1套</w:t>
                  </w:r>
                </w:p>
              </w:tc>
              <w:tc>
                <w:tcPr>
                  <w:tcW w:w="529" w:type="pct"/>
                  <w:shd w:val="clear" w:color="auto" w:fill="auto"/>
                  <w:noWrap w:val="0"/>
                  <w:vAlign w:val="center"/>
                </w:tcPr>
                <w:p w14:paraId="56B50511">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eastAsia" w:cs="Times New Roman"/>
                      <w:color w:val="auto"/>
                      <w:kern w:val="2"/>
                      <w:sz w:val="21"/>
                      <w:szCs w:val="21"/>
                      <w:u w:val="none" w:color="auto"/>
                      <w:lang w:val="en-US" w:eastAsia="zh-CN" w:bidi="ar-SA"/>
                    </w:rPr>
                    <w:t>15</w:t>
                  </w:r>
                </w:p>
              </w:tc>
            </w:tr>
            <w:tr w14:paraId="5E26A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04" w:type="pct"/>
                  <w:vMerge w:val="continue"/>
                  <w:noWrap w:val="0"/>
                  <w:vAlign w:val="center"/>
                </w:tcPr>
                <w:p w14:paraId="461DAF12">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p>
              </w:tc>
              <w:tc>
                <w:tcPr>
                  <w:tcW w:w="710" w:type="pct"/>
                  <w:shd w:val="clear" w:color="auto" w:fill="auto"/>
                  <w:noWrap w:val="0"/>
                  <w:vAlign w:val="center"/>
                </w:tcPr>
                <w:p w14:paraId="17E1F4AB">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eastAsia" w:eastAsia="宋体" w:cs="Times New Roman"/>
                      <w:color w:val="auto"/>
                      <w:kern w:val="2"/>
                      <w:sz w:val="21"/>
                      <w:szCs w:val="21"/>
                      <w:u w:val="none" w:color="auto"/>
                      <w:lang w:val="en-US" w:eastAsia="zh-CN" w:bidi="ar-SA"/>
                    </w:rPr>
                    <w:t>清洗、喷漆、烤漆</w:t>
                  </w:r>
                </w:p>
              </w:tc>
              <w:tc>
                <w:tcPr>
                  <w:tcW w:w="1072" w:type="pct"/>
                  <w:shd w:val="clear" w:color="auto" w:fill="auto"/>
                  <w:noWrap w:val="0"/>
                  <w:vAlign w:val="center"/>
                </w:tcPr>
                <w:p w14:paraId="6F01BBCD">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cs="Times New Roman"/>
                      <w:color w:val="auto"/>
                      <w:kern w:val="2"/>
                      <w:sz w:val="21"/>
                      <w:szCs w:val="21"/>
                      <w:u w:val="none" w:color="auto"/>
                      <w:lang w:val="en-US" w:eastAsia="zh-CN" w:bidi="ar-SA"/>
                    </w:rPr>
                  </w:pPr>
                  <w:r>
                    <w:rPr>
                      <w:rFonts w:hint="eastAsia" w:eastAsia="宋体" w:cs="Times New Roman"/>
                      <w:color w:val="auto"/>
                      <w:kern w:val="2"/>
                      <w:sz w:val="21"/>
                      <w:szCs w:val="21"/>
                      <w:u w:val="none" w:color="auto"/>
                      <w:lang w:val="en-US" w:eastAsia="zh-CN" w:bidi="ar-SA"/>
                    </w:rPr>
                    <w:t>甲苯、二甲苯、VOCs、二氧化硫、氮氧化物</w:t>
                  </w:r>
                </w:p>
              </w:tc>
              <w:tc>
                <w:tcPr>
                  <w:tcW w:w="1648" w:type="pct"/>
                  <w:shd w:val="clear" w:color="auto" w:fill="auto"/>
                  <w:noWrap w:val="0"/>
                  <w:vAlign w:val="center"/>
                </w:tcPr>
                <w:p w14:paraId="2D6B10CF">
                  <w:pPr>
                    <w:keepNext w:val="0"/>
                    <w:keepLines w:val="0"/>
                    <w:suppressLineNumbers w:val="0"/>
                    <w:wordWrap w:val="0"/>
                    <w:topLinePunct/>
                    <w:adjustRightInd w:val="0"/>
                    <w:snapToGrid w:val="0"/>
                    <w:spacing w:before="0" w:beforeAutospacing="0" w:after="0" w:afterAutospacing="0"/>
                    <w:ind w:left="0" w:leftChars="0" w:right="0" w:rightChars="0"/>
                    <w:jc w:val="both"/>
                    <w:rPr>
                      <w:rFonts w:hint="default" w:cs="Times New Roman"/>
                      <w:color w:val="auto"/>
                      <w:sz w:val="21"/>
                      <w:szCs w:val="21"/>
                      <w:u w:val="none" w:color="auto"/>
                      <w:lang w:val="en-US" w:eastAsia="zh-CN"/>
                    </w:rPr>
                  </w:pPr>
                  <w:r>
                    <w:rPr>
                      <w:rFonts w:hint="eastAsia" w:cs="Times New Roman"/>
                      <w:color w:val="auto"/>
                      <w:kern w:val="2"/>
                      <w:sz w:val="21"/>
                      <w:szCs w:val="21"/>
                      <w:highlight w:val="none"/>
                      <w:u w:val="none" w:color="auto"/>
                      <w:lang w:val="en-US" w:eastAsia="zh-CN" w:bidi="ar-SA"/>
                    </w:rPr>
                    <w:t>干式过滤+活性炭吸附+催化燃烧设施</w:t>
                  </w:r>
                  <w:r>
                    <w:rPr>
                      <w:rFonts w:hint="eastAsia" w:ascii="Times New Roman" w:hAnsi="Times New Roman" w:eastAsia="宋体" w:cs="Times New Roman"/>
                      <w:color w:val="auto"/>
                      <w:kern w:val="2"/>
                      <w:sz w:val="21"/>
                      <w:szCs w:val="21"/>
                      <w:highlight w:val="none"/>
                      <w:u w:val="none" w:color="auto"/>
                      <w:lang w:val="en-US" w:eastAsia="zh-CN" w:bidi="ar-SA"/>
                    </w:rPr>
                    <w:t>+15m排气筒</w:t>
                  </w:r>
                </w:p>
              </w:tc>
              <w:tc>
                <w:tcPr>
                  <w:tcW w:w="532" w:type="pct"/>
                  <w:shd w:val="clear" w:color="auto" w:fill="auto"/>
                  <w:noWrap w:val="0"/>
                  <w:vAlign w:val="center"/>
                </w:tcPr>
                <w:p w14:paraId="229CEAED">
                  <w:pPr>
                    <w:keepNext w:val="0"/>
                    <w:keepLines w:val="0"/>
                    <w:suppressLineNumbers w:val="0"/>
                    <w:wordWrap w:val="0"/>
                    <w:topLinePunct/>
                    <w:adjustRightInd w:val="0"/>
                    <w:snapToGrid w:val="0"/>
                    <w:spacing w:before="0" w:beforeAutospacing="0" w:after="0" w:afterAutospacing="0"/>
                    <w:ind w:left="0" w:leftChars="0" w:right="0" w:rightChars="0"/>
                    <w:jc w:val="center"/>
                    <w:rPr>
                      <w:rFonts w:hint="eastAsia" w:cs="Times New Roman"/>
                      <w:color w:val="auto"/>
                      <w:sz w:val="21"/>
                      <w:szCs w:val="21"/>
                      <w:u w:val="none" w:color="auto"/>
                      <w:lang w:val="en-US" w:eastAsia="zh-CN"/>
                    </w:rPr>
                  </w:pPr>
                  <w:r>
                    <w:rPr>
                      <w:rFonts w:hint="eastAsia" w:cs="Times New Roman"/>
                      <w:color w:val="auto"/>
                      <w:sz w:val="21"/>
                      <w:szCs w:val="21"/>
                      <w:u w:val="none" w:color="auto"/>
                      <w:lang w:val="en-US" w:eastAsia="zh-CN"/>
                    </w:rPr>
                    <w:t>1套</w:t>
                  </w:r>
                </w:p>
              </w:tc>
              <w:tc>
                <w:tcPr>
                  <w:tcW w:w="529" w:type="pct"/>
                  <w:shd w:val="clear" w:color="auto" w:fill="auto"/>
                  <w:noWrap w:val="0"/>
                  <w:vAlign w:val="center"/>
                </w:tcPr>
                <w:p w14:paraId="614FDFBA">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eastAsia" w:eastAsia="宋体" w:cs="Times New Roman"/>
                      <w:color w:val="auto"/>
                      <w:kern w:val="2"/>
                      <w:sz w:val="21"/>
                      <w:szCs w:val="21"/>
                      <w:u w:val="none" w:color="auto"/>
                      <w:lang w:val="en-US" w:eastAsia="zh-CN" w:bidi="ar-SA"/>
                    </w:rPr>
                    <w:t>20</w:t>
                  </w:r>
                </w:p>
              </w:tc>
            </w:tr>
            <w:tr w14:paraId="1803B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04" w:type="pct"/>
                  <w:vMerge w:val="continue"/>
                  <w:noWrap w:val="0"/>
                  <w:vAlign w:val="center"/>
                </w:tcPr>
                <w:p w14:paraId="34EE2F5E">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p>
              </w:tc>
              <w:tc>
                <w:tcPr>
                  <w:tcW w:w="710" w:type="pct"/>
                  <w:shd w:val="clear" w:color="auto" w:fill="auto"/>
                  <w:noWrap w:val="0"/>
                  <w:vAlign w:val="center"/>
                </w:tcPr>
                <w:p w14:paraId="408AD169">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eastAsia" w:eastAsia="宋体" w:cs="Times New Roman"/>
                      <w:color w:val="auto"/>
                      <w:kern w:val="2"/>
                      <w:sz w:val="21"/>
                      <w:szCs w:val="21"/>
                      <w:u w:val="none" w:color="auto"/>
                      <w:lang w:val="en-US" w:eastAsia="zh-CN" w:bidi="ar-SA"/>
                    </w:rPr>
                    <w:t>喷漆</w:t>
                  </w:r>
                </w:p>
              </w:tc>
              <w:tc>
                <w:tcPr>
                  <w:tcW w:w="1072" w:type="pct"/>
                  <w:shd w:val="clear" w:color="auto" w:fill="auto"/>
                  <w:noWrap w:val="0"/>
                  <w:vAlign w:val="center"/>
                </w:tcPr>
                <w:p w14:paraId="27141F71">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cs="Times New Roman"/>
                      <w:color w:val="auto"/>
                      <w:kern w:val="2"/>
                      <w:sz w:val="21"/>
                      <w:szCs w:val="21"/>
                      <w:u w:val="none" w:color="auto"/>
                      <w:lang w:val="en-US" w:eastAsia="zh-CN" w:bidi="ar-SA"/>
                    </w:rPr>
                  </w:pPr>
                  <w:r>
                    <w:rPr>
                      <w:rFonts w:hint="eastAsia" w:cs="Times New Roman"/>
                      <w:color w:val="auto"/>
                      <w:kern w:val="2"/>
                      <w:sz w:val="21"/>
                      <w:szCs w:val="21"/>
                      <w:u w:val="none" w:color="auto"/>
                      <w:lang w:val="en-US" w:eastAsia="zh-CN" w:bidi="ar-SA"/>
                    </w:rPr>
                    <w:t>颗粒物</w:t>
                  </w:r>
                </w:p>
              </w:tc>
              <w:tc>
                <w:tcPr>
                  <w:tcW w:w="1648" w:type="pct"/>
                  <w:shd w:val="clear" w:color="auto" w:fill="auto"/>
                  <w:noWrap w:val="0"/>
                  <w:vAlign w:val="center"/>
                </w:tcPr>
                <w:p w14:paraId="6CDE292B">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cs="Times New Roman"/>
                      <w:color w:val="auto"/>
                      <w:sz w:val="21"/>
                      <w:szCs w:val="21"/>
                      <w:u w:val="none" w:color="auto"/>
                      <w:lang w:val="en-US" w:eastAsia="zh-CN"/>
                    </w:rPr>
                  </w:pPr>
                  <w:r>
                    <w:rPr>
                      <w:rFonts w:hint="eastAsia" w:cs="Times New Roman"/>
                      <w:color w:val="auto"/>
                      <w:sz w:val="21"/>
                      <w:szCs w:val="21"/>
                      <w:u w:val="none" w:color="auto"/>
                      <w:lang w:val="en-US" w:eastAsia="zh-CN"/>
                    </w:rPr>
                    <w:t>水帘除尘设施</w:t>
                  </w:r>
                </w:p>
              </w:tc>
              <w:tc>
                <w:tcPr>
                  <w:tcW w:w="532" w:type="pct"/>
                  <w:shd w:val="clear" w:color="auto" w:fill="auto"/>
                  <w:noWrap w:val="0"/>
                  <w:vAlign w:val="center"/>
                </w:tcPr>
                <w:p w14:paraId="66E1E5C4">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cs="Times New Roman"/>
                      <w:color w:val="auto"/>
                      <w:sz w:val="21"/>
                      <w:szCs w:val="21"/>
                      <w:u w:val="none" w:color="auto"/>
                      <w:lang w:val="en-US" w:eastAsia="zh-CN"/>
                    </w:rPr>
                  </w:pPr>
                  <w:r>
                    <w:rPr>
                      <w:rFonts w:hint="eastAsia" w:cs="Times New Roman"/>
                      <w:color w:val="auto"/>
                      <w:sz w:val="21"/>
                      <w:szCs w:val="21"/>
                      <w:u w:val="none" w:color="auto"/>
                      <w:lang w:val="en-US" w:eastAsia="zh-CN"/>
                    </w:rPr>
                    <w:t>5套</w:t>
                  </w:r>
                </w:p>
              </w:tc>
              <w:tc>
                <w:tcPr>
                  <w:tcW w:w="529" w:type="pct"/>
                  <w:shd w:val="clear" w:color="auto" w:fill="auto"/>
                  <w:noWrap w:val="0"/>
                  <w:vAlign w:val="center"/>
                </w:tcPr>
                <w:p w14:paraId="192B3691">
                  <w:pPr>
                    <w:keepNext w:val="0"/>
                    <w:keepLines w:val="0"/>
                    <w:suppressLineNumbers w:val="0"/>
                    <w:wordWrap w:val="0"/>
                    <w:topLinePunct/>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eastAsia" w:eastAsia="宋体" w:cs="Times New Roman"/>
                      <w:color w:val="auto"/>
                      <w:kern w:val="2"/>
                      <w:sz w:val="21"/>
                      <w:szCs w:val="21"/>
                      <w:u w:val="none" w:color="auto"/>
                      <w:lang w:val="en-US" w:eastAsia="zh-CN" w:bidi="ar-SA"/>
                    </w:rPr>
                    <w:t>4</w:t>
                  </w:r>
                </w:p>
              </w:tc>
            </w:tr>
            <w:tr w14:paraId="1AD06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04" w:type="pct"/>
                  <w:noWrap w:val="0"/>
                  <w:vAlign w:val="center"/>
                </w:tcPr>
                <w:p w14:paraId="4A99CC39">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废水</w:t>
                  </w:r>
                </w:p>
              </w:tc>
              <w:tc>
                <w:tcPr>
                  <w:tcW w:w="710" w:type="pct"/>
                  <w:noWrap w:val="0"/>
                  <w:vAlign w:val="center"/>
                </w:tcPr>
                <w:p w14:paraId="53DC9CB9">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生活污水</w:t>
                  </w:r>
                </w:p>
              </w:tc>
              <w:tc>
                <w:tcPr>
                  <w:tcW w:w="1072" w:type="pct"/>
                  <w:noWrap w:val="0"/>
                  <w:vAlign w:val="center"/>
                </w:tcPr>
                <w:p w14:paraId="56537723">
                  <w:pPr>
                    <w:keepNext w:val="0"/>
                    <w:keepLines w:val="0"/>
                    <w:suppressLineNumbers w:val="0"/>
                    <w:wordWrap w:val="0"/>
                    <w:topLinePunct/>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u w:val="none" w:color="auto"/>
                      <w:lang w:eastAsia="zh-CN"/>
                    </w:rPr>
                  </w:pPr>
                  <w:r>
                    <w:rPr>
                      <w:rFonts w:hint="default" w:ascii="Times New Roman" w:hAnsi="Times New Roman" w:cs="Times New Roman"/>
                      <w:color w:val="auto"/>
                      <w:sz w:val="21"/>
                      <w:szCs w:val="21"/>
                      <w:u w:val="none" w:color="auto"/>
                    </w:rPr>
                    <w:t>COD</w:t>
                  </w:r>
                  <w:r>
                    <w:rPr>
                      <w:rFonts w:hint="eastAsia" w:cs="Times New Roman"/>
                      <w:color w:val="auto"/>
                      <w:sz w:val="21"/>
                      <w:szCs w:val="21"/>
                      <w:u w:val="none" w:color="auto"/>
                      <w:lang w:eastAsia="zh-CN"/>
                    </w:rPr>
                    <w:t>、</w:t>
                  </w:r>
                  <w:r>
                    <w:rPr>
                      <w:rFonts w:hint="default" w:ascii="Times New Roman" w:hAnsi="Times New Roman" w:cs="Times New Roman"/>
                      <w:color w:val="auto"/>
                      <w:sz w:val="21"/>
                      <w:szCs w:val="21"/>
                      <w:u w:val="none" w:color="auto"/>
                    </w:rPr>
                    <w:t>BOD</w:t>
                  </w:r>
                  <w:r>
                    <w:rPr>
                      <w:rFonts w:hint="default" w:ascii="Times New Roman" w:hAnsi="Times New Roman" w:cs="Times New Roman"/>
                      <w:color w:val="auto"/>
                      <w:sz w:val="21"/>
                      <w:szCs w:val="21"/>
                      <w:u w:val="none" w:color="auto"/>
                      <w:vertAlign w:val="subscript"/>
                    </w:rPr>
                    <w:t>5</w:t>
                  </w:r>
                  <w:r>
                    <w:rPr>
                      <w:rFonts w:hint="eastAsia" w:cs="Times New Roman"/>
                      <w:color w:val="auto"/>
                      <w:sz w:val="21"/>
                      <w:szCs w:val="21"/>
                      <w:u w:val="none" w:color="auto"/>
                      <w:lang w:eastAsia="zh-CN"/>
                    </w:rPr>
                    <w:t>、</w:t>
                  </w:r>
                  <w:r>
                    <w:rPr>
                      <w:rFonts w:hint="default" w:ascii="Times New Roman" w:hAnsi="Times New Roman" w:cs="Times New Roman"/>
                      <w:color w:val="auto"/>
                      <w:sz w:val="21"/>
                      <w:szCs w:val="21"/>
                      <w:u w:val="none" w:color="auto"/>
                    </w:rPr>
                    <w:t>SS</w:t>
                  </w:r>
                  <w:r>
                    <w:rPr>
                      <w:rFonts w:hint="eastAsia" w:cs="Times New Roman"/>
                      <w:color w:val="auto"/>
                      <w:sz w:val="21"/>
                      <w:szCs w:val="21"/>
                      <w:u w:val="none" w:color="auto"/>
                      <w:lang w:eastAsia="zh-CN"/>
                    </w:rPr>
                    <w:t>、</w:t>
                  </w:r>
                </w:p>
                <w:p w14:paraId="49EA524A">
                  <w:pPr>
                    <w:keepNext w:val="0"/>
                    <w:keepLines w:val="0"/>
                    <w:suppressLineNumbers w:val="0"/>
                    <w:wordWrap w:val="0"/>
                    <w:topLinePunct/>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u w:val="none" w:color="auto"/>
                      <w:lang w:val="en-US" w:eastAsia="zh-CN"/>
                    </w:rPr>
                  </w:pPr>
                  <w:r>
                    <w:rPr>
                      <w:rFonts w:hint="default" w:ascii="Times New Roman" w:hAnsi="Times New Roman" w:cs="Times New Roman"/>
                      <w:color w:val="auto"/>
                      <w:sz w:val="21"/>
                      <w:szCs w:val="21"/>
                      <w:u w:val="none" w:color="auto"/>
                    </w:rPr>
                    <w:t>NH</w:t>
                  </w:r>
                  <w:r>
                    <w:rPr>
                      <w:rFonts w:hint="default" w:ascii="Times New Roman" w:hAnsi="Times New Roman" w:cs="Times New Roman"/>
                      <w:color w:val="auto"/>
                      <w:sz w:val="21"/>
                      <w:szCs w:val="21"/>
                      <w:u w:val="none" w:color="auto"/>
                      <w:vertAlign w:val="subscript"/>
                    </w:rPr>
                    <w:t>3</w:t>
                  </w:r>
                  <w:r>
                    <w:rPr>
                      <w:rFonts w:hint="default" w:ascii="Times New Roman" w:hAnsi="Times New Roman" w:cs="Times New Roman"/>
                      <w:color w:val="auto"/>
                      <w:sz w:val="21"/>
                      <w:szCs w:val="21"/>
                      <w:u w:val="none" w:color="auto"/>
                    </w:rPr>
                    <w:t>-N</w:t>
                  </w:r>
                </w:p>
              </w:tc>
              <w:tc>
                <w:tcPr>
                  <w:tcW w:w="1648" w:type="pct"/>
                  <w:noWrap w:val="0"/>
                  <w:vAlign w:val="center"/>
                </w:tcPr>
                <w:p w14:paraId="67C23FB0">
                  <w:pPr>
                    <w:keepNext w:val="0"/>
                    <w:keepLines w:val="0"/>
                    <w:suppressLineNumbers w:val="0"/>
                    <w:wordWrap w:val="0"/>
                    <w:topLinePunct/>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u w:val="none" w:color="auto"/>
                      <w:lang w:eastAsia="zh-CN"/>
                    </w:rPr>
                  </w:pPr>
                  <w:r>
                    <w:rPr>
                      <w:rFonts w:hint="default" w:ascii="Times New Roman" w:hAnsi="Times New Roman" w:cs="Times New Roman"/>
                      <w:color w:val="auto"/>
                      <w:sz w:val="21"/>
                      <w:szCs w:val="21"/>
                      <w:u w:val="none" w:color="auto"/>
                    </w:rPr>
                    <w:t>化粪池</w:t>
                  </w:r>
                </w:p>
              </w:tc>
              <w:tc>
                <w:tcPr>
                  <w:tcW w:w="532" w:type="pct"/>
                  <w:noWrap w:val="0"/>
                  <w:vAlign w:val="center"/>
                </w:tcPr>
                <w:p w14:paraId="3FEFC86F">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w:t>
                  </w:r>
                  <w:r>
                    <w:rPr>
                      <w:rFonts w:hint="eastAsia" w:cs="Times New Roman"/>
                      <w:color w:val="auto"/>
                      <w:sz w:val="21"/>
                      <w:szCs w:val="21"/>
                      <w:u w:val="none" w:color="auto"/>
                      <w:lang w:val="en-US" w:eastAsia="zh-CN"/>
                    </w:rPr>
                    <w:t>个</w:t>
                  </w:r>
                </w:p>
              </w:tc>
              <w:tc>
                <w:tcPr>
                  <w:tcW w:w="529" w:type="pct"/>
                  <w:noWrap w:val="0"/>
                  <w:vAlign w:val="center"/>
                </w:tcPr>
                <w:p w14:paraId="6CF5A113">
                  <w:pPr>
                    <w:keepNext w:val="0"/>
                    <w:keepLines w:val="0"/>
                    <w:suppressLineNumbers w:val="0"/>
                    <w:wordWrap w:val="0"/>
                    <w:topLinePunct/>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u w:val="none" w:color="auto"/>
                      <w:lang w:eastAsia="zh-CN"/>
                    </w:rPr>
                  </w:pPr>
                  <w:r>
                    <w:rPr>
                      <w:rFonts w:hint="eastAsia" w:cs="Times New Roman"/>
                      <w:color w:val="auto"/>
                      <w:sz w:val="21"/>
                      <w:szCs w:val="21"/>
                      <w:u w:val="none" w:color="auto"/>
                      <w:lang w:val="en-US" w:eastAsia="zh-CN"/>
                    </w:rPr>
                    <w:t>0</w:t>
                  </w:r>
                </w:p>
              </w:tc>
            </w:tr>
            <w:tr w14:paraId="4AF8B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04" w:type="pct"/>
                  <w:vMerge w:val="restart"/>
                  <w:noWrap w:val="0"/>
                  <w:vAlign w:val="center"/>
                </w:tcPr>
                <w:p w14:paraId="08AA05FD">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固废</w:t>
                  </w:r>
                </w:p>
              </w:tc>
              <w:tc>
                <w:tcPr>
                  <w:tcW w:w="710" w:type="pct"/>
                  <w:vMerge w:val="restart"/>
                  <w:noWrap w:val="0"/>
                  <w:vAlign w:val="center"/>
                </w:tcPr>
                <w:p w14:paraId="06234567">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生产</w:t>
                  </w:r>
                </w:p>
              </w:tc>
              <w:tc>
                <w:tcPr>
                  <w:tcW w:w="1072" w:type="pct"/>
                  <w:noWrap w:val="0"/>
                  <w:vAlign w:val="center"/>
                </w:tcPr>
                <w:p w14:paraId="7E9870C9">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一般工业固废</w:t>
                  </w:r>
                </w:p>
              </w:tc>
              <w:tc>
                <w:tcPr>
                  <w:tcW w:w="1648" w:type="pct"/>
                  <w:noWrap w:val="0"/>
                  <w:vAlign w:val="center"/>
                </w:tcPr>
                <w:p w14:paraId="01EC9224">
                  <w:pPr>
                    <w:keepNext w:val="0"/>
                    <w:keepLines w:val="0"/>
                    <w:suppressLineNumbers w:val="0"/>
                    <w:wordWrap w:val="0"/>
                    <w:topLinePunct/>
                    <w:adjustRightInd w:val="0"/>
                    <w:snapToGrid w:val="0"/>
                    <w:spacing w:before="0" w:beforeAutospacing="0" w:after="0" w:afterAutospacing="0"/>
                    <w:ind w:left="-105" w:leftChars="-50" w:right="-105" w:rightChars="-50"/>
                    <w:jc w:val="center"/>
                    <w:rPr>
                      <w:rFonts w:hint="eastAsia" w:ascii="Times New Roman" w:hAnsi="Times New Roman" w:eastAsia="宋体" w:cs="Times New Roman"/>
                      <w:color w:val="auto"/>
                      <w:sz w:val="21"/>
                      <w:szCs w:val="21"/>
                      <w:u w:val="none" w:color="auto"/>
                      <w:lang w:val="en-US" w:eastAsia="zh-CN"/>
                    </w:rPr>
                  </w:pPr>
                  <w:r>
                    <w:rPr>
                      <w:rFonts w:hint="default" w:ascii="Times New Roman" w:hAnsi="Times New Roman" w:cs="Times New Roman"/>
                      <w:color w:val="auto"/>
                      <w:sz w:val="21"/>
                      <w:szCs w:val="21"/>
                      <w:u w:val="none" w:color="auto"/>
                    </w:rPr>
                    <w:t>一般固废</w:t>
                  </w:r>
                  <w:r>
                    <w:rPr>
                      <w:rFonts w:hint="eastAsia" w:cs="Times New Roman"/>
                      <w:color w:val="auto"/>
                      <w:sz w:val="21"/>
                      <w:szCs w:val="21"/>
                      <w:u w:val="none" w:color="auto"/>
                      <w:lang w:val="en-US" w:eastAsia="zh-CN"/>
                    </w:rPr>
                    <w:t>暂存间</w:t>
                  </w:r>
                </w:p>
              </w:tc>
              <w:tc>
                <w:tcPr>
                  <w:tcW w:w="532" w:type="pct"/>
                  <w:noWrap w:val="0"/>
                  <w:vAlign w:val="center"/>
                </w:tcPr>
                <w:p w14:paraId="45593D4E">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1间</w:t>
                  </w:r>
                </w:p>
              </w:tc>
              <w:tc>
                <w:tcPr>
                  <w:tcW w:w="529" w:type="pct"/>
                  <w:noWrap w:val="0"/>
                  <w:vAlign w:val="center"/>
                </w:tcPr>
                <w:p w14:paraId="6F12746C">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u w:val="none" w:color="auto"/>
                      <w:lang w:val="en-US" w:eastAsia="zh-CN"/>
                    </w:rPr>
                  </w:pPr>
                  <w:r>
                    <w:rPr>
                      <w:rFonts w:hint="eastAsia" w:cs="Times New Roman"/>
                      <w:color w:val="auto"/>
                      <w:sz w:val="21"/>
                      <w:szCs w:val="21"/>
                      <w:u w:val="none" w:color="auto"/>
                      <w:lang w:val="en-US" w:eastAsia="zh-CN"/>
                    </w:rPr>
                    <w:t>0.5</w:t>
                  </w:r>
                </w:p>
              </w:tc>
            </w:tr>
            <w:tr w14:paraId="2DA12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04" w:type="pct"/>
                  <w:vMerge w:val="continue"/>
                  <w:noWrap w:val="0"/>
                  <w:vAlign w:val="center"/>
                </w:tcPr>
                <w:p w14:paraId="34576298">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p>
              </w:tc>
              <w:tc>
                <w:tcPr>
                  <w:tcW w:w="710" w:type="pct"/>
                  <w:vMerge w:val="continue"/>
                  <w:noWrap w:val="0"/>
                  <w:vAlign w:val="center"/>
                </w:tcPr>
                <w:p w14:paraId="243CA1B6">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p>
              </w:tc>
              <w:tc>
                <w:tcPr>
                  <w:tcW w:w="1072" w:type="pct"/>
                  <w:noWrap w:val="0"/>
                  <w:vAlign w:val="center"/>
                </w:tcPr>
                <w:p w14:paraId="04617555">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危险废物</w:t>
                  </w:r>
                </w:p>
              </w:tc>
              <w:tc>
                <w:tcPr>
                  <w:tcW w:w="1648" w:type="pct"/>
                  <w:noWrap w:val="0"/>
                  <w:vAlign w:val="center"/>
                </w:tcPr>
                <w:p w14:paraId="522F5597">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危险</w:t>
                  </w:r>
                  <w:r>
                    <w:rPr>
                      <w:rFonts w:hint="eastAsia" w:cs="Times New Roman"/>
                      <w:color w:val="auto"/>
                      <w:sz w:val="21"/>
                      <w:szCs w:val="21"/>
                      <w:u w:val="none" w:color="auto"/>
                      <w:lang w:val="en-US" w:eastAsia="zh-CN"/>
                    </w:rPr>
                    <w:t>废物暂存</w:t>
                  </w:r>
                  <w:r>
                    <w:rPr>
                      <w:rFonts w:hint="default" w:ascii="Times New Roman" w:hAnsi="Times New Roman" w:cs="Times New Roman"/>
                      <w:color w:val="auto"/>
                      <w:sz w:val="21"/>
                      <w:szCs w:val="21"/>
                      <w:u w:val="none" w:color="auto"/>
                    </w:rPr>
                    <w:t>间</w:t>
                  </w:r>
                </w:p>
              </w:tc>
              <w:tc>
                <w:tcPr>
                  <w:tcW w:w="532" w:type="pct"/>
                  <w:noWrap w:val="0"/>
                  <w:vAlign w:val="center"/>
                </w:tcPr>
                <w:p w14:paraId="3B50F48B">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eastAsia" w:ascii="Times New Roman" w:hAnsi="Times New Roman" w:cs="Times New Roman"/>
                      <w:color w:val="auto"/>
                      <w:sz w:val="21"/>
                      <w:szCs w:val="21"/>
                      <w:u w:val="none" w:color="auto"/>
                      <w:lang w:val="en-US" w:eastAsia="zh-CN"/>
                    </w:rPr>
                    <w:t>1</w:t>
                  </w:r>
                  <w:r>
                    <w:rPr>
                      <w:rFonts w:hint="default" w:ascii="Times New Roman" w:hAnsi="Times New Roman" w:cs="Times New Roman"/>
                      <w:color w:val="auto"/>
                      <w:sz w:val="21"/>
                      <w:szCs w:val="21"/>
                      <w:u w:val="none" w:color="auto"/>
                    </w:rPr>
                    <w:t>间</w:t>
                  </w:r>
                </w:p>
              </w:tc>
              <w:tc>
                <w:tcPr>
                  <w:tcW w:w="529" w:type="pct"/>
                  <w:noWrap w:val="0"/>
                  <w:vAlign w:val="center"/>
                </w:tcPr>
                <w:p w14:paraId="208AB842">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u w:val="none" w:color="auto"/>
                      <w:lang w:val="en-US" w:eastAsia="zh-CN"/>
                    </w:rPr>
                  </w:pPr>
                  <w:r>
                    <w:rPr>
                      <w:rFonts w:hint="eastAsia" w:cs="Times New Roman"/>
                      <w:color w:val="auto"/>
                      <w:sz w:val="21"/>
                      <w:szCs w:val="21"/>
                      <w:u w:val="none" w:color="auto"/>
                      <w:lang w:val="en-US" w:eastAsia="zh-CN"/>
                    </w:rPr>
                    <w:t>2</w:t>
                  </w:r>
                </w:p>
              </w:tc>
            </w:tr>
            <w:tr w14:paraId="17D73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04" w:type="pct"/>
                  <w:vMerge w:val="continue"/>
                  <w:noWrap w:val="0"/>
                  <w:vAlign w:val="center"/>
                </w:tcPr>
                <w:p w14:paraId="7248788C">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p>
              </w:tc>
              <w:tc>
                <w:tcPr>
                  <w:tcW w:w="710" w:type="pct"/>
                  <w:noWrap w:val="0"/>
                  <w:vAlign w:val="center"/>
                </w:tcPr>
                <w:p w14:paraId="247624DF">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办公生活</w:t>
                  </w:r>
                </w:p>
              </w:tc>
              <w:tc>
                <w:tcPr>
                  <w:tcW w:w="1072" w:type="pct"/>
                  <w:noWrap w:val="0"/>
                  <w:vAlign w:val="center"/>
                </w:tcPr>
                <w:p w14:paraId="0AB6C7A5">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生活垃圾</w:t>
                  </w:r>
                </w:p>
              </w:tc>
              <w:tc>
                <w:tcPr>
                  <w:tcW w:w="1648" w:type="pct"/>
                  <w:noWrap w:val="0"/>
                  <w:vAlign w:val="center"/>
                </w:tcPr>
                <w:p w14:paraId="1C4BF78B">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生活垃圾收集桶</w:t>
                  </w:r>
                </w:p>
              </w:tc>
              <w:tc>
                <w:tcPr>
                  <w:tcW w:w="532" w:type="pct"/>
                  <w:noWrap w:val="0"/>
                  <w:vAlign w:val="center"/>
                </w:tcPr>
                <w:p w14:paraId="7C9256BF">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若干</w:t>
                  </w:r>
                </w:p>
              </w:tc>
              <w:tc>
                <w:tcPr>
                  <w:tcW w:w="529" w:type="pct"/>
                  <w:noWrap w:val="0"/>
                  <w:vAlign w:val="center"/>
                </w:tcPr>
                <w:p w14:paraId="05967ECF">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u w:val="none" w:color="auto"/>
                      <w:lang w:val="en-US" w:eastAsia="zh-CN"/>
                    </w:rPr>
                  </w:pPr>
                  <w:r>
                    <w:rPr>
                      <w:rFonts w:hint="eastAsia" w:cs="Times New Roman"/>
                      <w:color w:val="auto"/>
                      <w:sz w:val="21"/>
                      <w:szCs w:val="21"/>
                      <w:u w:val="none" w:color="auto"/>
                      <w:lang w:val="en-US" w:eastAsia="zh-CN"/>
                    </w:rPr>
                    <w:t>0.5</w:t>
                  </w:r>
                </w:p>
              </w:tc>
            </w:tr>
            <w:tr w14:paraId="0F64E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04" w:type="pct"/>
                  <w:noWrap w:val="0"/>
                  <w:vAlign w:val="center"/>
                </w:tcPr>
                <w:p w14:paraId="748914C0">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噪声</w:t>
                  </w:r>
                </w:p>
              </w:tc>
              <w:tc>
                <w:tcPr>
                  <w:tcW w:w="710" w:type="pct"/>
                  <w:noWrap w:val="0"/>
                  <w:vAlign w:val="center"/>
                </w:tcPr>
                <w:p w14:paraId="73B99EEE">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生产设备</w:t>
                  </w:r>
                </w:p>
              </w:tc>
              <w:tc>
                <w:tcPr>
                  <w:tcW w:w="1072" w:type="pct"/>
                  <w:noWrap w:val="0"/>
                  <w:vAlign w:val="center"/>
                </w:tcPr>
                <w:p w14:paraId="7EC68284">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机械噪声</w:t>
                  </w:r>
                </w:p>
              </w:tc>
              <w:tc>
                <w:tcPr>
                  <w:tcW w:w="1648" w:type="pct"/>
                  <w:noWrap w:val="0"/>
                  <w:vAlign w:val="center"/>
                </w:tcPr>
                <w:p w14:paraId="5CCF43B6">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消声</w:t>
                  </w:r>
                  <w:r>
                    <w:rPr>
                      <w:rFonts w:hint="eastAsia" w:cs="Times New Roman"/>
                      <w:color w:val="auto"/>
                      <w:sz w:val="21"/>
                      <w:szCs w:val="21"/>
                      <w:u w:val="none" w:color="auto"/>
                      <w:lang w:eastAsia="zh-CN"/>
                    </w:rPr>
                    <w:t>、</w:t>
                  </w:r>
                  <w:r>
                    <w:rPr>
                      <w:rFonts w:hint="default" w:ascii="Times New Roman" w:hAnsi="Times New Roman" w:cs="Times New Roman"/>
                      <w:color w:val="auto"/>
                      <w:sz w:val="21"/>
                      <w:szCs w:val="21"/>
                      <w:u w:val="none" w:color="auto"/>
                    </w:rPr>
                    <w:t>隔声</w:t>
                  </w:r>
                  <w:r>
                    <w:rPr>
                      <w:rFonts w:hint="eastAsia" w:cs="Times New Roman"/>
                      <w:color w:val="auto"/>
                      <w:sz w:val="21"/>
                      <w:szCs w:val="21"/>
                      <w:u w:val="none" w:color="auto"/>
                      <w:lang w:eastAsia="zh-CN"/>
                    </w:rPr>
                    <w:t>、</w:t>
                  </w:r>
                  <w:r>
                    <w:rPr>
                      <w:rFonts w:hint="default" w:ascii="Times New Roman" w:hAnsi="Times New Roman" w:cs="Times New Roman"/>
                      <w:color w:val="auto"/>
                      <w:sz w:val="21"/>
                      <w:szCs w:val="21"/>
                      <w:u w:val="none" w:color="auto"/>
                    </w:rPr>
                    <w:t>减振措施</w:t>
                  </w:r>
                </w:p>
              </w:tc>
              <w:tc>
                <w:tcPr>
                  <w:tcW w:w="532" w:type="pct"/>
                  <w:noWrap w:val="0"/>
                  <w:vAlign w:val="center"/>
                </w:tcPr>
                <w:p w14:paraId="5C0E037F">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w:t>
                  </w:r>
                </w:p>
              </w:tc>
              <w:tc>
                <w:tcPr>
                  <w:tcW w:w="529" w:type="pct"/>
                  <w:noWrap w:val="0"/>
                  <w:vAlign w:val="center"/>
                </w:tcPr>
                <w:p w14:paraId="5AEB0B12">
                  <w:pPr>
                    <w:keepNext w:val="0"/>
                    <w:keepLines w:val="0"/>
                    <w:suppressLineNumbers w:val="0"/>
                    <w:wordWrap w:val="0"/>
                    <w:topLinePunct/>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u w:val="none" w:color="auto"/>
                      <w:lang w:eastAsia="zh-CN"/>
                    </w:rPr>
                  </w:pPr>
                  <w:r>
                    <w:rPr>
                      <w:rFonts w:hint="eastAsia" w:cs="Times New Roman"/>
                      <w:color w:val="auto"/>
                      <w:sz w:val="21"/>
                      <w:szCs w:val="21"/>
                      <w:u w:val="none" w:color="auto"/>
                      <w:lang w:val="en-US" w:eastAsia="zh-CN"/>
                    </w:rPr>
                    <w:t>5</w:t>
                  </w:r>
                </w:p>
              </w:tc>
            </w:tr>
            <w:tr w14:paraId="3DA35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470" w:type="pct"/>
                  <w:gridSpan w:val="5"/>
                  <w:noWrap w:val="0"/>
                  <w:vAlign w:val="center"/>
                </w:tcPr>
                <w:p w14:paraId="0ED10334">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cs="Times New Roman"/>
                      <w:color w:val="auto"/>
                      <w:sz w:val="21"/>
                      <w:szCs w:val="21"/>
                      <w:u w:val="none" w:color="auto"/>
                    </w:rPr>
                  </w:pPr>
                  <w:r>
                    <w:rPr>
                      <w:rFonts w:hint="default" w:ascii="Times New Roman" w:hAnsi="Times New Roman" w:cs="Times New Roman"/>
                      <w:color w:val="auto"/>
                      <w:sz w:val="21"/>
                      <w:szCs w:val="21"/>
                      <w:u w:val="none" w:color="auto"/>
                    </w:rPr>
                    <w:t>合计</w:t>
                  </w:r>
                </w:p>
              </w:tc>
              <w:tc>
                <w:tcPr>
                  <w:tcW w:w="529" w:type="pct"/>
                  <w:noWrap w:val="0"/>
                  <w:vAlign w:val="center"/>
                </w:tcPr>
                <w:p w14:paraId="650F8B4A">
                  <w:pPr>
                    <w:keepNext w:val="0"/>
                    <w:keepLines w:val="0"/>
                    <w:suppressLineNumbers w:val="0"/>
                    <w:wordWrap w:val="0"/>
                    <w:topLinePunct/>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u w:val="none" w:color="auto"/>
                      <w:lang w:val="en-US" w:eastAsia="zh-CN"/>
                    </w:rPr>
                  </w:pPr>
                  <w:r>
                    <w:rPr>
                      <w:rFonts w:hint="eastAsia" w:cs="Times New Roman"/>
                      <w:color w:val="auto"/>
                      <w:sz w:val="21"/>
                      <w:szCs w:val="21"/>
                      <w:u w:val="none" w:color="auto"/>
                      <w:lang w:val="en-US" w:eastAsia="zh-CN"/>
                    </w:rPr>
                    <w:t>48.5</w:t>
                  </w:r>
                </w:p>
              </w:tc>
            </w:tr>
          </w:tbl>
          <w:p w14:paraId="54A3812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宋体" w:cs="Times New Roman"/>
                <w:b/>
                <w:bCs/>
                <w:color w:val="auto"/>
                <w:sz w:val="21"/>
                <w:szCs w:val="21"/>
                <w:highlight w:val="yellow"/>
                <w:u w:val="none" w:color="auto"/>
                <w:lang w:val="en-US" w:eastAsia="zh-CN"/>
              </w:rPr>
            </w:pPr>
          </w:p>
        </w:tc>
      </w:tr>
    </w:tbl>
    <w:p w14:paraId="4017E110">
      <w:pPr>
        <w:widowControl/>
        <w:spacing w:before="100" w:beforeAutospacing="1" w:after="100" w:afterAutospacing="1"/>
        <w:ind w:firstLine="600" w:firstLineChars="200"/>
        <w:jc w:val="center"/>
        <w:outlineLvl w:val="0"/>
        <w:rPr>
          <w:rFonts w:hint="default" w:ascii="Times New Roman" w:hAnsi="Times New Roman" w:eastAsia="宋体" w:cs="Times New Roman"/>
          <w:snapToGrid w:val="0"/>
          <w:color w:val="auto"/>
          <w:kern w:val="0"/>
          <w:sz w:val="30"/>
          <w:szCs w:val="30"/>
          <w:highlight w:val="none"/>
          <w:lang w:val="en-US" w:eastAsia="zh-CN" w:bidi="ar-SA"/>
        </w:rPr>
      </w:pPr>
      <w:r>
        <w:rPr>
          <w:rFonts w:hint="default" w:ascii="Times New Roman" w:hAnsi="Times New Roman" w:eastAsia="宋体" w:cs="Times New Roman"/>
          <w:snapToGrid w:val="0"/>
          <w:color w:val="auto"/>
          <w:kern w:val="0"/>
          <w:sz w:val="30"/>
          <w:szCs w:val="30"/>
          <w:highlight w:val="yellow"/>
          <w:lang w:val="en-US" w:eastAsia="zh-CN" w:bidi="ar-SA"/>
        </w:rPr>
        <w:br w:type="page"/>
      </w:r>
      <w:r>
        <w:rPr>
          <w:rFonts w:hint="default" w:ascii="Times New Roman" w:hAnsi="Times New Roman" w:eastAsia="宋体" w:cs="Times New Roman"/>
          <w:snapToGrid w:val="0"/>
          <w:color w:val="auto"/>
          <w:kern w:val="0"/>
          <w:sz w:val="30"/>
          <w:szCs w:val="30"/>
          <w:highlight w:val="none"/>
          <w:lang w:val="en-US" w:eastAsia="zh-CN" w:bidi="ar-SA"/>
        </w:rPr>
        <w:t>五、</w:t>
      </w:r>
      <w:bookmarkStart w:id="19" w:name="_Hlk54167917"/>
      <w:r>
        <w:rPr>
          <w:rFonts w:hint="default" w:ascii="Times New Roman" w:hAnsi="Times New Roman" w:eastAsia="宋体" w:cs="Times New Roman"/>
          <w:snapToGrid w:val="0"/>
          <w:color w:val="auto"/>
          <w:kern w:val="0"/>
          <w:sz w:val="30"/>
          <w:szCs w:val="30"/>
          <w:highlight w:val="none"/>
          <w:lang w:val="en-US" w:eastAsia="zh-CN" w:bidi="ar-SA"/>
        </w:rPr>
        <w:t>环境保护措施监督检查清单</w:t>
      </w:r>
      <w:bookmarkEnd w:id="16"/>
      <w:bookmarkEnd w:id="17"/>
      <w:bookmarkEnd w:id="18"/>
      <w:bookmarkEnd w:id="19"/>
    </w:p>
    <w:tbl>
      <w:tblPr>
        <w:tblStyle w:val="31"/>
        <w:tblW w:w="937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57"/>
        <w:gridCol w:w="1492"/>
        <w:gridCol w:w="1745"/>
        <w:gridCol w:w="1657"/>
        <w:gridCol w:w="3126"/>
      </w:tblGrid>
      <w:tr w14:paraId="31A128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357" w:type="dxa"/>
            <w:tcBorders>
              <w:tl2br w:val="single" w:color="auto" w:sz="4" w:space="0"/>
            </w:tcBorders>
            <w:noWrap w:val="0"/>
            <w:vAlign w:val="top"/>
          </w:tcPr>
          <w:p w14:paraId="3BE97D3D">
            <w:pPr>
              <w:adjustRightInd w:val="0"/>
              <w:snapToGrid w:val="0"/>
              <w:ind w:firstLine="420" w:firstLineChars="200"/>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内容</w:t>
            </w:r>
          </w:p>
          <w:p w14:paraId="1F57B89A">
            <w:pPr>
              <w:adjustRightInd w:val="0"/>
              <w:snapToGrid w:val="0"/>
              <w:ind w:firstLine="420" w:firstLineChars="200"/>
              <w:rPr>
                <w:rFonts w:hint="default" w:ascii="Times New Roman" w:hAnsi="Times New Roman" w:eastAsia="宋体" w:cs="Times New Roman"/>
                <w:b w:val="0"/>
                <w:bCs w:val="0"/>
                <w:color w:val="auto"/>
                <w:szCs w:val="21"/>
                <w:highlight w:val="none"/>
                <w:u w:val="none" w:color="auto"/>
              </w:rPr>
            </w:pPr>
          </w:p>
          <w:p w14:paraId="783A7443">
            <w:pPr>
              <w:adjustRightInd w:val="0"/>
              <w:snapToGrid w:val="0"/>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要素</w:t>
            </w:r>
          </w:p>
        </w:tc>
        <w:tc>
          <w:tcPr>
            <w:tcW w:w="1492" w:type="dxa"/>
            <w:noWrap w:val="0"/>
            <w:vAlign w:val="center"/>
          </w:tcPr>
          <w:p w14:paraId="766ABCC9">
            <w:pPr>
              <w:adjustRightInd w:val="0"/>
              <w:snapToGrid w:val="0"/>
              <w:jc w:val="both"/>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排放口(编号、名称)/污染源</w:t>
            </w:r>
          </w:p>
        </w:tc>
        <w:tc>
          <w:tcPr>
            <w:tcW w:w="1745" w:type="dxa"/>
            <w:noWrap w:val="0"/>
            <w:vAlign w:val="center"/>
          </w:tcPr>
          <w:p w14:paraId="0CF99EC5">
            <w:pPr>
              <w:adjustRightInd w:val="0"/>
              <w:snapToGrid w:val="0"/>
              <w:jc w:val="center"/>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污染物项目</w:t>
            </w:r>
          </w:p>
        </w:tc>
        <w:tc>
          <w:tcPr>
            <w:tcW w:w="1657" w:type="dxa"/>
            <w:noWrap w:val="0"/>
            <w:vAlign w:val="center"/>
          </w:tcPr>
          <w:p w14:paraId="2416EC2E">
            <w:pPr>
              <w:adjustRightInd w:val="0"/>
              <w:snapToGrid w:val="0"/>
              <w:jc w:val="center"/>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环境保护措施</w:t>
            </w:r>
          </w:p>
        </w:tc>
        <w:tc>
          <w:tcPr>
            <w:tcW w:w="3126" w:type="dxa"/>
            <w:noWrap w:val="0"/>
            <w:vAlign w:val="center"/>
          </w:tcPr>
          <w:p w14:paraId="0ECB7FBE">
            <w:pPr>
              <w:adjustRightInd w:val="0"/>
              <w:snapToGrid w:val="0"/>
              <w:jc w:val="center"/>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执行标准</w:t>
            </w:r>
          </w:p>
        </w:tc>
      </w:tr>
      <w:tr w14:paraId="19CBA4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1357" w:type="dxa"/>
            <w:vMerge w:val="restart"/>
            <w:noWrap w:val="0"/>
            <w:vAlign w:val="center"/>
          </w:tcPr>
          <w:p w14:paraId="0ADA6750">
            <w:pPr>
              <w:adjustRightInd w:val="0"/>
              <w:snapToGrid w:val="0"/>
              <w:jc w:val="center"/>
              <w:rPr>
                <w:rFonts w:hint="default" w:ascii="Times New Roman" w:hAnsi="Times New Roman" w:eastAsia="宋体" w:cs="Times New Roman"/>
                <w:color w:val="auto"/>
                <w:szCs w:val="21"/>
                <w:highlight w:val="yellow"/>
                <w:u w:val="none" w:color="auto"/>
              </w:rPr>
            </w:pPr>
            <w:r>
              <w:rPr>
                <w:rFonts w:hint="default" w:ascii="Times New Roman" w:hAnsi="Times New Roman" w:eastAsia="宋体" w:cs="Times New Roman"/>
                <w:color w:val="auto"/>
                <w:szCs w:val="21"/>
                <w:highlight w:val="none"/>
                <w:u w:val="none" w:color="auto"/>
              </w:rPr>
              <w:t>大气环境</w:t>
            </w:r>
          </w:p>
        </w:tc>
        <w:tc>
          <w:tcPr>
            <w:tcW w:w="1492" w:type="dxa"/>
            <w:noWrap w:val="0"/>
            <w:vAlign w:val="center"/>
          </w:tcPr>
          <w:p w14:paraId="02B7A78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yellow"/>
                <w:u w:val="single" w:color="auto"/>
                <w:lang w:val="en-US" w:eastAsia="zh-CN" w:bidi="ar-SA"/>
              </w:rPr>
            </w:pPr>
            <w:r>
              <w:rPr>
                <w:rFonts w:hint="eastAsia" w:cs="Times New Roman"/>
                <w:b w:val="0"/>
                <w:bCs w:val="0"/>
                <w:color w:val="auto"/>
                <w:sz w:val="21"/>
                <w:szCs w:val="21"/>
                <w:highlight w:val="none"/>
                <w:u w:val="none" w:color="auto"/>
                <w:vertAlign w:val="baseline"/>
                <w:lang w:val="en-US" w:eastAsia="zh-CN"/>
              </w:rPr>
              <w:t>喷漆、烤漆、清洗废气</w:t>
            </w:r>
            <w:r>
              <w:rPr>
                <w:rFonts w:hint="default" w:ascii="Times New Roman" w:hAnsi="Times New Roman" w:eastAsia="宋体" w:cs="Times New Roman"/>
                <w:b w:val="0"/>
                <w:bCs w:val="0"/>
                <w:color w:val="auto"/>
                <w:sz w:val="21"/>
                <w:szCs w:val="21"/>
                <w:highlight w:val="none"/>
                <w:u w:val="none" w:color="auto"/>
                <w:vertAlign w:val="baseline"/>
                <w:lang w:val="en-US" w:eastAsia="zh-CN"/>
              </w:rPr>
              <w:t>排气筒（DA001）</w:t>
            </w:r>
          </w:p>
        </w:tc>
        <w:tc>
          <w:tcPr>
            <w:tcW w:w="1745" w:type="dxa"/>
            <w:noWrap w:val="0"/>
            <w:vAlign w:val="center"/>
          </w:tcPr>
          <w:p w14:paraId="050C2AA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宋体" w:cs="Times New Roman"/>
                <w:color w:val="auto"/>
                <w:kern w:val="2"/>
                <w:sz w:val="21"/>
                <w:szCs w:val="21"/>
                <w:highlight w:val="yellow"/>
                <w:u w:val="single" w:color="auto"/>
                <w:lang w:val="en-US" w:eastAsia="zh-CN" w:bidi="ar-SA"/>
              </w:rPr>
            </w:pPr>
            <w:r>
              <w:rPr>
                <w:rFonts w:hint="default" w:ascii="Times New Roman" w:hAnsi="Times New Roman" w:cs="Times New Roman"/>
                <w:bCs/>
                <w:color w:val="auto"/>
                <w:szCs w:val="21"/>
                <w:u w:val="none" w:color="auto"/>
              </w:rPr>
              <w:t>VOCs、</w:t>
            </w:r>
            <w:r>
              <w:rPr>
                <w:rFonts w:hint="eastAsia" w:cs="Times New Roman"/>
                <w:bCs/>
                <w:color w:val="auto"/>
                <w:szCs w:val="21"/>
                <w:u w:val="none" w:color="auto"/>
                <w:lang w:val="en-US" w:eastAsia="zh-CN"/>
              </w:rPr>
              <w:t>甲苯、</w:t>
            </w:r>
            <w:r>
              <w:rPr>
                <w:rFonts w:hint="default" w:ascii="Times New Roman" w:hAnsi="Times New Roman" w:cs="Times New Roman"/>
                <w:bCs/>
                <w:color w:val="auto"/>
                <w:szCs w:val="21"/>
                <w:u w:val="none" w:color="auto"/>
              </w:rPr>
              <w:t>二甲苯、</w:t>
            </w:r>
            <w:r>
              <w:rPr>
                <w:rStyle w:val="55"/>
                <w:rFonts w:hint="eastAsia" w:ascii="Times New Roman" w:hAnsi="Times New Roman" w:eastAsia="宋体" w:cs="Times New Roman"/>
                <w:b w:val="0"/>
                <w:bCs/>
                <w:color w:val="auto"/>
                <w:sz w:val="21"/>
                <w:szCs w:val="21"/>
                <w:highlight w:val="none"/>
                <w:u w:val="none" w:color="auto"/>
                <w:lang w:val="en-US" w:eastAsia="zh-CN"/>
              </w:rPr>
              <w:t>颗粒物</w:t>
            </w:r>
            <w:r>
              <w:rPr>
                <w:rStyle w:val="55"/>
                <w:rFonts w:hint="eastAsia" w:eastAsia="宋体" w:cs="Times New Roman"/>
                <w:b w:val="0"/>
                <w:bCs/>
                <w:color w:val="auto"/>
                <w:sz w:val="21"/>
                <w:szCs w:val="21"/>
                <w:highlight w:val="none"/>
                <w:u w:val="none" w:color="auto"/>
                <w:lang w:val="en-US" w:eastAsia="zh-CN"/>
              </w:rPr>
              <w:t>、二氧化硫、氮氧化物</w:t>
            </w:r>
          </w:p>
        </w:tc>
        <w:tc>
          <w:tcPr>
            <w:tcW w:w="1657" w:type="dxa"/>
            <w:noWrap w:val="0"/>
            <w:vAlign w:val="center"/>
          </w:tcPr>
          <w:p w14:paraId="1FD45777">
            <w:pPr>
              <w:keepNext w:val="0"/>
              <w:keepLines w:val="0"/>
              <w:suppressLineNumbers w:val="0"/>
              <w:wordWrap w:val="0"/>
              <w:topLinePunct/>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yellow"/>
                <w:u w:val="single" w:color="auto"/>
                <w:lang w:val="en-US" w:eastAsia="zh-CN" w:bidi="ar-SA"/>
              </w:rPr>
            </w:pPr>
            <w:r>
              <w:rPr>
                <w:rFonts w:hint="eastAsia" w:ascii="Times New Roman" w:hAnsi="Times New Roman" w:eastAsia="宋体" w:cs="Times New Roman"/>
                <w:color w:val="auto"/>
                <w:kern w:val="2"/>
                <w:sz w:val="21"/>
                <w:szCs w:val="21"/>
                <w:highlight w:val="none"/>
                <w:u w:val="none" w:color="auto"/>
                <w:lang w:val="en-US" w:eastAsia="zh-CN" w:bidi="ar-SA"/>
              </w:rPr>
              <w:t>负压收集+</w:t>
            </w:r>
            <w:r>
              <w:rPr>
                <w:rFonts w:hint="eastAsia" w:cs="Times New Roman"/>
                <w:color w:val="auto"/>
                <w:kern w:val="2"/>
                <w:sz w:val="21"/>
                <w:szCs w:val="21"/>
                <w:highlight w:val="none"/>
                <w:u w:val="none" w:color="auto"/>
                <w:lang w:val="en-US" w:eastAsia="zh-CN" w:bidi="ar-SA"/>
              </w:rPr>
              <w:t>水帘除尘+干式过滤+活性炭吸附+催化燃烧设施</w:t>
            </w:r>
            <w:r>
              <w:rPr>
                <w:rFonts w:hint="eastAsia" w:ascii="Times New Roman" w:hAnsi="Times New Roman" w:eastAsia="宋体" w:cs="Times New Roman"/>
                <w:color w:val="auto"/>
                <w:kern w:val="2"/>
                <w:sz w:val="21"/>
                <w:szCs w:val="21"/>
                <w:highlight w:val="none"/>
                <w:u w:val="none" w:color="auto"/>
                <w:lang w:val="en-US" w:eastAsia="zh-CN" w:bidi="ar-SA"/>
              </w:rPr>
              <w:t>+15m排气筒</w:t>
            </w:r>
          </w:p>
        </w:tc>
        <w:tc>
          <w:tcPr>
            <w:tcW w:w="3126" w:type="dxa"/>
            <w:noWrap w:val="0"/>
            <w:vAlign w:val="center"/>
          </w:tcPr>
          <w:p w14:paraId="38FDE1E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kern w:val="2"/>
                <w:sz w:val="21"/>
                <w:szCs w:val="21"/>
                <w:highlight w:val="yellow"/>
                <w:u w:val="single" w:color="auto"/>
                <w:lang w:val="en-US" w:eastAsia="zh-CN" w:bidi="ar-SA"/>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二甲苯、</w:t>
            </w:r>
            <w:r>
              <w:rPr>
                <w:rFonts w:hint="eastAsia" w:cs="Times New Roman"/>
                <w:b w:val="0"/>
                <w:bCs w:val="0"/>
                <w:color w:val="auto"/>
                <w:sz w:val="21"/>
                <w:szCs w:val="21"/>
                <w:highlight w:val="none"/>
                <w:u w:val="none" w:color="auto"/>
                <w:vertAlign w:val="baseline"/>
                <w:lang w:val="en-US" w:eastAsia="zh-CN"/>
              </w:rPr>
              <w:t>甲苯、</w:t>
            </w:r>
            <w:r>
              <w:rPr>
                <w:rFonts w:hint="default" w:ascii="Times New Roman" w:hAnsi="Times New Roman" w:eastAsia="宋体" w:cs="Times New Roman"/>
                <w:b w:val="0"/>
                <w:bCs w:val="0"/>
                <w:color w:val="auto"/>
                <w:sz w:val="21"/>
                <w:szCs w:val="21"/>
                <w:highlight w:val="none"/>
                <w:u w:val="none" w:color="auto"/>
                <w:vertAlign w:val="baseline"/>
                <w:lang w:val="en-US" w:eastAsia="zh-CN"/>
              </w:rPr>
              <w:t>挥发性有机物排放参照执行湖南省地方标准《表面涂装（汽车制造及维修）挥发性有机物、镍排放标准》（DB43/1356-2017）表1中排放标准</w:t>
            </w:r>
            <w:r>
              <w:rPr>
                <w:rFonts w:hint="eastAsia" w:ascii="Times New Roman" w:hAnsi="Times New Roman" w:eastAsia="宋体" w:cs="Times New Roman"/>
                <w:b w:val="0"/>
                <w:bCs w:val="0"/>
                <w:color w:val="auto"/>
                <w:sz w:val="21"/>
                <w:szCs w:val="21"/>
                <w:highlight w:val="none"/>
                <w:u w:val="none" w:color="auto"/>
                <w:vertAlign w:val="baseline"/>
                <w:lang w:val="en-US" w:eastAsia="zh-CN"/>
              </w:rPr>
              <w:t>；颗粒物</w:t>
            </w:r>
            <w:r>
              <w:rPr>
                <w:rFonts w:hint="eastAsia" w:eastAsia="宋体" w:cs="Times New Roman"/>
                <w:b w:val="0"/>
                <w:bCs w:val="0"/>
                <w:color w:val="auto"/>
                <w:sz w:val="21"/>
                <w:szCs w:val="21"/>
                <w:highlight w:val="none"/>
                <w:u w:val="none" w:color="auto"/>
                <w:vertAlign w:val="baseline"/>
                <w:lang w:val="en-US" w:eastAsia="zh-CN"/>
              </w:rPr>
              <w:t>、二氧化硫、氮氧化物</w:t>
            </w:r>
            <w:r>
              <w:rPr>
                <w:rFonts w:hint="eastAsia" w:ascii="Times New Roman" w:hAnsi="Times New Roman" w:eastAsia="宋体" w:cs="Times New Roman"/>
                <w:b w:val="0"/>
                <w:bCs w:val="0"/>
                <w:color w:val="auto"/>
                <w:sz w:val="21"/>
                <w:szCs w:val="21"/>
                <w:highlight w:val="none"/>
                <w:u w:val="none" w:color="auto"/>
                <w:vertAlign w:val="baseline"/>
                <w:lang w:val="en-US" w:eastAsia="zh-CN"/>
              </w:rPr>
              <w:t>执行</w:t>
            </w:r>
            <w:r>
              <w:rPr>
                <w:rFonts w:hint="eastAsia" w:cs="Times New Roman"/>
                <w:b w:val="0"/>
                <w:bCs w:val="0"/>
                <w:color w:val="auto"/>
                <w:sz w:val="21"/>
                <w:szCs w:val="21"/>
                <w:highlight w:val="none"/>
                <w:u w:val="none" w:color="auto"/>
                <w:vertAlign w:val="baseline"/>
                <w:lang w:val="en-US" w:eastAsia="zh-CN"/>
              </w:rPr>
              <w:t>《湖南省工业炉窑大气污染综合治理实施方案》（湘环发〔2020〕6号）中标准限值要求</w:t>
            </w:r>
          </w:p>
        </w:tc>
      </w:tr>
      <w:tr w14:paraId="7BC456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2" w:hRule="atLeast"/>
          <w:jc w:val="center"/>
        </w:trPr>
        <w:tc>
          <w:tcPr>
            <w:tcW w:w="1357" w:type="dxa"/>
            <w:vMerge w:val="continue"/>
            <w:noWrap w:val="0"/>
            <w:vAlign w:val="center"/>
          </w:tcPr>
          <w:p w14:paraId="7D227131">
            <w:pPr>
              <w:adjustRightInd w:val="0"/>
              <w:snapToGrid w:val="0"/>
              <w:jc w:val="center"/>
              <w:rPr>
                <w:rFonts w:hint="default" w:ascii="Times New Roman" w:hAnsi="Times New Roman" w:eastAsia="宋体" w:cs="Times New Roman"/>
                <w:color w:val="auto"/>
                <w:szCs w:val="21"/>
                <w:highlight w:val="yellow"/>
                <w:u w:val="none" w:color="auto"/>
              </w:rPr>
            </w:pPr>
          </w:p>
        </w:tc>
        <w:tc>
          <w:tcPr>
            <w:tcW w:w="1492" w:type="dxa"/>
            <w:noWrap w:val="0"/>
            <w:vAlign w:val="center"/>
          </w:tcPr>
          <w:p w14:paraId="27E57D7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yellow"/>
                <w:u w:val="single" w:color="auto"/>
                <w:lang w:val="en-US" w:eastAsia="zh-CN" w:bidi="ar-SA"/>
              </w:rPr>
            </w:pPr>
            <w:r>
              <w:rPr>
                <w:rFonts w:hint="default" w:eastAsia="宋体" w:cs="Times New Roman"/>
                <w:b w:val="0"/>
                <w:bCs/>
                <w:snapToGrid w:val="0"/>
                <w:color w:val="auto"/>
                <w:spacing w:val="4"/>
                <w:sz w:val="21"/>
                <w:szCs w:val="21"/>
                <w:u w:val="none" w:color="auto"/>
                <w:lang w:val="en-US" w:eastAsia="zh-CN"/>
              </w:rPr>
              <w:t>调漆、静置</w:t>
            </w:r>
            <w:r>
              <w:rPr>
                <w:rFonts w:hint="eastAsia" w:cs="Times New Roman"/>
                <w:b w:val="0"/>
                <w:bCs/>
                <w:snapToGrid w:val="0"/>
                <w:color w:val="auto"/>
                <w:spacing w:val="4"/>
                <w:sz w:val="21"/>
                <w:szCs w:val="21"/>
                <w:u w:val="none" w:color="auto"/>
                <w:lang w:val="en-US" w:eastAsia="zh-CN"/>
              </w:rPr>
              <w:t>、车间工艺</w:t>
            </w:r>
            <w:r>
              <w:rPr>
                <w:rFonts w:hint="default" w:ascii="Times New Roman" w:hAnsi="Times New Roman" w:eastAsia="宋体" w:cs="Times New Roman"/>
                <w:b w:val="0"/>
                <w:bCs w:val="0"/>
                <w:color w:val="auto"/>
                <w:sz w:val="21"/>
                <w:szCs w:val="21"/>
                <w:highlight w:val="none"/>
                <w:u w:val="none" w:color="auto"/>
                <w:vertAlign w:val="baseline"/>
                <w:lang w:val="en-US" w:eastAsia="zh-CN"/>
              </w:rPr>
              <w:t>废气排气筒（DA002）</w:t>
            </w:r>
          </w:p>
        </w:tc>
        <w:tc>
          <w:tcPr>
            <w:tcW w:w="1745" w:type="dxa"/>
            <w:noWrap w:val="0"/>
            <w:vAlign w:val="center"/>
          </w:tcPr>
          <w:p w14:paraId="23887AF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kern w:val="2"/>
                <w:sz w:val="21"/>
                <w:szCs w:val="21"/>
                <w:highlight w:val="yellow"/>
                <w:u w:val="single" w:color="auto"/>
                <w:lang w:val="en-US" w:eastAsia="zh-CN" w:bidi="ar-SA"/>
              </w:rPr>
            </w:pPr>
            <w:r>
              <w:rPr>
                <w:rFonts w:hint="default" w:ascii="Times New Roman" w:hAnsi="Times New Roman" w:cs="Times New Roman"/>
                <w:bCs/>
                <w:color w:val="auto"/>
                <w:szCs w:val="21"/>
                <w:u w:val="none" w:color="auto"/>
              </w:rPr>
              <w:t>VOCs、</w:t>
            </w:r>
            <w:r>
              <w:rPr>
                <w:rFonts w:hint="eastAsia" w:cs="Times New Roman"/>
                <w:bCs/>
                <w:color w:val="auto"/>
                <w:szCs w:val="21"/>
                <w:u w:val="none" w:color="auto"/>
                <w:lang w:val="en-US" w:eastAsia="zh-CN"/>
              </w:rPr>
              <w:t>甲苯、</w:t>
            </w:r>
            <w:r>
              <w:rPr>
                <w:rFonts w:hint="default" w:ascii="Times New Roman" w:hAnsi="Times New Roman" w:cs="Times New Roman"/>
                <w:bCs/>
                <w:color w:val="auto"/>
                <w:szCs w:val="21"/>
                <w:u w:val="none" w:color="auto"/>
              </w:rPr>
              <w:t>二甲苯、</w:t>
            </w:r>
            <w:r>
              <w:rPr>
                <w:rStyle w:val="55"/>
                <w:rFonts w:hint="eastAsia" w:ascii="Times New Roman" w:hAnsi="Times New Roman" w:eastAsia="宋体" w:cs="Times New Roman"/>
                <w:b w:val="0"/>
                <w:bCs/>
                <w:color w:val="auto"/>
                <w:sz w:val="21"/>
                <w:szCs w:val="21"/>
                <w:highlight w:val="none"/>
                <w:u w:val="none" w:color="auto"/>
                <w:lang w:val="en-US" w:eastAsia="zh-CN"/>
              </w:rPr>
              <w:t>颗粒物</w:t>
            </w:r>
          </w:p>
        </w:tc>
        <w:tc>
          <w:tcPr>
            <w:tcW w:w="1657" w:type="dxa"/>
            <w:noWrap w:val="0"/>
            <w:vAlign w:val="center"/>
          </w:tcPr>
          <w:p w14:paraId="43024ED5">
            <w:pPr>
              <w:keepNext w:val="0"/>
              <w:keepLines w:val="0"/>
              <w:suppressLineNumbers w:val="0"/>
              <w:wordWrap w:val="0"/>
              <w:topLinePunct/>
              <w:adjustRightInd w:val="0"/>
              <w:snapToGrid w:val="0"/>
              <w:spacing w:before="0" w:beforeAutospacing="0" w:after="0" w:afterAutospacing="0"/>
              <w:ind w:left="0" w:leftChars="0" w:right="0" w:rightChars="0"/>
              <w:jc w:val="both"/>
              <w:rPr>
                <w:rFonts w:hint="default" w:ascii="Times New Roman" w:hAnsi="Times New Roman" w:eastAsia="宋体" w:cs="Times New Roman"/>
                <w:color w:val="auto"/>
                <w:kern w:val="2"/>
                <w:sz w:val="21"/>
                <w:szCs w:val="21"/>
                <w:highlight w:val="yellow"/>
                <w:u w:val="single" w:color="auto"/>
                <w:lang w:val="en-US" w:eastAsia="zh-CN" w:bidi="ar-SA"/>
              </w:rPr>
            </w:pPr>
            <w:r>
              <w:rPr>
                <w:rFonts w:hint="eastAsia" w:ascii="Times New Roman" w:hAnsi="Times New Roman" w:eastAsia="宋体" w:cs="Times New Roman"/>
                <w:color w:val="auto"/>
                <w:kern w:val="2"/>
                <w:sz w:val="21"/>
                <w:szCs w:val="21"/>
                <w:highlight w:val="none"/>
                <w:u w:val="none" w:color="auto"/>
                <w:lang w:val="en-US" w:eastAsia="zh-CN" w:bidi="ar-SA"/>
              </w:rPr>
              <w:t>车间负压+</w:t>
            </w:r>
            <w:r>
              <w:rPr>
                <w:rFonts w:hint="default" w:ascii="Times New Roman" w:hAnsi="Times New Roman" w:eastAsia="宋体" w:cs="Times New Roman"/>
                <w:color w:val="auto"/>
                <w:kern w:val="2"/>
                <w:sz w:val="21"/>
                <w:szCs w:val="21"/>
                <w:highlight w:val="none"/>
                <w:u w:val="none" w:color="auto"/>
                <w:lang w:val="en-US" w:eastAsia="zh-CN" w:bidi="ar-SA"/>
              </w:rPr>
              <w:t>二级活性炭吸附设施</w:t>
            </w:r>
            <w:r>
              <w:rPr>
                <w:rFonts w:hint="eastAsia" w:ascii="Times New Roman" w:hAnsi="Times New Roman" w:eastAsia="宋体" w:cs="Times New Roman"/>
                <w:color w:val="auto"/>
                <w:kern w:val="2"/>
                <w:sz w:val="21"/>
                <w:szCs w:val="21"/>
                <w:highlight w:val="none"/>
                <w:u w:val="none" w:color="auto"/>
                <w:lang w:val="en-US" w:eastAsia="zh-CN" w:bidi="ar-SA"/>
              </w:rPr>
              <w:t>+15m排气筒</w:t>
            </w:r>
          </w:p>
        </w:tc>
        <w:tc>
          <w:tcPr>
            <w:tcW w:w="3126" w:type="dxa"/>
            <w:noWrap w:val="0"/>
            <w:vAlign w:val="center"/>
          </w:tcPr>
          <w:p w14:paraId="5879D2D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pacing w:val="0"/>
                <w:w w:val="100"/>
                <w:kern w:val="2"/>
                <w:sz w:val="21"/>
                <w:szCs w:val="24"/>
                <w:highlight w:val="yellow"/>
                <w:u w:val="single" w:color="auto"/>
                <w:lang w:val="zh-CN" w:eastAsia="zh-CN" w:bidi="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二甲苯、</w:t>
            </w:r>
            <w:r>
              <w:rPr>
                <w:rFonts w:hint="eastAsia" w:cs="Times New Roman"/>
                <w:b w:val="0"/>
                <w:bCs w:val="0"/>
                <w:color w:val="auto"/>
                <w:sz w:val="21"/>
                <w:szCs w:val="21"/>
                <w:highlight w:val="none"/>
                <w:u w:val="none" w:color="auto"/>
                <w:vertAlign w:val="baseline"/>
                <w:lang w:val="en-US" w:eastAsia="zh-CN"/>
              </w:rPr>
              <w:t>甲苯、</w:t>
            </w:r>
            <w:r>
              <w:rPr>
                <w:rFonts w:hint="default" w:ascii="Times New Roman" w:hAnsi="Times New Roman" w:eastAsia="宋体" w:cs="Times New Roman"/>
                <w:b w:val="0"/>
                <w:bCs w:val="0"/>
                <w:color w:val="auto"/>
                <w:sz w:val="21"/>
                <w:szCs w:val="21"/>
                <w:highlight w:val="none"/>
                <w:u w:val="none" w:color="auto"/>
                <w:vertAlign w:val="baseline"/>
                <w:lang w:val="en-US" w:eastAsia="zh-CN"/>
              </w:rPr>
              <w:t>挥发性有机物排放参照执行湖南省地方标准《表面涂装（汽车制造及维修）挥发性有机物、镍排放标准》（DB43/1356-2017）表1中排放标准</w:t>
            </w:r>
            <w:r>
              <w:rPr>
                <w:rFonts w:hint="eastAsia" w:ascii="Times New Roman" w:hAnsi="Times New Roman" w:eastAsia="宋体" w:cs="Times New Roman"/>
                <w:b w:val="0"/>
                <w:bCs w:val="0"/>
                <w:color w:val="auto"/>
                <w:sz w:val="21"/>
                <w:szCs w:val="21"/>
                <w:highlight w:val="none"/>
                <w:u w:val="none" w:color="auto"/>
                <w:vertAlign w:val="baseline"/>
                <w:lang w:val="en-US" w:eastAsia="zh-CN"/>
              </w:rPr>
              <w:t>；颗粒物执行《大气污染物综合排放标准》（GB16297-1996）表2中的二级排放标准</w:t>
            </w:r>
          </w:p>
        </w:tc>
      </w:tr>
      <w:tr w14:paraId="2192B7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357" w:type="dxa"/>
            <w:vMerge w:val="continue"/>
            <w:noWrap w:val="0"/>
            <w:vAlign w:val="center"/>
          </w:tcPr>
          <w:p w14:paraId="490EFAF9">
            <w:pPr>
              <w:adjustRightInd w:val="0"/>
              <w:snapToGrid w:val="0"/>
              <w:jc w:val="center"/>
              <w:rPr>
                <w:rFonts w:hint="default" w:ascii="Times New Roman" w:hAnsi="Times New Roman" w:eastAsia="宋体" w:cs="Times New Roman"/>
                <w:color w:val="auto"/>
                <w:szCs w:val="21"/>
                <w:highlight w:val="yellow"/>
                <w:u w:val="none" w:color="auto"/>
              </w:rPr>
            </w:pPr>
          </w:p>
        </w:tc>
        <w:tc>
          <w:tcPr>
            <w:tcW w:w="1492" w:type="dxa"/>
            <w:noWrap w:val="0"/>
            <w:vAlign w:val="center"/>
          </w:tcPr>
          <w:p w14:paraId="211EDDE1">
            <w:pPr>
              <w:keepNext w:val="0"/>
              <w:keepLines w:val="0"/>
              <w:pageBreakBefore w:val="0"/>
              <w:widowControl w:val="0"/>
              <w:kinsoku/>
              <w:wordWrap/>
              <w:overflowPunct/>
              <w:topLinePunct w:val="0"/>
              <w:autoSpaceDE/>
              <w:autoSpaceDN/>
              <w:bidi w:val="0"/>
              <w:spacing w:line="260" w:lineRule="exact"/>
              <w:ind w:firstLine="0" w:firstLineChars="0"/>
              <w:jc w:val="center"/>
              <w:textAlignment w:val="auto"/>
              <w:rPr>
                <w:rFonts w:hint="eastAsia" w:ascii="Times New Roman" w:hAnsi="Times New Roman" w:eastAsia="宋体" w:cs="Times New Roman"/>
                <w:color w:val="auto"/>
                <w:kern w:val="2"/>
                <w:sz w:val="21"/>
                <w:szCs w:val="21"/>
                <w:highlight w:val="yellow"/>
                <w:u w:val="single" w:color="auto"/>
                <w:lang w:val="en-US" w:eastAsia="zh-CN" w:bidi="ar-SA"/>
              </w:rPr>
            </w:pPr>
            <w:r>
              <w:rPr>
                <w:rFonts w:ascii="Times New Roman" w:hAnsi="Times New Roman" w:eastAsia="宋体" w:cs="Times New Roman"/>
                <w:color w:val="auto"/>
                <w:kern w:val="2"/>
                <w:sz w:val="21"/>
                <w:szCs w:val="21"/>
                <w:highlight w:val="none"/>
                <w:u w:val="single" w:color="auto"/>
                <w:lang w:val="en-US" w:eastAsia="zh-CN" w:bidi="ar-SA"/>
              </w:rPr>
              <w:t>厂界</w:t>
            </w:r>
          </w:p>
        </w:tc>
        <w:tc>
          <w:tcPr>
            <w:tcW w:w="1745" w:type="dxa"/>
            <w:noWrap w:val="0"/>
            <w:vAlign w:val="center"/>
          </w:tcPr>
          <w:p w14:paraId="07DAB2D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kern w:val="2"/>
                <w:sz w:val="21"/>
                <w:szCs w:val="21"/>
                <w:highlight w:val="yellow"/>
                <w:u w:val="single" w:color="auto"/>
                <w:lang w:val="en-US" w:eastAsia="zh-CN" w:bidi="ar-SA"/>
              </w:rPr>
            </w:pPr>
            <w:r>
              <w:rPr>
                <w:rFonts w:hint="default" w:ascii="Times New Roman" w:hAnsi="Times New Roman" w:cs="Times New Roman"/>
                <w:bCs/>
                <w:color w:val="auto"/>
                <w:szCs w:val="21"/>
                <w:highlight w:val="none"/>
                <w:u w:val="none" w:color="auto"/>
              </w:rPr>
              <w:t>VOCs、</w:t>
            </w:r>
            <w:r>
              <w:rPr>
                <w:rFonts w:hint="eastAsia" w:cs="Times New Roman"/>
                <w:bCs/>
                <w:color w:val="auto"/>
                <w:szCs w:val="21"/>
                <w:highlight w:val="none"/>
                <w:u w:val="none" w:color="auto"/>
                <w:lang w:val="en-US" w:eastAsia="zh-CN"/>
              </w:rPr>
              <w:t>甲苯、</w:t>
            </w:r>
            <w:r>
              <w:rPr>
                <w:rFonts w:hint="default" w:ascii="Times New Roman" w:hAnsi="Times New Roman" w:cs="Times New Roman"/>
                <w:bCs/>
                <w:color w:val="auto"/>
                <w:szCs w:val="21"/>
                <w:highlight w:val="none"/>
                <w:u w:val="none" w:color="auto"/>
              </w:rPr>
              <w:t>二甲苯、</w:t>
            </w:r>
            <w:r>
              <w:rPr>
                <w:rStyle w:val="55"/>
                <w:rFonts w:hint="eastAsia" w:ascii="Times New Roman" w:hAnsi="Times New Roman" w:eastAsia="宋体" w:cs="Times New Roman"/>
                <w:b w:val="0"/>
                <w:bCs/>
                <w:color w:val="auto"/>
                <w:sz w:val="21"/>
                <w:szCs w:val="21"/>
                <w:highlight w:val="none"/>
                <w:u w:val="none" w:color="auto"/>
                <w:lang w:val="en-US" w:eastAsia="zh-CN"/>
              </w:rPr>
              <w:t>颗粒物、二氧化硫、氮氧化物</w:t>
            </w:r>
          </w:p>
        </w:tc>
        <w:tc>
          <w:tcPr>
            <w:tcW w:w="1657" w:type="dxa"/>
            <w:noWrap w:val="0"/>
            <w:vAlign w:val="center"/>
          </w:tcPr>
          <w:p w14:paraId="46663D99">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highlight w:val="yellow"/>
                <w:u w:val="single" w:color="auto"/>
                <w:lang w:val="en-US" w:eastAsia="zh-CN" w:bidi="ar-SA"/>
              </w:rPr>
            </w:pPr>
            <w:r>
              <w:rPr>
                <w:rFonts w:hint="eastAsia" w:eastAsia="宋体" w:cs="Times New Roman"/>
                <w:color w:val="auto"/>
                <w:kern w:val="2"/>
                <w:sz w:val="21"/>
                <w:szCs w:val="21"/>
                <w:u w:val="none" w:color="auto"/>
                <w:lang w:val="en-US" w:eastAsia="zh-CN" w:bidi="ar-SA"/>
              </w:rPr>
              <w:t>下料切割、焊接、打磨</w:t>
            </w:r>
            <w:r>
              <w:rPr>
                <w:rFonts w:hint="default" w:ascii="Times New Roman" w:hAnsi="Times New Roman" w:eastAsia="宋体" w:cs="Times New Roman"/>
                <w:color w:val="auto"/>
                <w:kern w:val="2"/>
                <w:sz w:val="21"/>
                <w:szCs w:val="21"/>
                <w:highlight w:val="none"/>
                <w:u w:val="single" w:color="auto"/>
                <w:lang w:val="en-US" w:eastAsia="zh-CN" w:bidi="ar-SA"/>
              </w:rPr>
              <w:t>工序</w:t>
            </w:r>
            <w:r>
              <w:rPr>
                <w:rFonts w:hint="eastAsia" w:ascii="Times New Roman" w:hAnsi="Times New Roman" w:eastAsia="宋体" w:cs="Times New Roman"/>
                <w:color w:val="auto"/>
                <w:kern w:val="2"/>
                <w:sz w:val="21"/>
                <w:szCs w:val="21"/>
                <w:highlight w:val="none"/>
                <w:u w:val="single" w:color="auto"/>
                <w:lang w:val="en-US" w:eastAsia="zh-CN" w:bidi="ar-SA"/>
              </w:rPr>
              <w:t>粉尘</w:t>
            </w:r>
            <w:r>
              <w:rPr>
                <w:rFonts w:hint="default" w:ascii="Times New Roman" w:hAnsi="Times New Roman" w:eastAsia="宋体" w:cs="Times New Roman"/>
                <w:color w:val="auto"/>
                <w:kern w:val="2"/>
                <w:sz w:val="21"/>
                <w:szCs w:val="21"/>
                <w:highlight w:val="none"/>
                <w:u w:val="single" w:color="auto"/>
                <w:lang w:val="en-US" w:eastAsia="zh-CN" w:bidi="ar-SA"/>
              </w:rPr>
              <w:t>采取移动式粉尘净化器处理后无组织外排</w:t>
            </w:r>
            <w:r>
              <w:rPr>
                <w:rFonts w:hint="eastAsia" w:ascii="Times New Roman" w:hAnsi="Times New Roman" w:eastAsia="宋体" w:cs="Times New Roman"/>
                <w:color w:val="auto"/>
                <w:kern w:val="2"/>
                <w:sz w:val="21"/>
                <w:szCs w:val="21"/>
                <w:highlight w:val="none"/>
                <w:u w:val="single" w:color="auto"/>
                <w:lang w:val="en-US" w:eastAsia="zh-CN" w:bidi="ar-SA"/>
              </w:rPr>
              <w:t>；加强车间通风</w:t>
            </w:r>
          </w:p>
        </w:tc>
        <w:tc>
          <w:tcPr>
            <w:tcW w:w="3126" w:type="dxa"/>
            <w:noWrap w:val="0"/>
            <w:vAlign w:val="center"/>
          </w:tcPr>
          <w:p w14:paraId="26AEF64B">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宋体" w:cs="Times New Roman"/>
                <w:color w:val="auto"/>
                <w:spacing w:val="0"/>
                <w:w w:val="100"/>
                <w:kern w:val="2"/>
                <w:sz w:val="21"/>
                <w:szCs w:val="24"/>
                <w:highlight w:val="yellow"/>
                <w:u w:val="single" w:color="auto"/>
                <w:lang w:val="zh-CN" w:eastAsia="zh-CN" w:bidi="zh-CN"/>
              </w:rPr>
            </w:pPr>
            <w:r>
              <w:rPr>
                <w:rFonts w:hint="default" w:ascii="Times New Roman" w:hAnsi="Times New Roman" w:eastAsia="宋体" w:cs="Times New Roman"/>
                <w:b w:val="0"/>
                <w:bCs w:val="0"/>
                <w:color w:val="auto"/>
                <w:sz w:val="21"/>
                <w:szCs w:val="21"/>
                <w:highlight w:val="none"/>
                <w:u w:val="none" w:color="auto"/>
                <w:vertAlign w:val="baseline"/>
                <w:lang w:val="en-US" w:eastAsia="zh-CN"/>
              </w:rPr>
              <w:t>挥发性有机物参照执行湖南省地方标准《表面涂装（汽车制造及维修）挥发性有机物、镍排放标准》（DB43/1356-2017）表3中排放标准</w:t>
            </w:r>
            <w:r>
              <w:rPr>
                <w:rFonts w:hint="eastAsia" w:ascii="Times New Roman" w:hAnsi="Times New Roman" w:eastAsia="宋体" w:cs="Times New Roman"/>
                <w:b w:val="0"/>
                <w:bCs w:val="0"/>
                <w:color w:val="auto"/>
                <w:sz w:val="21"/>
                <w:szCs w:val="21"/>
                <w:highlight w:val="none"/>
                <w:u w:val="none" w:color="auto"/>
                <w:vertAlign w:val="baseline"/>
                <w:lang w:val="en-US" w:eastAsia="zh-CN"/>
              </w:rPr>
              <w:t>；</w:t>
            </w:r>
            <w:r>
              <w:rPr>
                <w:rFonts w:hint="eastAsia" w:cs="Times New Roman"/>
                <w:b w:val="0"/>
                <w:bCs w:val="0"/>
                <w:color w:val="auto"/>
                <w:sz w:val="21"/>
                <w:szCs w:val="21"/>
                <w:highlight w:val="none"/>
                <w:u w:val="none" w:color="auto"/>
                <w:vertAlign w:val="baseline"/>
                <w:lang w:val="en-US" w:eastAsia="zh-CN"/>
              </w:rPr>
              <w:t>甲苯、</w:t>
            </w:r>
            <w:r>
              <w:rPr>
                <w:rFonts w:hint="default" w:ascii="Times New Roman" w:hAnsi="Times New Roman" w:eastAsia="宋体" w:cs="Times New Roman"/>
                <w:b w:val="0"/>
                <w:bCs w:val="0"/>
                <w:color w:val="auto"/>
                <w:sz w:val="21"/>
                <w:szCs w:val="21"/>
                <w:highlight w:val="none"/>
                <w:u w:val="none" w:color="auto"/>
                <w:vertAlign w:val="baseline"/>
                <w:lang w:val="en-US" w:eastAsia="zh-CN"/>
              </w:rPr>
              <w:t>二甲苯</w:t>
            </w:r>
            <w:r>
              <w:rPr>
                <w:rFonts w:hint="eastAsia" w:ascii="Times New Roman" w:hAnsi="Times New Roman" w:eastAsia="宋体" w:cs="Times New Roman"/>
                <w:b w:val="0"/>
                <w:bCs w:val="0"/>
                <w:color w:val="auto"/>
                <w:sz w:val="21"/>
                <w:szCs w:val="21"/>
                <w:highlight w:val="none"/>
                <w:u w:val="none" w:color="auto"/>
                <w:vertAlign w:val="baseline"/>
                <w:lang w:val="en-US" w:eastAsia="zh-CN"/>
              </w:rPr>
              <w:t>、颗粒物</w:t>
            </w:r>
            <w:r>
              <w:rPr>
                <w:rFonts w:hint="eastAsia" w:cs="Times New Roman"/>
                <w:b w:val="0"/>
                <w:bCs w:val="0"/>
                <w:color w:val="auto"/>
                <w:sz w:val="21"/>
                <w:szCs w:val="21"/>
                <w:highlight w:val="none"/>
                <w:u w:val="none" w:color="auto"/>
                <w:vertAlign w:val="baseline"/>
                <w:lang w:val="en-US" w:eastAsia="zh-CN"/>
              </w:rPr>
              <w:t>、二氧化硫、氮氧化物</w:t>
            </w:r>
            <w:r>
              <w:rPr>
                <w:rFonts w:hint="default" w:ascii="Times New Roman" w:hAnsi="Times New Roman" w:eastAsia="宋体" w:cs="Times New Roman"/>
                <w:b w:val="0"/>
                <w:bCs w:val="0"/>
                <w:color w:val="auto"/>
                <w:sz w:val="21"/>
                <w:szCs w:val="21"/>
                <w:highlight w:val="none"/>
                <w:u w:val="none" w:color="auto"/>
                <w:vertAlign w:val="baseline"/>
                <w:lang w:val="en-US" w:eastAsia="zh-CN"/>
              </w:rPr>
              <w:t>执行</w:t>
            </w:r>
            <w:r>
              <w:rPr>
                <w:rFonts w:hint="default" w:ascii="Times New Roman" w:hAnsi="Times New Roman" w:eastAsia="宋体" w:cs="Times New Roman"/>
                <w:b w:val="0"/>
                <w:bCs w:val="0"/>
                <w:color w:val="auto"/>
                <w:sz w:val="21"/>
                <w:szCs w:val="21"/>
                <w:highlight w:val="none"/>
                <w:u w:val="none" w:color="auto"/>
                <w:vertAlign w:val="baseline"/>
                <w:lang w:eastAsia="zh-CN"/>
              </w:rPr>
              <w:t>《大气污染物综合排放标准》（GB16297-1996）无组织排放监控浓度限值</w:t>
            </w:r>
          </w:p>
        </w:tc>
      </w:tr>
      <w:tr w14:paraId="394DD6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357" w:type="dxa"/>
            <w:vMerge w:val="continue"/>
            <w:noWrap w:val="0"/>
            <w:vAlign w:val="center"/>
          </w:tcPr>
          <w:p w14:paraId="42CF2F4B">
            <w:pPr>
              <w:adjustRightInd w:val="0"/>
              <w:snapToGrid w:val="0"/>
              <w:jc w:val="center"/>
              <w:rPr>
                <w:rFonts w:hint="default" w:ascii="Times New Roman" w:hAnsi="Times New Roman" w:eastAsia="宋体" w:cs="Times New Roman"/>
                <w:color w:val="auto"/>
                <w:szCs w:val="21"/>
                <w:highlight w:val="yellow"/>
                <w:u w:val="none" w:color="auto"/>
              </w:rPr>
            </w:pPr>
          </w:p>
        </w:tc>
        <w:tc>
          <w:tcPr>
            <w:tcW w:w="1492" w:type="dxa"/>
            <w:noWrap w:val="0"/>
            <w:vAlign w:val="center"/>
          </w:tcPr>
          <w:p w14:paraId="7F020E54">
            <w:pPr>
              <w:keepNext w:val="0"/>
              <w:keepLines w:val="0"/>
              <w:pageBreakBefore w:val="0"/>
              <w:widowControl w:val="0"/>
              <w:kinsoku/>
              <w:wordWrap/>
              <w:overflowPunct/>
              <w:topLinePunct w:val="0"/>
              <w:autoSpaceDE/>
              <w:autoSpaceDN/>
              <w:bidi w:val="0"/>
              <w:spacing w:line="260" w:lineRule="exact"/>
              <w:ind w:firstLine="0" w:firstLineChars="0"/>
              <w:jc w:val="center"/>
              <w:textAlignment w:val="auto"/>
              <w:rPr>
                <w:rFonts w:hint="default" w:ascii="Times New Roman" w:hAnsi="Times New Roman" w:eastAsia="宋体" w:cs="Times New Roman"/>
                <w:color w:val="auto"/>
                <w:kern w:val="2"/>
                <w:sz w:val="21"/>
                <w:szCs w:val="21"/>
                <w:highlight w:val="yellow"/>
                <w:u w:val="none" w:color="auto"/>
                <w:lang w:val="en-US" w:eastAsia="zh-CN" w:bidi="ar-SA"/>
              </w:rPr>
            </w:pPr>
            <w:r>
              <w:rPr>
                <w:rFonts w:hint="default" w:ascii="Times New Roman" w:hAnsi="Times New Roman" w:eastAsia="宋体" w:cs="Times New Roman"/>
                <w:color w:val="auto"/>
                <w:kern w:val="2"/>
                <w:sz w:val="21"/>
                <w:szCs w:val="21"/>
                <w:highlight w:val="none"/>
                <w:lang w:val="en-US" w:eastAsia="zh-CN" w:bidi="ar-SA"/>
              </w:rPr>
              <w:t>厂区内厂房外</w:t>
            </w:r>
          </w:p>
        </w:tc>
        <w:tc>
          <w:tcPr>
            <w:tcW w:w="1745" w:type="dxa"/>
            <w:noWrap w:val="0"/>
            <w:vAlign w:val="center"/>
          </w:tcPr>
          <w:p w14:paraId="7D0C122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 w:val="21"/>
                <w:szCs w:val="21"/>
                <w:highlight w:val="yellow"/>
                <w:u w:val="none" w:color="auto"/>
              </w:rPr>
            </w:pPr>
            <w:r>
              <w:rPr>
                <w:rFonts w:hint="default" w:ascii="Times New Roman" w:hAnsi="Times New Roman" w:cs="Times New Roman"/>
                <w:bCs/>
                <w:color w:val="auto"/>
                <w:szCs w:val="21"/>
                <w:highlight w:val="none"/>
              </w:rPr>
              <w:t>VOCs</w:t>
            </w:r>
          </w:p>
        </w:tc>
        <w:tc>
          <w:tcPr>
            <w:tcW w:w="1657" w:type="dxa"/>
            <w:noWrap w:val="0"/>
            <w:vAlign w:val="center"/>
          </w:tcPr>
          <w:p w14:paraId="7FAA7737">
            <w:pPr>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sz w:val="21"/>
                <w:szCs w:val="21"/>
                <w:highlight w:val="yellow"/>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w:t>
            </w:r>
          </w:p>
        </w:tc>
        <w:tc>
          <w:tcPr>
            <w:tcW w:w="3126" w:type="dxa"/>
            <w:noWrap w:val="0"/>
            <w:vAlign w:val="center"/>
          </w:tcPr>
          <w:p w14:paraId="717830B0">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宋体" w:cs="Times New Roman"/>
                <w:color w:val="auto"/>
                <w:sz w:val="21"/>
                <w:szCs w:val="21"/>
                <w:highlight w:val="yellow"/>
                <w:u w:val="none" w:color="auto"/>
              </w:rPr>
            </w:pPr>
            <w:r>
              <w:rPr>
                <w:rFonts w:hint="eastAsia" w:ascii="Calibri" w:eastAsia="宋体"/>
                <w:color w:val="auto"/>
                <w:sz w:val="21"/>
                <w:szCs w:val="21"/>
                <w:highlight w:val="none"/>
                <w:lang w:val="en-US" w:eastAsia="zh-CN"/>
              </w:rPr>
              <w:t>厂区内厂房外VOCs执行《挥发性有机物无组织排放控制标准》（GB37822-2019）表A.1厂区内VOCs无组织排放限值</w:t>
            </w:r>
          </w:p>
        </w:tc>
      </w:tr>
      <w:tr w14:paraId="7AFE29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357" w:type="dxa"/>
            <w:noWrap w:val="0"/>
            <w:vAlign w:val="center"/>
          </w:tcPr>
          <w:p w14:paraId="00E792D1">
            <w:pPr>
              <w:adjustRightInd w:val="0"/>
              <w:snapToGrid w:val="0"/>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地表水环境</w:t>
            </w:r>
          </w:p>
        </w:tc>
        <w:tc>
          <w:tcPr>
            <w:tcW w:w="1492" w:type="dxa"/>
            <w:noWrap w:val="0"/>
            <w:vAlign w:val="center"/>
          </w:tcPr>
          <w:p w14:paraId="0C87D507">
            <w:pPr>
              <w:adjustRightInd w:val="0"/>
              <w:snapToGrid w:val="0"/>
              <w:jc w:val="center"/>
              <w:rPr>
                <w:rFonts w:hint="default" w:ascii="Times New Roman" w:hAnsi="Times New Roman" w:eastAsia="宋体" w:cs="Times New Roman"/>
                <w:color w:val="auto"/>
                <w:szCs w:val="21"/>
                <w:highlight w:val="none"/>
                <w:u w:val="none" w:color="auto"/>
                <w:lang w:val="en-US" w:eastAsia="zh-CN"/>
              </w:rPr>
            </w:pPr>
            <w:r>
              <w:rPr>
                <w:rFonts w:hint="eastAsia" w:cs="Times New Roman"/>
                <w:color w:val="auto"/>
                <w:szCs w:val="21"/>
                <w:highlight w:val="none"/>
                <w:u w:val="none" w:color="auto"/>
                <w:lang w:val="en-US" w:eastAsia="zh-CN"/>
              </w:rPr>
              <w:t>生活污水</w:t>
            </w:r>
          </w:p>
        </w:tc>
        <w:tc>
          <w:tcPr>
            <w:tcW w:w="1745" w:type="dxa"/>
            <w:noWrap w:val="0"/>
            <w:vAlign w:val="center"/>
          </w:tcPr>
          <w:p w14:paraId="21835DED">
            <w:pPr>
              <w:keepNext w:val="0"/>
              <w:keepLines w:val="0"/>
              <w:widowControl/>
              <w:suppressLineNumbers w:val="0"/>
              <w:jc w:val="left"/>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kern w:val="0"/>
                <w:sz w:val="21"/>
                <w:szCs w:val="21"/>
                <w:highlight w:val="none"/>
                <w:u w:val="none" w:color="auto"/>
                <w:lang w:val="en-US" w:eastAsia="zh-CN" w:bidi="ar"/>
              </w:rPr>
              <w:t>COD、BOD</w:t>
            </w:r>
            <w:r>
              <w:rPr>
                <w:rFonts w:hint="default" w:ascii="Times New Roman" w:hAnsi="Times New Roman" w:eastAsia="宋体" w:cs="Times New Roman"/>
                <w:color w:val="auto"/>
                <w:kern w:val="0"/>
                <w:sz w:val="21"/>
                <w:szCs w:val="21"/>
                <w:highlight w:val="none"/>
                <w:u w:val="none" w:color="auto"/>
                <w:vertAlign w:val="subscript"/>
                <w:lang w:val="en-US" w:eastAsia="zh-CN" w:bidi="ar"/>
              </w:rPr>
              <w:t>5</w:t>
            </w:r>
            <w:r>
              <w:rPr>
                <w:rFonts w:hint="default" w:ascii="Times New Roman" w:hAnsi="Times New Roman" w:eastAsia="宋体" w:cs="Times New Roman"/>
                <w:color w:val="auto"/>
                <w:kern w:val="0"/>
                <w:sz w:val="21"/>
                <w:szCs w:val="21"/>
                <w:highlight w:val="none"/>
                <w:u w:val="none" w:color="auto"/>
                <w:lang w:val="en-US" w:eastAsia="zh-CN" w:bidi="ar"/>
              </w:rPr>
              <w:t>、SS、NH</w:t>
            </w:r>
            <w:r>
              <w:rPr>
                <w:rFonts w:hint="default" w:ascii="Times New Roman" w:hAnsi="Times New Roman" w:eastAsia="宋体" w:cs="Times New Roman"/>
                <w:color w:val="auto"/>
                <w:kern w:val="0"/>
                <w:sz w:val="21"/>
                <w:szCs w:val="21"/>
                <w:highlight w:val="none"/>
                <w:u w:val="none" w:color="auto"/>
                <w:vertAlign w:val="subscript"/>
                <w:lang w:val="en-US" w:eastAsia="zh-CN" w:bidi="ar"/>
              </w:rPr>
              <w:t>3</w:t>
            </w:r>
            <w:r>
              <w:rPr>
                <w:rFonts w:hint="default" w:ascii="Times New Roman" w:hAnsi="Times New Roman" w:eastAsia="宋体" w:cs="Times New Roman"/>
                <w:color w:val="auto"/>
                <w:kern w:val="0"/>
                <w:sz w:val="21"/>
                <w:szCs w:val="21"/>
                <w:highlight w:val="none"/>
                <w:u w:val="none" w:color="auto"/>
                <w:lang w:val="en-US" w:eastAsia="zh-CN" w:bidi="ar"/>
              </w:rPr>
              <w:t>-N、动植物油</w:t>
            </w:r>
          </w:p>
        </w:tc>
        <w:tc>
          <w:tcPr>
            <w:tcW w:w="1657" w:type="dxa"/>
            <w:noWrap w:val="0"/>
            <w:vAlign w:val="center"/>
          </w:tcPr>
          <w:p w14:paraId="2D8E67C6">
            <w:pPr>
              <w:adjustRightInd w:val="0"/>
              <w:snapToGrid w:val="0"/>
              <w:jc w:val="center"/>
              <w:rPr>
                <w:rFonts w:hint="default" w:ascii="Times New Roman" w:hAnsi="Times New Roman" w:eastAsia="宋体" w:cs="Times New Roman"/>
                <w:color w:val="auto"/>
                <w:szCs w:val="21"/>
                <w:highlight w:val="none"/>
                <w:u w:val="none" w:color="auto"/>
                <w:lang w:val="en-US" w:eastAsia="zh-CN"/>
              </w:rPr>
            </w:pPr>
            <w:r>
              <w:rPr>
                <w:rFonts w:hint="eastAsia" w:cs="Times New Roman"/>
                <w:color w:val="auto"/>
                <w:szCs w:val="21"/>
                <w:highlight w:val="none"/>
                <w:u w:val="none" w:color="auto"/>
                <w:lang w:val="en-US" w:eastAsia="zh-CN"/>
              </w:rPr>
              <w:t>生活污水经化粪池处理用于周边林地灌溉，不外排</w:t>
            </w:r>
          </w:p>
        </w:tc>
        <w:tc>
          <w:tcPr>
            <w:tcW w:w="3126" w:type="dxa"/>
            <w:noWrap w:val="0"/>
            <w:vAlign w:val="center"/>
          </w:tcPr>
          <w:p w14:paraId="14617FB1">
            <w:pPr>
              <w:adjustRightInd w:val="0"/>
              <w:snapToGrid w:val="0"/>
              <w:jc w:val="center"/>
              <w:rPr>
                <w:rFonts w:hint="default" w:ascii="Times New Roman" w:hAnsi="Times New Roman" w:eastAsia="宋体" w:cs="Times New Roman"/>
                <w:color w:val="auto"/>
                <w:szCs w:val="21"/>
                <w:highlight w:val="yellow"/>
                <w:u w:val="none" w:color="auto"/>
              </w:rPr>
            </w:pPr>
            <w:r>
              <w:rPr>
                <w:rFonts w:hint="eastAsia" w:ascii="Calibri"/>
                <w:color w:val="auto"/>
                <w:sz w:val="21"/>
                <w:szCs w:val="21"/>
                <w:highlight w:val="none"/>
                <w:lang w:val="en-US" w:eastAsia="zh-CN"/>
              </w:rPr>
              <w:t>/</w:t>
            </w:r>
          </w:p>
        </w:tc>
      </w:tr>
      <w:tr w14:paraId="455096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357" w:type="dxa"/>
            <w:noWrap w:val="0"/>
            <w:vAlign w:val="center"/>
          </w:tcPr>
          <w:p w14:paraId="415D01AD">
            <w:pPr>
              <w:adjustRightInd w:val="0"/>
              <w:snapToGrid w:val="0"/>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声环境</w:t>
            </w:r>
          </w:p>
        </w:tc>
        <w:tc>
          <w:tcPr>
            <w:tcW w:w="1492" w:type="dxa"/>
            <w:noWrap w:val="0"/>
            <w:vAlign w:val="center"/>
          </w:tcPr>
          <w:p w14:paraId="35903A49">
            <w:pPr>
              <w:adjustRightInd w:val="0"/>
              <w:snapToGrid w:val="0"/>
              <w:jc w:val="center"/>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噪声</w:t>
            </w:r>
          </w:p>
        </w:tc>
        <w:tc>
          <w:tcPr>
            <w:tcW w:w="1745" w:type="dxa"/>
            <w:noWrap w:val="0"/>
            <w:vAlign w:val="center"/>
          </w:tcPr>
          <w:p w14:paraId="6272AC52">
            <w:pPr>
              <w:adjustRightInd w:val="0"/>
              <w:snapToGrid w:val="0"/>
              <w:jc w:val="center"/>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等效连续A声级</w:t>
            </w:r>
          </w:p>
        </w:tc>
        <w:tc>
          <w:tcPr>
            <w:tcW w:w="1657" w:type="dxa"/>
            <w:noWrap w:val="0"/>
            <w:vAlign w:val="center"/>
          </w:tcPr>
          <w:p w14:paraId="52966FF8">
            <w:pPr>
              <w:adjustRightInd w:val="0"/>
              <w:snapToGrid w:val="0"/>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 w:val="21"/>
                <w:szCs w:val="21"/>
                <w:highlight w:val="none"/>
                <w:u w:val="none" w:color="auto"/>
              </w:rPr>
              <w:t>低噪型设备、合理布局</w:t>
            </w:r>
            <w:r>
              <w:rPr>
                <w:rFonts w:hint="default" w:ascii="Times New Roman" w:hAnsi="Times New Roman" w:eastAsia="宋体" w:cs="Times New Roman"/>
                <w:color w:val="auto"/>
                <w:sz w:val="21"/>
                <w:szCs w:val="21"/>
                <w:highlight w:val="none"/>
                <w:u w:val="none" w:color="auto"/>
                <w:lang w:eastAsia="zh-CN"/>
              </w:rPr>
              <w:t>、</w:t>
            </w:r>
            <w:r>
              <w:rPr>
                <w:rFonts w:hint="eastAsia" w:ascii="Times New Roman" w:hAnsi="Times New Roman" w:eastAsia="宋体" w:cs="Times New Roman"/>
                <w:color w:val="auto"/>
                <w:sz w:val="21"/>
                <w:szCs w:val="21"/>
                <w:highlight w:val="none"/>
                <w:u w:val="none" w:color="auto"/>
                <w:lang w:val="en-US" w:eastAsia="zh-CN"/>
              </w:rPr>
              <w:t>减振、</w:t>
            </w:r>
            <w:r>
              <w:rPr>
                <w:rFonts w:hint="default" w:ascii="Times New Roman" w:hAnsi="Times New Roman" w:eastAsia="宋体" w:cs="Times New Roman"/>
                <w:color w:val="auto"/>
                <w:sz w:val="21"/>
                <w:szCs w:val="21"/>
                <w:highlight w:val="none"/>
                <w:u w:val="none" w:color="auto"/>
              </w:rPr>
              <w:t>隔声</w:t>
            </w:r>
          </w:p>
        </w:tc>
        <w:tc>
          <w:tcPr>
            <w:tcW w:w="3126" w:type="dxa"/>
            <w:noWrap w:val="0"/>
            <w:vAlign w:val="center"/>
          </w:tcPr>
          <w:p w14:paraId="09361868">
            <w:pPr>
              <w:adjustRightInd w:val="0"/>
              <w:snapToGrid w:val="0"/>
              <w:jc w:val="center"/>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rPr>
              <w:t>《工业企业厂界环境噪声排放标准》（GB12348-2008）</w:t>
            </w:r>
            <w:r>
              <w:rPr>
                <w:rFonts w:hint="eastAsia" w:cs="Times New Roman"/>
                <w:color w:val="auto"/>
                <w:szCs w:val="21"/>
                <w:highlight w:val="none"/>
                <w:u w:val="none" w:color="auto"/>
                <w:lang w:val="en-US" w:eastAsia="zh-CN"/>
              </w:rPr>
              <w:t>2类</w:t>
            </w:r>
          </w:p>
        </w:tc>
      </w:tr>
      <w:tr w14:paraId="3DC6BD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1357" w:type="dxa"/>
            <w:noWrap w:val="0"/>
            <w:vAlign w:val="center"/>
          </w:tcPr>
          <w:p w14:paraId="49D51B09">
            <w:pPr>
              <w:adjustRightInd w:val="0"/>
              <w:snapToGrid w:val="0"/>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电磁辐射</w:t>
            </w:r>
          </w:p>
        </w:tc>
        <w:tc>
          <w:tcPr>
            <w:tcW w:w="1492" w:type="dxa"/>
            <w:noWrap w:val="0"/>
            <w:vAlign w:val="center"/>
          </w:tcPr>
          <w:p w14:paraId="3ADFBA0B">
            <w:pPr>
              <w:adjustRightInd w:val="0"/>
              <w:snapToGrid w:val="0"/>
              <w:jc w:val="center"/>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w:t>
            </w:r>
          </w:p>
        </w:tc>
        <w:tc>
          <w:tcPr>
            <w:tcW w:w="1745" w:type="dxa"/>
            <w:noWrap w:val="0"/>
            <w:vAlign w:val="center"/>
          </w:tcPr>
          <w:p w14:paraId="5AC696F4">
            <w:pPr>
              <w:adjustRightInd w:val="0"/>
              <w:snapToGrid w:val="0"/>
              <w:jc w:val="center"/>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w:t>
            </w:r>
          </w:p>
        </w:tc>
        <w:tc>
          <w:tcPr>
            <w:tcW w:w="1657" w:type="dxa"/>
            <w:noWrap w:val="0"/>
            <w:vAlign w:val="center"/>
          </w:tcPr>
          <w:p w14:paraId="19AD5040">
            <w:pPr>
              <w:adjustRightInd w:val="0"/>
              <w:snapToGrid w:val="0"/>
              <w:jc w:val="center"/>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w:t>
            </w:r>
          </w:p>
        </w:tc>
        <w:tc>
          <w:tcPr>
            <w:tcW w:w="3126" w:type="dxa"/>
            <w:noWrap w:val="0"/>
            <w:vAlign w:val="center"/>
          </w:tcPr>
          <w:p w14:paraId="33DDFD38">
            <w:pPr>
              <w:adjustRightInd w:val="0"/>
              <w:snapToGrid w:val="0"/>
              <w:jc w:val="center"/>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w:t>
            </w:r>
          </w:p>
        </w:tc>
      </w:tr>
      <w:tr w14:paraId="758F88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357" w:type="dxa"/>
            <w:noWrap w:val="0"/>
            <w:vAlign w:val="center"/>
          </w:tcPr>
          <w:p w14:paraId="71354F27">
            <w:pPr>
              <w:adjustRightInd w:val="0"/>
              <w:snapToGrid w:val="0"/>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固体废物</w:t>
            </w:r>
          </w:p>
        </w:tc>
        <w:tc>
          <w:tcPr>
            <w:tcW w:w="8020" w:type="dxa"/>
            <w:gridSpan w:val="4"/>
            <w:noWrap w:val="0"/>
            <w:vAlign w:val="center"/>
          </w:tcPr>
          <w:p w14:paraId="501CCDFE">
            <w:pPr>
              <w:adjustRightInd w:val="0"/>
              <w:snapToGrid w:val="0"/>
              <w:jc w:val="both"/>
              <w:rPr>
                <w:rFonts w:hint="default" w:ascii="Times New Roman" w:hAnsi="Times New Roman" w:eastAsia="宋体" w:cs="Times New Roman"/>
                <w:color w:val="auto"/>
                <w:highlight w:val="none"/>
                <w:u w:val="none" w:color="auto"/>
                <w:lang w:eastAsia="zh-CN"/>
              </w:rPr>
            </w:pPr>
            <w:r>
              <w:rPr>
                <w:rFonts w:hAnsi="宋体"/>
                <w:color w:val="auto"/>
                <w:szCs w:val="21"/>
                <w:highlight w:val="none"/>
              </w:rPr>
              <w:t>一般工业固废</w:t>
            </w:r>
            <w:r>
              <w:rPr>
                <w:rFonts w:hint="eastAsia" w:hAnsi="宋体"/>
                <w:color w:val="auto"/>
                <w:szCs w:val="21"/>
                <w:highlight w:val="none"/>
                <w:lang w:val="en-US" w:eastAsia="zh-CN"/>
              </w:rPr>
              <w:t>分类收集后</w:t>
            </w:r>
            <w:r>
              <w:rPr>
                <w:rFonts w:hAnsi="宋体"/>
                <w:color w:val="auto"/>
                <w:szCs w:val="21"/>
                <w:highlight w:val="none"/>
              </w:rPr>
              <w:t>暂存于一般工业固废暂存区，占地面积</w:t>
            </w:r>
            <w:r>
              <w:rPr>
                <w:rFonts w:hint="eastAsia" w:ascii="Calibri"/>
                <w:color w:val="auto"/>
                <w:szCs w:val="21"/>
                <w:highlight w:val="none"/>
                <w:lang w:val="en-US" w:eastAsia="zh-CN"/>
              </w:rPr>
              <w:t>2</w:t>
            </w:r>
            <w:r>
              <w:rPr>
                <w:rFonts w:hint="eastAsia" w:ascii="Calibri" w:eastAsia="宋体"/>
                <w:color w:val="auto"/>
                <w:szCs w:val="21"/>
                <w:highlight w:val="none"/>
                <w:lang w:val="en-US" w:eastAsia="zh-CN"/>
              </w:rPr>
              <w:t>0</w:t>
            </w:r>
            <w:r>
              <w:rPr>
                <w:color w:val="auto"/>
                <w:szCs w:val="21"/>
                <w:highlight w:val="none"/>
              </w:rPr>
              <w:t>m</w:t>
            </w:r>
            <w:r>
              <w:rPr>
                <w:color w:val="auto"/>
                <w:szCs w:val="21"/>
                <w:highlight w:val="none"/>
                <w:vertAlign w:val="superscript"/>
              </w:rPr>
              <w:t>2</w:t>
            </w:r>
            <w:r>
              <w:rPr>
                <w:rFonts w:hAnsi="宋体"/>
                <w:color w:val="auto"/>
                <w:szCs w:val="21"/>
                <w:highlight w:val="none"/>
              </w:rPr>
              <w:t>，</w:t>
            </w:r>
            <w:r>
              <w:rPr>
                <w:rFonts w:hint="default" w:hAnsi="宋体"/>
                <w:color w:val="auto"/>
                <w:szCs w:val="21"/>
                <w:highlight w:val="none"/>
              </w:rPr>
              <w:t>外售综合利用</w:t>
            </w:r>
            <w:r>
              <w:rPr>
                <w:rFonts w:hint="eastAsia" w:hAnsi="宋体"/>
                <w:color w:val="auto"/>
                <w:szCs w:val="21"/>
                <w:highlight w:val="none"/>
              </w:rPr>
              <w:t>；</w:t>
            </w:r>
            <w:r>
              <w:rPr>
                <w:rFonts w:hAnsi="宋体"/>
                <w:color w:val="auto"/>
                <w:szCs w:val="21"/>
                <w:highlight w:val="none"/>
              </w:rPr>
              <w:t>危险废物设有</w:t>
            </w:r>
            <w:r>
              <w:rPr>
                <w:rFonts w:hint="eastAsia" w:hAnsi="宋体"/>
                <w:color w:val="auto"/>
                <w:szCs w:val="21"/>
                <w:highlight w:val="none"/>
                <w:lang w:val="en-US" w:eastAsia="zh-CN"/>
              </w:rPr>
              <w:t>危废</w:t>
            </w:r>
            <w:r>
              <w:rPr>
                <w:rFonts w:hAnsi="宋体"/>
                <w:color w:val="auto"/>
                <w:szCs w:val="21"/>
                <w:highlight w:val="none"/>
              </w:rPr>
              <w:t>暂存间，占地面积</w:t>
            </w:r>
            <w:r>
              <w:rPr>
                <w:rFonts w:hint="eastAsia" w:ascii="Calibri"/>
                <w:color w:val="auto"/>
                <w:szCs w:val="21"/>
                <w:highlight w:val="none"/>
                <w:lang w:val="en-US" w:eastAsia="zh-CN"/>
              </w:rPr>
              <w:t>50</w:t>
            </w:r>
            <w:r>
              <w:rPr>
                <w:color w:val="auto"/>
                <w:szCs w:val="21"/>
                <w:highlight w:val="none"/>
              </w:rPr>
              <w:t>m</w:t>
            </w:r>
            <w:r>
              <w:rPr>
                <w:color w:val="auto"/>
                <w:szCs w:val="21"/>
                <w:highlight w:val="none"/>
                <w:vertAlign w:val="superscript"/>
              </w:rPr>
              <w:t>2</w:t>
            </w:r>
            <w:r>
              <w:rPr>
                <w:rFonts w:hAnsi="宋体"/>
                <w:color w:val="auto"/>
                <w:szCs w:val="21"/>
                <w:highlight w:val="none"/>
              </w:rPr>
              <w:t>，交由有资质单位进行处理</w:t>
            </w:r>
            <w:r>
              <w:rPr>
                <w:rFonts w:hint="eastAsia" w:hAnsi="宋体"/>
                <w:color w:val="auto"/>
                <w:szCs w:val="21"/>
                <w:highlight w:val="none"/>
              </w:rPr>
              <w:t>；</w:t>
            </w:r>
            <w:r>
              <w:rPr>
                <w:rFonts w:hAnsi="宋体"/>
                <w:color w:val="auto"/>
                <w:szCs w:val="21"/>
                <w:highlight w:val="none"/>
              </w:rPr>
              <w:t>生活垃圾交由环卫部门统一清运处理。</w:t>
            </w:r>
          </w:p>
        </w:tc>
      </w:tr>
      <w:tr w14:paraId="07F9E1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57" w:type="dxa"/>
            <w:noWrap w:val="0"/>
            <w:vAlign w:val="center"/>
          </w:tcPr>
          <w:p w14:paraId="2DAF8A28">
            <w:pPr>
              <w:adjustRightInd w:val="0"/>
              <w:snapToGrid w:val="0"/>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土壤及地下水污染防治措施</w:t>
            </w:r>
          </w:p>
        </w:tc>
        <w:tc>
          <w:tcPr>
            <w:tcW w:w="8020" w:type="dxa"/>
            <w:gridSpan w:val="4"/>
            <w:noWrap w:val="0"/>
            <w:vAlign w:val="center"/>
          </w:tcPr>
          <w:p w14:paraId="4A189353">
            <w:pPr>
              <w:adjustRightInd w:val="0"/>
              <w:snapToGrid w:val="0"/>
              <w:jc w:val="left"/>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①根据《一般工业固体废物贮存和填埋污染控制标准》（GB18599-2020）和《危险废物贮存污染控制标准》（GB18597-2023）要求设置一般固废暂存间及危废暂存间；②化学品仓库以及生产车间的地面铺设水泥进行硬化和防渗处理；③加强</w:t>
            </w:r>
            <w:r>
              <w:rPr>
                <w:rFonts w:hint="eastAsia" w:hAnsi="宋体"/>
                <w:color w:val="auto"/>
                <w:szCs w:val="21"/>
                <w:lang w:val="en-US" w:eastAsia="zh-CN"/>
              </w:rPr>
              <w:t>化学品仓库</w:t>
            </w:r>
            <w:r>
              <w:rPr>
                <w:rFonts w:hint="default" w:ascii="Times New Roman" w:hAnsi="Times New Roman" w:eastAsia="宋体" w:cs="Times New Roman"/>
                <w:color w:val="auto"/>
                <w:szCs w:val="21"/>
                <w:highlight w:val="none"/>
                <w:u w:val="none" w:color="auto"/>
                <w:lang w:val="en-US" w:eastAsia="zh-CN"/>
              </w:rPr>
              <w:t>以及生产车间危险物品和危险废物、一般固废管理，确保贮存和使用过程中无渗漏、洒落，防止流出车间进入厂房外。</w:t>
            </w:r>
          </w:p>
        </w:tc>
      </w:tr>
      <w:tr w14:paraId="16FAA4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357" w:type="dxa"/>
            <w:noWrap w:val="0"/>
            <w:vAlign w:val="center"/>
          </w:tcPr>
          <w:p w14:paraId="73EB654B">
            <w:pPr>
              <w:adjustRightInd w:val="0"/>
              <w:snapToGrid w:val="0"/>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生态保护措施</w:t>
            </w:r>
          </w:p>
        </w:tc>
        <w:tc>
          <w:tcPr>
            <w:tcW w:w="8020" w:type="dxa"/>
            <w:gridSpan w:val="4"/>
            <w:noWrap w:val="0"/>
            <w:vAlign w:val="center"/>
          </w:tcPr>
          <w:p w14:paraId="1F1FACFD">
            <w:pPr>
              <w:adjustRightInd w:val="0"/>
              <w:snapToGrid w:val="0"/>
              <w:jc w:val="left"/>
              <w:rPr>
                <w:rFonts w:hint="default" w:ascii="Times New Roman" w:hAnsi="Times New Roman" w:eastAsia="宋体" w:cs="Times New Roman"/>
                <w:color w:val="auto"/>
                <w:szCs w:val="21"/>
                <w:highlight w:val="none"/>
                <w:u w:val="none" w:color="auto"/>
                <w:lang w:val="en-US" w:eastAsia="zh-CN"/>
              </w:rPr>
            </w:pPr>
            <w:r>
              <w:rPr>
                <w:color w:val="auto"/>
                <w:spacing w:val="0"/>
                <w:w w:val="100"/>
                <w:sz w:val="21"/>
                <w:szCs w:val="21"/>
                <w:highlight w:val="none"/>
              </w:rPr>
              <w:t>通过增加绿化面积等措施进行生态环境保护，加强厂区及其厂界周围环境绿化，绿化以树、灌、草等相结合的形式，起到降低噪声、吸附尘粒、净化空气的作用，同时也可防止水土流失。</w:t>
            </w:r>
          </w:p>
        </w:tc>
      </w:tr>
      <w:tr w14:paraId="6814E0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357" w:type="dxa"/>
            <w:noWrap w:val="0"/>
            <w:vAlign w:val="center"/>
          </w:tcPr>
          <w:p w14:paraId="6AFCD299">
            <w:pPr>
              <w:adjustRightInd w:val="0"/>
              <w:snapToGrid w:val="0"/>
              <w:jc w:val="center"/>
              <w:rPr>
                <w:rFonts w:hint="default" w:ascii="Times New Roman" w:hAnsi="Times New Roman" w:eastAsia="宋体" w:cs="Times New Roman"/>
                <w:color w:val="auto"/>
                <w:spacing w:val="-8"/>
                <w:szCs w:val="21"/>
                <w:highlight w:val="none"/>
                <w:u w:val="none" w:color="auto"/>
              </w:rPr>
            </w:pPr>
            <w:r>
              <w:rPr>
                <w:rFonts w:hint="default" w:ascii="Times New Roman" w:hAnsi="Times New Roman" w:eastAsia="宋体" w:cs="Times New Roman"/>
                <w:color w:val="auto"/>
                <w:spacing w:val="-8"/>
                <w:szCs w:val="21"/>
                <w:highlight w:val="none"/>
                <w:u w:val="none" w:color="auto"/>
              </w:rPr>
              <w:t>环境风险防范措施</w:t>
            </w:r>
          </w:p>
        </w:tc>
        <w:tc>
          <w:tcPr>
            <w:tcW w:w="8020" w:type="dxa"/>
            <w:gridSpan w:val="4"/>
            <w:noWrap w:val="0"/>
            <w:vAlign w:val="center"/>
          </w:tcPr>
          <w:p w14:paraId="6BA4E35E">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Ansi="宋体"/>
                <w:color w:val="auto"/>
                <w:szCs w:val="21"/>
                <w:highlight w:val="none"/>
              </w:rPr>
            </w:pPr>
            <w:r>
              <w:rPr>
                <w:rFonts w:hint="eastAsia" w:hAnsi="宋体"/>
                <w:color w:val="auto"/>
                <w:szCs w:val="21"/>
                <w:highlight w:val="none"/>
              </w:rPr>
              <w:t>项目在危废暂存间、</w:t>
            </w:r>
            <w:r>
              <w:rPr>
                <w:rFonts w:hint="eastAsia" w:hAnsi="宋体"/>
                <w:color w:val="auto"/>
                <w:szCs w:val="21"/>
                <w:highlight w:val="none"/>
                <w:lang w:val="en-US" w:eastAsia="zh-CN"/>
              </w:rPr>
              <w:t>油漆房</w:t>
            </w:r>
            <w:r>
              <w:rPr>
                <w:rFonts w:hint="eastAsia" w:hAnsi="宋体"/>
                <w:color w:val="auto"/>
                <w:szCs w:val="21"/>
                <w:highlight w:val="none"/>
              </w:rPr>
              <w:t>设置防泄漏托盘，配置泄漏物吸附收集材料；生产车间内地面全部硬化并采取防腐防渗处理。</w:t>
            </w:r>
          </w:p>
          <w:p w14:paraId="7A5812E7">
            <w:pPr>
              <w:rPr>
                <w:rFonts w:hint="default"/>
                <w:color w:val="auto"/>
                <w:highlight w:val="none"/>
              </w:rPr>
            </w:pPr>
            <w:r>
              <w:rPr>
                <w:rFonts w:hint="eastAsia" w:hAnsi="宋体"/>
                <w:color w:val="auto"/>
                <w:szCs w:val="21"/>
                <w:highlight w:val="none"/>
              </w:rPr>
              <w:t>根据存在的风险事故类型，制定突发环境事件应急预案，并落实应急器材。</w:t>
            </w:r>
          </w:p>
        </w:tc>
      </w:tr>
      <w:tr w14:paraId="43C9D9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3" w:hRule="atLeast"/>
          <w:jc w:val="center"/>
        </w:trPr>
        <w:tc>
          <w:tcPr>
            <w:tcW w:w="1357" w:type="dxa"/>
            <w:noWrap w:val="0"/>
            <w:vAlign w:val="center"/>
          </w:tcPr>
          <w:p w14:paraId="44A3D96A">
            <w:pPr>
              <w:adjustRightInd w:val="0"/>
              <w:snapToGrid w:val="0"/>
              <w:jc w:val="both"/>
              <w:rPr>
                <w:rFonts w:hint="default" w:ascii="Times New Roman" w:hAnsi="Times New Roman" w:eastAsia="宋体" w:cs="Times New Roman"/>
                <w:color w:val="auto"/>
                <w:spacing w:val="-8"/>
                <w:szCs w:val="21"/>
                <w:highlight w:val="yellow"/>
                <w:u w:val="none" w:color="auto"/>
              </w:rPr>
            </w:pPr>
            <w:r>
              <w:rPr>
                <w:rFonts w:hint="default" w:ascii="Times New Roman" w:hAnsi="Times New Roman" w:eastAsia="宋体" w:cs="Times New Roman"/>
                <w:color w:val="auto"/>
                <w:spacing w:val="-8"/>
                <w:szCs w:val="21"/>
                <w:highlight w:val="none"/>
                <w:u w:val="none" w:color="auto"/>
              </w:rPr>
              <w:t>其他环境管理要求</w:t>
            </w:r>
          </w:p>
        </w:tc>
        <w:tc>
          <w:tcPr>
            <w:tcW w:w="8020" w:type="dxa"/>
            <w:gridSpan w:val="4"/>
            <w:noWrap w:val="0"/>
            <w:vAlign w:val="center"/>
          </w:tcPr>
          <w:p w14:paraId="6464835A">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default"/>
                <w:color w:val="auto"/>
                <w:highlight w:val="none"/>
              </w:rPr>
            </w:pPr>
            <w:r>
              <w:rPr>
                <w:rFonts w:hint="default"/>
                <w:color w:val="auto"/>
                <w:highlight w:val="none"/>
                <w:lang w:val="en-US" w:eastAsia="zh-CN"/>
              </w:rPr>
              <w:t>1、</w:t>
            </w:r>
            <w:r>
              <w:rPr>
                <w:rFonts w:hint="default"/>
                <w:color w:val="auto"/>
                <w:highlight w:val="none"/>
              </w:rPr>
              <w:t>项目竣工环境保护验收</w:t>
            </w:r>
          </w:p>
          <w:p w14:paraId="429AD08D">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default"/>
                <w:color w:val="auto"/>
                <w:highlight w:val="none"/>
              </w:rPr>
            </w:pPr>
            <w:r>
              <w:rPr>
                <w:rFonts w:hint="default"/>
                <w:color w:val="auto"/>
                <w:highlight w:val="none"/>
              </w:rPr>
              <w:t>根据《建设项目环境保护管理条例》（国务院令第682号，2017年10月1日）和《建设项目竣工环境保护验收技术指南  污染影响类》（公告2018年第9号）的规定，建设项目竣工后建设单位需自主开展环境保护验收。</w:t>
            </w:r>
            <w:r>
              <w:rPr>
                <w:rFonts w:hint="default"/>
                <w:color w:val="auto"/>
                <w:highlight w:val="none"/>
                <w:lang w:val="en-US" w:eastAsia="zh-CN"/>
              </w:rPr>
              <w:t>工程</w:t>
            </w:r>
            <w:r>
              <w:rPr>
                <w:rFonts w:hint="default"/>
                <w:color w:val="auto"/>
                <w:highlight w:val="none"/>
              </w:rPr>
              <w:t>在正式运行前，建设单位应会同施工单位、设计单位、监理单位、环评单位等组成验收小组，检查项目环境保护设施是否符合环境保护竣工验收要求。</w:t>
            </w:r>
          </w:p>
          <w:p w14:paraId="5F86FBF3">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default"/>
                <w:color w:val="auto"/>
                <w:highlight w:val="none"/>
                <w:lang w:eastAsia="zh-CN"/>
              </w:rPr>
            </w:pPr>
            <w:r>
              <w:rPr>
                <w:rFonts w:hint="default"/>
                <w:color w:val="auto"/>
                <w:highlight w:val="none"/>
                <w:lang w:val="en-US" w:eastAsia="zh-CN"/>
              </w:rPr>
              <w:t>2、</w:t>
            </w:r>
            <w:r>
              <w:rPr>
                <w:rFonts w:hint="default"/>
                <w:color w:val="auto"/>
                <w:highlight w:val="none"/>
                <w:lang w:eastAsia="zh-CN"/>
              </w:rPr>
              <w:t>排污许可管理</w:t>
            </w:r>
            <w:r>
              <w:rPr>
                <w:rFonts w:hint="default"/>
                <w:color w:val="auto"/>
                <w:highlight w:val="none"/>
                <w:lang w:val="en-US" w:eastAsia="zh-CN"/>
              </w:rPr>
              <w:t>与排污口规范化管理</w:t>
            </w:r>
          </w:p>
          <w:p w14:paraId="7209F2AF">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default"/>
                <w:color w:val="auto"/>
                <w:highlight w:val="none"/>
                <w:lang w:val="en-US" w:eastAsia="zh-CN"/>
              </w:rPr>
            </w:pPr>
            <w:r>
              <w:rPr>
                <w:rFonts w:hint="default"/>
                <w:color w:val="auto"/>
                <w:highlight w:val="none"/>
                <w:lang w:val="en-US" w:eastAsia="zh-CN"/>
              </w:rPr>
              <w:t>（1）排污许可管理</w:t>
            </w:r>
          </w:p>
          <w:p w14:paraId="1E8B7C1F">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default"/>
                <w:color w:val="auto"/>
                <w:highlight w:val="none"/>
                <w:lang w:val="en-US" w:eastAsia="zh-CN"/>
              </w:rPr>
            </w:pPr>
            <w:r>
              <w:rPr>
                <w:rFonts w:hint="default"/>
                <w:color w:val="auto"/>
                <w:highlight w:val="none"/>
                <w:lang w:val="en-US" w:eastAsia="zh-CN"/>
              </w:rPr>
              <w:t>根据《控制污染物排放许可制实施方案》，新建项目必须在发生实际排污行为之前申领排污许可证，环境影响评价文件及批复中与污染物排放相关的主要内容应当纳入排污许可证，其排污许可证执行情况应作为环境影响后评价的重要依据。纳入排污许可管理的所有企事业单位必须按期持证排污、按证排污，不得无证排污。</w:t>
            </w:r>
          </w:p>
          <w:p w14:paraId="6FDD6E0E">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default"/>
                <w:color w:val="auto"/>
                <w:highlight w:val="none"/>
                <w:lang w:val="en-US" w:eastAsia="zh-CN"/>
              </w:rPr>
            </w:pPr>
            <w:r>
              <w:rPr>
                <w:rFonts w:hint="default"/>
                <w:color w:val="auto"/>
                <w:highlight w:val="none"/>
                <w:lang w:val="en-US" w:eastAsia="zh-CN"/>
              </w:rPr>
              <w:t>根据《固定污染源排污许可分类管理名录（2019 年版）》及《排污许可管理办法（试行）》相关规定及时申领排污许可证。</w:t>
            </w:r>
          </w:p>
          <w:p w14:paraId="376A1C7B">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default"/>
                <w:color w:val="auto"/>
                <w:highlight w:val="none"/>
                <w:lang w:val="en-US" w:eastAsia="zh-CN"/>
              </w:rPr>
            </w:pPr>
            <w:r>
              <w:rPr>
                <w:rFonts w:hint="default"/>
                <w:color w:val="auto"/>
                <w:highlight w:val="none"/>
                <w:lang w:val="en-US" w:eastAsia="zh-CN"/>
              </w:rPr>
              <w:t>（2）排污口规范化管理</w:t>
            </w:r>
          </w:p>
          <w:p w14:paraId="013BE207">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default"/>
                <w:color w:val="auto"/>
                <w:highlight w:val="none"/>
                <w:lang w:val="en-US" w:eastAsia="zh-CN"/>
              </w:rPr>
            </w:pPr>
            <w:r>
              <w:rPr>
                <w:rFonts w:hint="default"/>
                <w:color w:val="auto"/>
                <w:highlight w:val="none"/>
                <w:lang w:val="en-US" w:eastAsia="zh-CN"/>
              </w:rPr>
              <w:t>根据《排污口规范化整治技术要求（试行）》（环监</w:t>
            </w:r>
            <w:r>
              <w:rPr>
                <w:rFonts w:hint="eastAsia"/>
                <w:color w:val="auto"/>
                <w:highlight w:val="none"/>
                <w:lang w:val="en-US" w:eastAsia="zh-CN"/>
              </w:rPr>
              <w:t>〔199</w:t>
            </w:r>
            <w:r>
              <w:rPr>
                <w:rFonts w:hint="default"/>
                <w:color w:val="auto"/>
                <w:highlight w:val="none"/>
                <w:lang w:val="en-US" w:eastAsia="zh-CN"/>
              </w:rPr>
              <w:t xml:space="preserve">6]470 号），一切向环境排放污染物(废水、废气、固体废物、噪声)的排污单位的排放口(点、源)，均需进行规范化整治，建设单位应在项目建设同时做好排污口的规范化工作。对照上述文件的要求，对本项目的排污口进行规范化管理。 </w:t>
            </w:r>
          </w:p>
          <w:p w14:paraId="68C4196A">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default"/>
                <w:color w:val="auto"/>
                <w:highlight w:val="none"/>
                <w:lang w:val="en-US" w:eastAsia="zh-CN"/>
              </w:rPr>
            </w:pPr>
            <w:r>
              <w:rPr>
                <w:rFonts w:hint="default"/>
                <w:color w:val="auto"/>
                <w:highlight w:val="none"/>
                <w:lang w:val="en-US" w:eastAsia="zh-CN"/>
              </w:rPr>
              <w:t>根据国家《环境保护图形标志》（GB/T15562.1-1995）的规定，设置统一制作的环境保护图形标志牌，对废水处理、废气处理装置的排口分别设置平面固定式提示标志牌或树立式固定式提示标志牌，平面固定式标志牌为 0.48cm×0.3cm的长方形冷轧钢板，树立式提示标志牌为 0.42cm×0.42cm 的正方形冷轧钢板，提示牌的背景和立柱为绿色，图案、边框、支架和</w:t>
            </w:r>
            <w:r>
              <w:rPr>
                <w:rFonts w:hint="eastAsia"/>
                <w:color w:val="auto"/>
                <w:highlight w:val="none"/>
                <w:lang w:val="en-US" w:eastAsia="zh-CN"/>
              </w:rPr>
              <w:t>辅助</w:t>
            </w:r>
            <w:r>
              <w:rPr>
                <w:rFonts w:hint="default"/>
                <w:color w:val="auto"/>
                <w:highlight w:val="none"/>
                <w:lang w:val="en-US" w:eastAsia="zh-CN"/>
              </w:rPr>
              <w:t>标志的文字为白色，文字字型为黑体，标志牌辅助标志内容包括排污单位名称、标志牌名称、排污口编号和主要污染物名称，并交付当地环保部门注明。</w:t>
            </w:r>
          </w:p>
          <w:p w14:paraId="5A656548">
            <w:pPr>
              <w:widowControl w:val="0"/>
              <w:ind w:firstLine="420" w:firstLineChars="200"/>
              <w:jc w:val="both"/>
              <w:rPr>
                <w:rFonts w:hint="default" w:ascii="Times New Roman" w:hAnsi="Times New Roman" w:eastAsia="宋体" w:cs="Times New Roman"/>
                <w:color w:val="auto"/>
                <w:kern w:val="2"/>
                <w:sz w:val="21"/>
                <w:szCs w:val="20"/>
                <w:lang w:val="en-US" w:eastAsia="zh-CN" w:bidi="ar-SA"/>
              </w:rPr>
            </w:pPr>
            <w:r>
              <w:rPr>
                <w:rFonts w:hint="default" w:ascii="Times New Roman" w:hAnsi="Times New Roman" w:eastAsia="宋体" w:cs="Times New Roman"/>
                <w:color w:val="auto"/>
                <w:kern w:val="2"/>
                <w:sz w:val="21"/>
                <w:szCs w:val="20"/>
                <w:highlight w:val="none"/>
                <w:lang w:val="en-US" w:eastAsia="zh-CN" w:bidi="ar-SA"/>
              </w:rPr>
              <w:t>危险废物标签、贮存分区标志和贮存、利用、处置设施标志按照《危险废物识别标志设置技术规范》（HJ 1276—2022）执行。</w:t>
            </w:r>
          </w:p>
        </w:tc>
      </w:tr>
    </w:tbl>
    <w:p w14:paraId="01AC4178">
      <w:pPr>
        <w:widowControl/>
        <w:spacing w:before="100" w:beforeAutospacing="1" w:after="100" w:afterAutospacing="1"/>
        <w:ind w:firstLine="480" w:firstLineChars="200"/>
        <w:jc w:val="center"/>
        <w:outlineLvl w:val="0"/>
        <w:rPr>
          <w:rFonts w:hint="default" w:ascii="Times New Roman" w:hAnsi="Times New Roman" w:eastAsia="宋体" w:cs="Times New Roman"/>
          <w:snapToGrid w:val="0"/>
          <w:color w:val="auto"/>
          <w:kern w:val="0"/>
          <w:sz w:val="30"/>
          <w:szCs w:val="30"/>
          <w:highlight w:val="none"/>
          <w:lang w:val="en-US" w:eastAsia="zh-CN" w:bidi="ar-SA"/>
        </w:rPr>
      </w:pPr>
      <w:r>
        <w:rPr>
          <w:rFonts w:hint="default" w:ascii="Times New Roman" w:hAnsi="Times New Roman" w:eastAsia="宋体" w:cs="Times New Roman"/>
          <w:snapToGrid w:val="0"/>
          <w:color w:val="auto"/>
          <w:kern w:val="0"/>
          <w:sz w:val="24"/>
          <w:szCs w:val="20"/>
          <w:highlight w:val="yellow"/>
          <w:lang w:val="en-US" w:eastAsia="zh-CN" w:bidi="ar-SA"/>
        </w:rPr>
        <w:br w:type="page"/>
      </w:r>
      <w:bookmarkStart w:id="20" w:name="_Toc24480"/>
      <w:bookmarkStart w:id="21" w:name="_Toc17289"/>
      <w:bookmarkStart w:id="22" w:name="_Toc3935"/>
      <w:r>
        <w:rPr>
          <w:rFonts w:hint="default" w:ascii="Times New Roman" w:hAnsi="Times New Roman" w:eastAsia="宋体" w:cs="Times New Roman"/>
          <w:snapToGrid w:val="0"/>
          <w:color w:val="auto"/>
          <w:kern w:val="0"/>
          <w:sz w:val="30"/>
          <w:szCs w:val="30"/>
          <w:highlight w:val="none"/>
          <w:lang w:val="en-US" w:eastAsia="zh-CN" w:bidi="ar-SA"/>
        </w:rPr>
        <w:t>六、结论</w:t>
      </w:r>
      <w:bookmarkEnd w:id="20"/>
      <w:bookmarkEnd w:id="21"/>
      <w:bookmarkEnd w:id="22"/>
    </w:p>
    <w:tbl>
      <w:tblPr>
        <w:tblStyle w:val="31"/>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42B720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top"/>
          </w:tcPr>
          <w:p w14:paraId="19A724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32"/>
                <w:u w:val="none" w:color="auto"/>
              </w:rPr>
            </w:pPr>
            <w:r>
              <w:rPr>
                <w:rFonts w:hint="default" w:ascii="Times New Roman" w:hAnsi="Times New Roman" w:eastAsia="宋体" w:cs="Times New Roman"/>
                <w:color w:val="auto"/>
                <w:sz w:val="24"/>
                <w:szCs w:val="32"/>
                <w:u w:val="none" w:color="auto"/>
              </w:rPr>
              <w:t>项目</w:t>
            </w:r>
            <w:r>
              <w:rPr>
                <w:rFonts w:hint="default" w:ascii="Times New Roman" w:hAnsi="Times New Roman" w:eastAsia="宋体" w:cs="Times New Roman"/>
                <w:color w:val="auto"/>
                <w:spacing w:val="7"/>
                <w:sz w:val="24"/>
                <w:u w:val="none" w:color="auto"/>
              </w:rPr>
              <w:t>建设</w:t>
            </w:r>
            <w:r>
              <w:rPr>
                <w:rFonts w:hint="default" w:ascii="Times New Roman" w:hAnsi="Times New Roman" w:eastAsia="宋体" w:cs="Times New Roman"/>
                <w:color w:val="auto"/>
                <w:spacing w:val="1"/>
                <w:sz w:val="24"/>
                <w:u w:val="none" w:color="auto"/>
              </w:rPr>
              <w:t>符合国家产业政策</w:t>
            </w:r>
            <w:r>
              <w:rPr>
                <w:rFonts w:hint="eastAsia" w:eastAsia="宋体" w:cs="Times New Roman"/>
                <w:color w:val="auto"/>
                <w:spacing w:val="1"/>
                <w:sz w:val="24"/>
                <w:u w:val="none" w:color="auto"/>
                <w:lang w:eastAsia="zh-CN"/>
              </w:rPr>
              <w:t>，</w:t>
            </w:r>
            <w:r>
              <w:rPr>
                <w:rFonts w:hint="default" w:ascii="Times New Roman" w:hAnsi="Times New Roman" w:eastAsia="宋体" w:cs="Times New Roman"/>
                <w:color w:val="auto"/>
                <w:spacing w:val="1"/>
                <w:sz w:val="24"/>
                <w:u w:val="none" w:color="auto"/>
              </w:rPr>
              <w:t>符合</w:t>
            </w:r>
            <w:r>
              <w:rPr>
                <w:rFonts w:hint="eastAsia" w:eastAsia="宋体" w:cs="Times New Roman"/>
                <w:color w:val="auto"/>
                <w:spacing w:val="1"/>
                <w:sz w:val="24"/>
                <w:u w:val="none" w:color="auto"/>
                <w:lang w:val="en-US" w:eastAsia="zh-CN"/>
              </w:rPr>
              <w:t>生态环境管控准入</w:t>
            </w:r>
            <w:r>
              <w:rPr>
                <w:rFonts w:hint="default" w:ascii="Times New Roman" w:hAnsi="Times New Roman" w:eastAsia="宋体" w:cs="Times New Roman"/>
                <w:color w:val="auto"/>
                <w:spacing w:val="1"/>
                <w:sz w:val="24"/>
                <w:u w:val="none" w:color="auto"/>
              </w:rPr>
              <w:t>要求</w:t>
            </w:r>
            <w:r>
              <w:rPr>
                <w:rFonts w:hint="eastAsia" w:eastAsia="宋体" w:cs="Times New Roman"/>
                <w:color w:val="auto"/>
                <w:spacing w:val="1"/>
                <w:sz w:val="24"/>
                <w:u w:val="none" w:color="auto"/>
                <w:lang w:eastAsia="zh-CN"/>
              </w:rPr>
              <w:t>，</w:t>
            </w:r>
            <w:r>
              <w:rPr>
                <w:rFonts w:hint="default" w:ascii="Times New Roman" w:hAnsi="Times New Roman" w:eastAsia="宋体" w:cs="Times New Roman"/>
                <w:color w:val="auto"/>
                <w:spacing w:val="1"/>
                <w:sz w:val="24"/>
                <w:u w:val="none" w:color="auto"/>
              </w:rPr>
              <w:t>无明显环境制约因素。在采取本环评提出的各项环保措施及环境风险防范措施后</w:t>
            </w:r>
            <w:r>
              <w:rPr>
                <w:rFonts w:hint="eastAsia" w:eastAsia="宋体" w:cs="Times New Roman"/>
                <w:color w:val="auto"/>
                <w:spacing w:val="1"/>
                <w:sz w:val="24"/>
                <w:u w:val="none" w:color="auto"/>
                <w:lang w:eastAsia="zh-CN"/>
              </w:rPr>
              <w:t>，</w:t>
            </w:r>
            <w:r>
              <w:rPr>
                <w:rFonts w:hint="default" w:ascii="Times New Roman" w:hAnsi="Times New Roman" w:eastAsia="宋体" w:cs="Times New Roman"/>
                <w:color w:val="auto"/>
                <w:spacing w:val="1"/>
                <w:sz w:val="24"/>
                <w:u w:val="none" w:color="auto"/>
              </w:rPr>
              <w:t>项目运营期的废气</w:t>
            </w:r>
            <w:r>
              <w:rPr>
                <w:rFonts w:hint="eastAsia" w:eastAsia="宋体" w:cs="Times New Roman"/>
                <w:color w:val="auto"/>
                <w:spacing w:val="1"/>
                <w:sz w:val="24"/>
                <w:u w:val="none" w:color="auto"/>
                <w:lang w:eastAsia="zh-CN"/>
              </w:rPr>
              <w:t>、</w:t>
            </w:r>
            <w:r>
              <w:rPr>
                <w:rFonts w:hint="default" w:ascii="Times New Roman" w:hAnsi="Times New Roman" w:eastAsia="宋体" w:cs="Times New Roman"/>
                <w:color w:val="auto"/>
                <w:spacing w:val="1"/>
                <w:sz w:val="24"/>
                <w:u w:val="none" w:color="auto"/>
              </w:rPr>
              <w:t>废水</w:t>
            </w:r>
            <w:r>
              <w:rPr>
                <w:rFonts w:hint="eastAsia" w:eastAsia="宋体" w:cs="Times New Roman"/>
                <w:color w:val="auto"/>
                <w:spacing w:val="1"/>
                <w:sz w:val="24"/>
                <w:u w:val="none" w:color="auto"/>
                <w:lang w:eastAsia="zh-CN"/>
              </w:rPr>
              <w:t>、</w:t>
            </w:r>
            <w:r>
              <w:rPr>
                <w:rFonts w:hint="default" w:ascii="Times New Roman" w:hAnsi="Times New Roman" w:eastAsia="宋体" w:cs="Times New Roman"/>
                <w:color w:val="auto"/>
                <w:spacing w:val="1"/>
                <w:sz w:val="24"/>
                <w:u w:val="none" w:color="auto"/>
              </w:rPr>
              <w:t>噪声均可实现达标排放</w:t>
            </w:r>
            <w:r>
              <w:rPr>
                <w:rFonts w:hint="eastAsia" w:eastAsia="宋体" w:cs="Times New Roman"/>
                <w:color w:val="auto"/>
                <w:spacing w:val="1"/>
                <w:sz w:val="24"/>
                <w:u w:val="none" w:color="auto"/>
                <w:lang w:eastAsia="zh-CN"/>
              </w:rPr>
              <w:t>，</w:t>
            </w:r>
            <w:r>
              <w:rPr>
                <w:rFonts w:hint="default" w:ascii="Times New Roman" w:hAnsi="Times New Roman" w:eastAsia="宋体" w:cs="Times New Roman"/>
                <w:color w:val="auto"/>
                <w:spacing w:val="1"/>
                <w:sz w:val="24"/>
                <w:u w:val="none" w:color="auto"/>
              </w:rPr>
              <w:t>环境风险可控</w:t>
            </w:r>
            <w:r>
              <w:rPr>
                <w:rFonts w:hint="eastAsia" w:eastAsia="宋体" w:cs="Times New Roman"/>
                <w:color w:val="auto"/>
                <w:spacing w:val="1"/>
                <w:sz w:val="24"/>
                <w:u w:val="none" w:color="auto"/>
                <w:lang w:eastAsia="zh-CN"/>
              </w:rPr>
              <w:t>，</w:t>
            </w:r>
            <w:r>
              <w:rPr>
                <w:rFonts w:hint="default" w:ascii="Times New Roman" w:hAnsi="Times New Roman" w:eastAsia="宋体" w:cs="Times New Roman"/>
                <w:color w:val="auto"/>
                <w:spacing w:val="1"/>
                <w:sz w:val="24"/>
                <w:u w:val="none" w:color="auto"/>
              </w:rPr>
              <w:t>加强固废环境管理</w:t>
            </w:r>
            <w:r>
              <w:rPr>
                <w:rFonts w:hint="eastAsia" w:eastAsia="宋体" w:cs="Times New Roman"/>
                <w:color w:val="auto"/>
                <w:spacing w:val="1"/>
                <w:sz w:val="24"/>
                <w:u w:val="none" w:color="auto"/>
                <w:lang w:eastAsia="zh-CN"/>
              </w:rPr>
              <w:t>，</w:t>
            </w:r>
            <w:r>
              <w:rPr>
                <w:rFonts w:hint="default" w:ascii="Times New Roman" w:hAnsi="Times New Roman" w:eastAsia="宋体" w:cs="Times New Roman"/>
                <w:color w:val="auto"/>
                <w:spacing w:val="1"/>
                <w:sz w:val="24"/>
                <w:u w:val="none" w:color="auto"/>
              </w:rPr>
              <w:t>固体废物可得</w:t>
            </w:r>
            <w:r>
              <w:rPr>
                <w:rFonts w:hint="default" w:ascii="Times New Roman" w:hAnsi="Times New Roman" w:eastAsia="宋体" w:cs="Times New Roman"/>
                <w:color w:val="auto"/>
                <w:sz w:val="24"/>
                <w:szCs w:val="32"/>
                <w:u w:val="none" w:color="auto"/>
              </w:rPr>
              <w:t>到妥善处置</w:t>
            </w:r>
            <w:r>
              <w:rPr>
                <w:rFonts w:hint="eastAsia" w:ascii="Times New Roman" w:hAnsi="Times New Roman" w:eastAsia="宋体" w:cs="Times New Roman"/>
                <w:color w:val="auto"/>
                <w:sz w:val="24"/>
                <w:szCs w:val="32"/>
                <w:u w:val="none" w:color="auto"/>
                <w:lang w:eastAsia="zh-CN"/>
              </w:rPr>
              <w:t>，</w:t>
            </w:r>
            <w:r>
              <w:rPr>
                <w:rFonts w:hint="default" w:ascii="Times New Roman" w:hAnsi="Times New Roman" w:eastAsia="宋体" w:cs="Times New Roman"/>
                <w:color w:val="auto"/>
                <w:sz w:val="24"/>
                <w:szCs w:val="32"/>
                <w:u w:val="none" w:color="auto"/>
              </w:rPr>
              <w:t>项目建设对周边及区域的环境影响较小</w:t>
            </w:r>
            <w:r>
              <w:rPr>
                <w:rFonts w:hint="eastAsia" w:ascii="Times New Roman" w:hAnsi="Times New Roman" w:eastAsia="宋体" w:cs="Times New Roman"/>
                <w:color w:val="auto"/>
                <w:sz w:val="24"/>
                <w:szCs w:val="32"/>
                <w:u w:val="none" w:color="auto"/>
                <w:lang w:eastAsia="zh-CN"/>
              </w:rPr>
              <w:t>，</w:t>
            </w:r>
            <w:r>
              <w:rPr>
                <w:rFonts w:hint="default" w:ascii="Times New Roman" w:hAnsi="Times New Roman" w:eastAsia="宋体" w:cs="Times New Roman"/>
                <w:color w:val="auto"/>
                <w:sz w:val="24"/>
                <w:szCs w:val="32"/>
                <w:u w:val="none" w:color="auto"/>
              </w:rPr>
              <w:t>项目污染防治措施技术经济可行。</w:t>
            </w:r>
          </w:p>
          <w:p w14:paraId="37426B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highlight w:val="yellow"/>
              </w:rPr>
            </w:pPr>
            <w:r>
              <w:rPr>
                <w:rFonts w:hint="default" w:ascii="Times New Roman" w:hAnsi="Times New Roman" w:eastAsia="宋体" w:cs="Times New Roman"/>
                <w:color w:val="auto"/>
                <w:sz w:val="24"/>
                <w:szCs w:val="32"/>
                <w:u w:val="none" w:color="auto"/>
              </w:rPr>
              <w:t>因此</w:t>
            </w:r>
            <w:r>
              <w:rPr>
                <w:rFonts w:hint="eastAsia" w:ascii="Times New Roman" w:hAnsi="Times New Roman" w:eastAsia="宋体" w:cs="Times New Roman"/>
                <w:color w:val="auto"/>
                <w:sz w:val="24"/>
                <w:szCs w:val="32"/>
                <w:u w:val="none" w:color="auto"/>
                <w:lang w:eastAsia="zh-CN"/>
              </w:rPr>
              <w:t>，</w:t>
            </w:r>
            <w:r>
              <w:rPr>
                <w:rFonts w:hint="default" w:ascii="Times New Roman" w:hAnsi="Times New Roman" w:eastAsia="宋体" w:cs="Times New Roman"/>
                <w:color w:val="auto"/>
                <w:sz w:val="24"/>
                <w:szCs w:val="32"/>
                <w:u w:val="none" w:color="auto"/>
              </w:rPr>
              <w:t>在认真落实本评价提出的各项环保措施及风险防范措施的前提下</w:t>
            </w:r>
            <w:r>
              <w:rPr>
                <w:rFonts w:hint="eastAsia" w:ascii="Times New Roman" w:hAnsi="Times New Roman" w:eastAsia="宋体" w:cs="Times New Roman"/>
                <w:color w:val="auto"/>
                <w:sz w:val="24"/>
                <w:szCs w:val="32"/>
                <w:u w:val="none" w:color="auto"/>
                <w:lang w:eastAsia="zh-CN"/>
              </w:rPr>
              <w:t>，</w:t>
            </w:r>
            <w:r>
              <w:rPr>
                <w:rFonts w:hint="default" w:ascii="Times New Roman" w:hAnsi="Times New Roman" w:eastAsia="宋体" w:cs="Times New Roman"/>
                <w:color w:val="auto"/>
                <w:sz w:val="24"/>
                <w:szCs w:val="32"/>
                <w:u w:val="none" w:color="auto"/>
              </w:rPr>
              <w:t>从环境保护角度分析</w:t>
            </w:r>
            <w:r>
              <w:rPr>
                <w:rFonts w:hint="eastAsia" w:ascii="Times New Roman" w:hAnsi="Times New Roman" w:eastAsia="宋体" w:cs="Times New Roman"/>
                <w:color w:val="auto"/>
                <w:sz w:val="24"/>
                <w:szCs w:val="32"/>
                <w:u w:val="none" w:color="auto"/>
                <w:lang w:eastAsia="zh-CN"/>
              </w:rPr>
              <w:t>，</w:t>
            </w:r>
            <w:r>
              <w:rPr>
                <w:rFonts w:hint="default" w:ascii="Times New Roman" w:hAnsi="Times New Roman" w:eastAsia="宋体" w:cs="Times New Roman"/>
                <w:color w:val="auto"/>
                <w:sz w:val="24"/>
                <w:szCs w:val="32"/>
                <w:u w:val="none" w:color="auto"/>
              </w:rPr>
              <w:t>本项目建设可行。</w:t>
            </w:r>
          </w:p>
        </w:tc>
      </w:tr>
    </w:tbl>
    <w:p w14:paraId="221005D1">
      <w:pPr>
        <w:rPr>
          <w:rFonts w:hint="default" w:ascii="Times New Roman" w:hAnsi="Times New Roman" w:eastAsia="宋体" w:cs="Times New Roman"/>
          <w:color w:val="auto"/>
          <w:highlight w:val="yellow"/>
        </w:rPr>
        <w:sectPr>
          <w:pgSz w:w="11906" w:h="16838"/>
          <w:pgMar w:top="2098"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0363A9B7">
      <w:pPr>
        <w:widowControl/>
        <w:adjustRightInd w:val="0"/>
        <w:snapToGrid w:val="0"/>
        <w:spacing w:before="0" w:beforeAutospacing="0" w:after="0" w:afterAutospacing="0" w:line="648" w:lineRule="auto"/>
        <w:ind w:firstLine="640" w:firstLineChars="200"/>
        <w:jc w:val="left"/>
        <w:outlineLvl w:val="0"/>
        <w:rPr>
          <w:rFonts w:hint="default" w:ascii="Times New Roman" w:hAnsi="Times New Roman" w:eastAsia="宋体" w:cs="Times New Roman"/>
          <w:snapToGrid w:val="0"/>
          <w:color w:val="auto"/>
          <w:kern w:val="0"/>
          <w:sz w:val="32"/>
          <w:szCs w:val="32"/>
          <w:highlight w:val="none"/>
          <w:lang w:val="en-US" w:eastAsia="zh-CN" w:bidi="ar-SA"/>
        </w:rPr>
      </w:pPr>
      <w:bookmarkStart w:id="23" w:name="_Toc27642"/>
      <w:bookmarkStart w:id="24" w:name="_Toc27828"/>
      <w:bookmarkStart w:id="25" w:name="_Toc23051"/>
      <w:r>
        <w:rPr>
          <w:rFonts w:hint="default" w:ascii="Times New Roman" w:hAnsi="Times New Roman" w:eastAsia="宋体" w:cs="Times New Roman"/>
          <w:snapToGrid w:val="0"/>
          <w:color w:val="auto"/>
          <w:kern w:val="0"/>
          <w:sz w:val="32"/>
          <w:szCs w:val="32"/>
          <w:highlight w:val="none"/>
          <w:lang w:val="en-US" w:eastAsia="zh-CN" w:bidi="ar-SA"/>
        </w:rPr>
        <w:t>附表</w:t>
      </w:r>
      <w:bookmarkEnd w:id="23"/>
      <w:bookmarkEnd w:id="24"/>
      <w:bookmarkEnd w:id="25"/>
    </w:p>
    <w:p w14:paraId="7BB1001A">
      <w:pPr>
        <w:widowControl/>
        <w:adjustRightInd w:val="0"/>
        <w:snapToGrid w:val="0"/>
        <w:spacing w:before="0" w:beforeAutospacing="0" w:after="0" w:afterAutospacing="0" w:line="360" w:lineRule="auto"/>
        <w:jc w:val="center"/>
        <w:outlineLvl w:val="0"/>
        <w:rPr>
          <w:rFonts w:hint="default" w:ascii="Times New Roman" w:hAnsi="Times New Roman" w:eastAsia="宋体" w:cs="Times New Roman"/>
          <w:snapToGrid w:val="0"/>
          <w:color w:val="auto"/>
          <w:kern w:val="0"/>
          <w:sz w:val="38"/>
          <w:szCs w:val="38"/>
          <w:highlight w:val="none"/>
          <w:lang w:val="en-US" w:eastAsia="zh-CN" w:bidi="ar-SA"/>
        </w:rPr>
      </w:pPr>
      <w:bookmarkStart w:id="26" w:name="_Toc32191"/>
      <w:bookmarkStart w:id="27" w:name="_Toc3831"/>
      <w:bookmarkStart w:id="28" w:name="_Toc5234"/>
      <w:bookmarkStart w:id="29" w:name="_Toc29191"/>
      <w:r>
        <w:rPr>
          <w:rFonts w:hint="default" w:ascii="Times New Roman" w:hAnsi="Times New Roman" w:eastAsia="宋体" w:cs="Times New Roman"/>
          <w:snapToGrid w:val="0"/>
          <w:color w:val="auto"/>
          <w:kern w:val="0"/>
          <w:sz w:val="38"/>
          <w:szCs w:val="38"/>
          <w:highlight w:val="none"/>
          <w:lang w:val="en-US" w:eastAsia="zh-CN" w:bidi="ar-SA"/>
        </w:rPr>
        <w:t>建设项目污染物排放量汇总表</w:t>
      </w:r>
      <w:bookmarkEnd w:id="26"/>
      <w:r>
        <w:rPr>
          <w:rFonts w:hint="eastAsia" w:cs="Times New Roman"/>
          <w:snapToGrid w:val="0"/>
          <w:color w:val="auto"/>
          <w:kern w:val="0"/>
          <w:sz w:val="38"/>
          <w:szCs w:val="38"/>
          <w:highlight w:val="none"/>
          <w:lang w:val="en-US" w:eastAsia="zh-CN" w:bidi="ar-SA"/>
        </w:rPr>
        <w:t>（t/a）</w:t>
      </w:r>
    </w:p>
    <w:tbl>
      <w:tblPr>
        <w:tblStyle w:val="31"/>
        <w:tblW w:w="1390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2220"/>
        <w:gridCol w:w="1545"/>
        <w:gridCol w:w="1635"/>
        <w:gridCol w:w="1410"/>
        <w:gridCol w:w="1380"/>
        <w:gridCol w:w="1335"/>
        <w:gridCol w:w="1581"/>
        <w:gridCol w:w="1440"/>
      </w:tblGrid>
      <w:tr w14:paraId="0985B0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2" w:hRule="atLeast"/>
          <w:tblHeader/>
        </w:trPr>
        <w:tc>
          <w:tcPr>
            <w:tcW w:w="1355" w:type="dxa"/>
            <w:tcBorders>
              <w:tl2br w:val="single" w:color="auto" w:sz="4" w:space="0"/>
            </w:tcBorders>
            <w:noWrap w:val="0"/>
            <w:tcMar>
              <w:left w:w="28" w:type="dxa"/>
              <w:right w:w="28" w:type="dxa"/>
            </w:tcMar>
            <w:vAlign w:val="center"/>
          </w:tcPr>
          <w:p w14:paraId="38D13329">
            <w:pPr>
              <w:keepNext w:val="0"/>
              <w:keepLines w:val="0"/>
              <w:pageBreakBefore w:val="0"/>
              <w:widowControl w:val="0"/>
              <w:kinsoku/>
              <w:wordWrap/>
              <w:overflowPunct/>
              <w:topLinePunct w:val="0"/>
              <w:autoSpaceDE/>
              <w:autoSpaceDN/>
              <w:bidi w:val="0"/>
              <w:adjustRightInd w:val="0"/>
              <w:snapToGrid w:val="0"/>
              <w:spacing w:beforeLines="0" w:afterLines="0" w:line="400" w:lineRule="exact"/>
              <w:jc w:val="right"/>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项目</w:t>
            </w:r>
          </w:p>
          <w:p w14:paraId="0DF9D11A">
            <w:pPr>
              <w:keepNext w:val="0"/>
              <w:keepLines w:val="0"/>
              <w:pageBreakBefore w:val="0"/>
              <w:widowControl w:val="0"/>
              <w:kinsoku/>
              <w:wordWrap/>
              <w:overflowPunct/>
              <w:topLinePunct w:val="0"/>
              <w:autoSpaceDE/>
              <w:autoSpaceDN/>
              <w:bidi w:val="0"/>
              <w:adjustRightInd w:val="0"/>
              <w:snapToGrid w:val="0"/>
              <w:spacing w:beforeLines="0" w:afterLines="0" w:line="400" w:lineRule="exact"/>
              <w:jc w:val="left"/>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分类</w:t>
            </w:r>
          </w:p>
        </w:tc>
        <w:tc>
          <w:tcPr>
            <w:tcW w:w="2220" w:type="dxa"/>
            <w:noWrap w:val="0"/>
            <w:tcMar>
              <w:left w:w="28" w:type="dxa"/>
              <w:right w:w="28" w:type="dxa"/>
            </w:tcMar>
            <w:vAlign w:val="center"/>
          </w:tcPr>
          <w:p w14:paraId="683105CD">
            <w:pPr>
              <w:keepNext w:val="0"/>
              <w:keepLines w:val="0"/>
              <w:pageBreakBefore w:val="0"/>
              <w:widowControl w:val="0"/>
              <w:kinsoku/>
              <w:wordWrap/>
              <w:overflowPunct/>
              <w:topLinePunct w:val="0"/>
              <w:autoSpaceDE/>
              <w:autoSpaceDN/>
              <w:bidi w:val="0"/>
              <w:adjustRightInd w:val="0"/>
              <w:snapToGrid w:val="0"/>
              <w:spacing w:beforeLines="0" w:afterLines="0" w:line="4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污染物名称</w:t>
            </w:r>
          </w:p>
        </w:tc>
        <w:tc>
          <w:tcPr>
            <w:tcW w:w="1545" w:type="dxa"/>
            <w:noWrap w:val="0"/>
            <w:tcMar>
              <w:left w:w="28" w:type="dxa"/>
              <w:right w:w="28" w:type="dxa"/>
            </w:tcMar>
            <w:vAlign w:val="center"/>
          </w:tcPr>
          <w:p w14:paraId="37464FD0">
            <w:pPr>
              <w:keepNext w:val="0"/>
              <w:keepLines w:val="0"/>
              <w:pageBreakBefore w:val="0"/>
              <w:widowControl w:val="0"/>
              <w:kinsoku/>
              <w:wordWrap/>
              <w:overflowPunct/>
              <w:topLinePunct w:val="0"/>
              <w:autoSpaceDE/>
              <w:autoSpaceDN/>
              <w:bidi w:val="0"/>
              <w:adjustRightInd w:val="0"/>
              <w:snapToGrid w:val="0"/>
              <w:spacing w:beforeLines="0" w:afterLines="0" w:line="4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现有工程排放量（固体废物产生量）</w: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begin"/>
            </w:r>
            <w:r>
              <w:rPr>
                <w:rFonts w:hint="default" w:ascii="Times New Roman" w:hAnsi="Times New Roman" w:eastAsia="宋体" w:cs="Times New Roman"/>
                <w:snapToGrid w:val="0"/>
                <w:color w:val="auto"/>
                <w:kern w:val="21"/>
                <w:sz w:val="21"/>
                <w:szCs w:val="21"/>
                <w:highlight w:val="none"/>
                <w:u w:val="none"/>
                <w:lang w:val="en-US" w:eastAsia="zh-CN" w:bidi="ar-SA"/>
              </w:rPr>
              <w:instrText xml:space="preserve"> = 1 \* GB3 \* MERGEFORMAT </w:instrTex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separate"/>
            </w:r>
            <w:r>
              <w:rPr>
                <w:rFonts w:hint="default" w:ascii="Times New Roman" w:hAnsi="Times New Roman" w:eastAsia="宋体" w:cs="Times New Roman"/>
                <w:color w:val="auto"/>
                <w:kern w:val="2"/>
                <w:sz w:val="21"/>
                <w:szCs w:val="21"/>
                <w:highlight w:val="none"/>
                <w:u w:val="none"/>
                <w:lang w:val="en-US" w:eastAsia="zh-CN" w:bidi="ar-SA"/>
              </w:rPr>
              <w:t>①</w: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end"/>
            </w:r>
          </w:p>
        </w:tc>
        <w:tc>
          <w:tcPr>
            <w:tcW w:w="1635" w:type="dxa"/>
            <w:noWrap w:val="0"/>
            <w:tcMar>
              <w:left w:w="28" w:type="dxa"/>
              <w:right w:w="28" w:type="dxa"/>
            </w:tcMar>
            <w:vAlign w:val="center"/>
          </w:tcPr>
          <w:p w14:paraId="711382CD">
            <w:pPr>
              <w:keepNext w:val="0"/>
              <w:keepLines w:val="0"/>
              <w:pageBreakBefore w:val="0"/>
              <w:widowControl w:val="0"/>
              <w:kinsoku/>
              <w:wordWrap/>
              <w:overflowPunct/>
              <w:topLinePunct w:val="0"/>
              <w:autoSpaceDE/>
              <w:autoSpaceDN/>
              <w:bidi w:val="0"/>
              <w:adjustRightInd w:val="0"/>
              <w:snapToGrid w:val="0"/>
              <w:spacing w:beforeLines="0" w:afterLines="0" w:line="4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现有工程许可排放量</w: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begin"/>
            </w:r>
            <w:r>
              <w:rPr>
                <w:rFonts w:hint="default" w:ascii="Times New Roman" w:hAnsi="Times New Roman" w:eastAsia="宋体" w:cs="Times New Roman"/>
                <w:snapToGrid w:val="0"/>
                <w:color w:val="auto"/>
                <w:kern w:val="21"/>
                <w:sz w:val="21"/>
                <w:szCs w:val="21"/>
                <w:highlight w:val="none"/>
                <w:u w:val="none"/>
                <w:lang w:val="en-US" w:eastAsia="zh-CN" w:bidi="ar-SA"/>
              </w:rPr>
              <w:instrText xml:space="preserve"> = 2 \* GB3 \* MERGEFORMAT </w:instrTex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separate"/>
            </w:r>
            <w:r>
              <w:rPr>
                <w:rFonts w:hint="default" w:ascii="Times New Roman" w:hAnsi="Times New Roman" w:eastAsia="宋体" w:cs="Times New Roman"/>
                <w:snapToGrid w:val="0"/>
                <w:color w:val="auto"/>
                <w:kern w:val="21"/>
                <w:sz w:val="21"/>
                <w:szCs w:val="21"/>
                <w:highlight w:val="none"/>
                <w:u w:val="none"/>
                <w:lang w:val="en-US" w:eastAsia="zh-CN" w:bidi="ar-SA"/>
              </w:rPr>
              <w:t>②</w: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end"/>
            </w:r>
          </w:p>
        </w:tc>
        <w:tc>
          <w:tcPr>
            <w:tcW w:w="1410" w:type="dxa"/>
            <w:noWrap w:val="0"/>
            <w:tcMar>
              <w:left w:w="28" w:type="dxa"/>
              <w:right w:w="28" w:type="dxa"/>
            </w:tcMar>
            <w:vAlign w:val="center"/>
          </w:tcPr>
          <w:p w14:paraId="71E593D4">
            <w:pPr>
              <w:keepNext w:val="0"/>
              <w:keepLines w:val="0"/>
              <w:pageBreakBefore w:val="0"/>
              <w:widowControl w:val="0"/>
              <w:kinsoku/>
              <w:wordWrap/>
              <w:overflowPunct/>
              <w:topLinePunct w:val="0"/>
              <w:autoSpaceDE/>
              <w:autoSpaceDN/>
              <w:bidi w:val="0"/>
              <w:adjustRightInd w:val="0"/>
              <w:snapToGrid w:val="0"/>
              <w:spacing w:beforeLines="0" w:afterLines="0" w:line="4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在建工程排放量（固体废物产生量）</w: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begin"/>
            </w:r>
            <w:r>
              <w:rPr>
                <w:rFonts w:hint="default" w:ascii="Times New Roman" w:hAnsi="Times New Roman" w:eastAsia="宋体" w:cs="Times New Roman"/>
                <w:snapToGrid w:val="0"/>
                <w:color w:val="auto"/>
                <w:kern w:val="21"/>
                <w:sz w:val="21"/>
                <w:szCs w:val="21"/>
                <w:highlight w:val="none"/>
                <w:u w:val="none"/>
                <w:lang w:val="en-US" w:eastAsia="zh-CN" w:bidi="ar-SA"/>
              </w:rPr>
              <w:instrText xml:space="preserve"> = 3 \* GB3 \* MERGEFORMAT </w:instrTex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separate"/>
            </w:r>
            <w:r>
              <w:rPr>
                <w:rFonts w:hint="default" w:ascii="Times New Roman" w:hAnsi="Times New Roman" w:eastAsia="宋体" w:cs="Times New Roman"/>
                <w:color w:val="auto"/>
                <w:kern w:val="2"/>
                <w:sz w:val="21"/>
                <w:szCs w:val="21"/>
                <w:highlight w:val="none"/>
                <w:u w:val="none"/>
                <w:lang w:val="en-US" w:eastAsia="zh-CN" w:bidi="ar-SA"/>
              </w:rPr>
              <w:t>③</w: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end"/>
            </w:r>
          </w:p>
        </w:tc>
        <w:tc>
          <w:tcPr>
            <w:tcW w:w="1380" w:type="dxa"/>
            <w:noWrap w:val="0"/>
            <w:tcMar>
              <w:left w:w="28" w:type="dxa"/>
              <w:right w:w="28" w:type="dxa"/>
            </w:tcMar>
            <w:vAlign w:val="center"/>
          </w:tcPr>
          <w:p w14:paraId="39D72264">
            <w:pPr>
              <w:keepNext w:val="0"/>
              <w:keepLines w:val="0"/>
              <w:pageBreakBefore w:val="0"/>
              <w:widowControl w:val="0"/>
              <w:kinsoku/>
              <w:wordWrap/>
              <w:overflowPunct/>
              <w:topLinePunct w:val="0"/>
              <w:autoSpaceDE/>
              <w:autoSpaceDN/>
              <w:bidi w:val="0"/>
              <w:adjustRightInd w:val="0"/>
              <w:snapToGrid w:val="0"/>
              <w:spacing w:beforeLines="0" w:afterLines="0" w:line="4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本项目排放量（固体废物产生量）</w: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begin"/>
            </w:r>
            <w:r>
              <w:rPr>
                <w:rFonts w:hint="default" w:ascii="Times New Roman" w:hAnsi="Times New Roman" w:eastAsia="宋体" w:cs="Times New Roman"/>
                <w:snapToGrid w:val="0"/>
                <w:color w:val="auto"/>
                <w:kern w:val="21"/>
                <w:sz w:val="21"/>
                <w:szCs w:val="21"/>
                <w:highlight w:val="none"/>
                <w:u w:val="none"/>
                <w:lang w:val="en-US" w:eastAsia="zh-CN" w:bidi="ar-SA"/>
              </w:rPr>
              <w:instrText xml:space="preserve"> = 4 \* GB3 \* MERGEFORMAT </w:instrTex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separate"/>
            </w:r>
            <w:r>
              <w:rPr>
                <w:rFonts w:hint="default" w:ascii="Times New Roman" w:hAnsi="Times New Roman" w:eastAsia="宋体" w:cs="Times New Roman"/>
                <w:color w:val="auto"/>
                <w:kern w:val="2"/>
                <w:sz w:val="21"/>
                <w:szCs w:val="21"/>
                <w:highlight w:val="none"/>
                <w:u w:val="none"/>
                <w:lang w:val="en-US" w:eastAsia="zh-CN" w:bidi="ar-SA"/>
              </w:rPr>
              <w:t>④</w: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end"/>
            </w:r>
          </w:p>
        </w:tc>
        <w:tc>
          <w:tcPr>
            <w:tcW w:w="1335" w:type="dxa"/>
            <w:noWrap w:val="0"/>
            <w:tcMar>
              <w:left w:w="28" w:type="dxa"/>
              <w:right w:w="28" w:type="dxa"/>
            </w:tcMar>
            <w:vAlign w:val="center"/>
          </w:tcPr>
          <w:p w14:paraId="3DEB200B">
            <w:pPr>
              <w:keepNext w:val="0"/>
              <w:keepLines w:val="0"/>
              <w:pageBreakBefore w:val="0"/>
              <w:widowControl w:val="0"/>
              <w:kinsoku/>
              <w:wordWrap/>
              <w:overflowPunct/>
              <w:topLinePunct w:val="0"/>
              <w:autoSpaceDE/>
              <w:autoSpaceDN/>
              <w:bidi w:val="0"/>
              <w:adjustRightInd w:val="0"/>
              <w:snapToGrid w:val="0"/>
              <w:spacing w:beforeLines="0" w:afterLines="0" w:line="4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以新带老削减量（新建项目不填）</w: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begin"/>
            </w:r>
            <w:r>
              <w:rPr>
                <w:rFonts w:hint="default" w:ascii="Times New Roman" w:hAnsi="Times New Roman" w:eastAsia="宋体" w:cs="Times New Roman"/>
                <w:snapToGrid w:val="0"/>
                <w:color w:val="auto"/>
                <w:kern w:val="21"/>
                <w:sz w:val="21"/>
                <w:szCs w:val="21"/>
                <w:highlight w:val="none"/>
                <w:u w:val="none"/>
                <w:lang w:val="en-US" w:eastAsia="zh-CN" w:bidi="ar-SA"/>
              </w:rPr>
              <w:instrText xml:space="preserve"> = 5 \* GB3 \* MERGEFORMAT </w:instrTex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separate"/>
            </w:r>
            <w:r>
              <w:rPr>
                <w:rFonts w:hint="default" w:ascii="Times New Roman" w:hAnsi="Times New Roman" w:eastAsia="宋体" w:cs="Times New Roman"/>
                <w:color w:val="auto"/>
                <w:kern w:val="2"/>
                <w:sz w:val="21"/>
                <w:szCs w:val="21"/>
                <w:highlight w:val="none"/>
                <w:u w:val="none"/>
                <w:lang w:val="en-US" w:eastAsia="zh-CN" w:bidi="ar-SA"/>
              </w:rPr>
              <w:t>⑤</w: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end"/>
            </w:r>
          </w:p>
        </w:tc>
        <w:tc>
          <w:tcPr>
            <w:tcW w:w="1581" w:type="dxa"/>
            <w:noWrap w:val="0"/>
            <w:tcMar>
              <w:left w:w="28" w:type="dxa"/>
              <w:right w:w="28" w:type="dxa"/>
            </w:tcMar>
            <w:vAlign w:val="center"/>
          </w:tcPr>
          <w:p w14:paraId="6D5241ED">
            <w:pPr>
              <w:keepNext w:val="0"/>
              <w:keepLines w:val="0"/>
              <w:pageBreakBefore w:val="0"/>
              <w:widowControl w:val="0"/>
              <w:kinsoku/>
              <w:wordWrap/>
              <w:overflowPunct/>
              <w:topLinePunct w:val="0"/>
              <w:autoSpaceDE/>
              <w:autoSpaceDN/>
              <w:bidi w:val="0"/>
              <w:adjustRightInd w:val="0"/>
              <w:snapToGrid w:val="0"/>
              <w:spacing w:beforeLines="0" w:afterLines="0" w:line="4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本项目建成后全厂排放量（固体废物产生量）</w: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begin"/>
            </w:r>
            <w:r>
              <w:rPr>
                <w:rFonts w:hint="default" w:ascii="Times New Roman" w:hAnsi="Times New Roman" w:eastAsia="宋体" w:cs="Times New Roman"/>
                <w:snapToGrid w:val="0"/>
                <w:color w:val="auto"/>
                <w:kern w:val="21"/>
                <w:sz w:val="21"/>
                <w:szCs w:val="21"/>
                <w:highlight w:val="none"/>
                <w:u w:val="none"/>
                <w:lang w:val="en-US" w:eastAsia="zh-CN" w:bidi="ar-SA"/>
              </w:rPr>
              <w:instrText xml:space="preserve"> = 6 \* GB3 \* MERGEFORMAT </w:instrTex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separate"/>
            </w:r>
            <w:r>
              <w:rPr>
                <w:rFonts w:hint="default" w:ascii="Times New Roman" w:hAnsi="Times New Roman" w:eastAsia="宋体" w:cs="Times New Roman"/>
                <w:color w:val="auto"/>
                <w:kern w:val="2"/>
                <w:sz w:val="21"/>
                <w:szCs w:val="21"/>
                <w:highlight w:val="none"/>
                <w:u w:val="none"/>
                <w:lang w:val="en-US" w:eastAsia="zh-CN" w:bidi="ar-SA"/>
              </w:rPr>
              <w:t>⑥</w: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end"/>
            </w:r>
          </w:p>
        </w:tc>
        <w:tc>
          <w:tcPr>
            <w:tcW w:w="1440" w:type="dxa"/>
            <w:noWrap w:val="0"/>
            <w:tcMar>
              <w:left w:w="28" w:type="dxa"/>
              <w:right w:w="28" w:type="dxa"/>
            </w:tcMar>
            <w:vAlign w:val="center"/>
          </w:tcPr>
          <w:p w14:paraId="26FEC3A3">
            <w:pPr>
              <w:keepNext w:val="0"/>
              <w:keepLines w:val="0"/>
              <w:pageBreakBefore w:val="0"/>
              <w:widowControl w:val="0"/>
              <w:kinsoku/>
              <w:wordWrap/>
              <w:overflowPunct/>
              <w:topLinePunct w:val="0"/>
              <w:autoSpaceDE/>
              <w:autoSpaceDN/>
              <w:bidi w:val="0"/>
              <w:adjustRightInd w:val="0"/>
              <w:snapToGrid w:val="0"/>
              <w:spacing w:beforeLines="0" w:afterLines="0" w:line="4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变化量</w:t>
            </w:r>
          </w:p>
          <w:p w14:paraId="0A0470E3">
            <w:pPr>
              <w:keepNext w:val="0"/>
              <w:keepLines w:val="0"/>
              <w:pageBreakBefore w:val="0"/>
              <w:widowControl w:val="0"/>
              <w:kinsoku/>
              <w:wordWrap/>
              <w:overflowPunct/>
              <w:topLinePunct w:val="0"/>
              <w:autoSpaceDE/>
              <w:autoSpaceDN/>
              <w:bidi w:val="0"/>
              <w:adjustRightInd w:val="0"/>
              <w:snapToGrid w:val="0"/>
              <w:spacing w:beforeLines="0" w:afterLines="0" w:line="4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fldChar w:fldCharType="begin"/>
            </w:r>
            <w:r>
              <w:rPr>
                <w:rFonts w:hint="default" w:ascii="Times New Roman" w:hAnsi="Times New Roman" w:eastAsia="宋体" w:cs="Times New Roman"/>
                <w:snapToGrid w:val="0"/>
                <w:color w:val="auto"/>
                <w:kern w:val="21"/>
                <w:sz w:val="21"/>
                <w:szCs w:val="21"/>
                <w:highlight w:val="none"/>
                <w:u w:val="none"/>
                <w:lang w:val="en-US" w:eastAsia="zh-CN" w:bidi="ar-SA"/>
              </w:rPr>
              <w:instrText xml:space="preserve"> = 7 \* GB3 \* MERGEFORMAT </w:instrTex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separate"/>
            </w:r>
            <w:r>
              <w:rPr>
                <w:rFonts w:hint="default" w:ascii="Times New Roman" w:hAnsi="Times New Roman" w:eastAsia="宋体" w:cs="Times New Roman"/>
                <w:color w:val="auto"/>
                <w:kern w:val="2"/>
                <w:sz w:val="21"/>
                <w:szCs w:val="21"/>
                <w:highlight w:val="none"/>
                <w:u w:val="none"/>
                <w:lang w:val="en-US" w:eastAsia="zh-CN" w:bidi="ar-SA"/>
              </w:rPr>
              <w:t>⑦</w:t>
            </w:r>
            <w:r>
              <w:rPr>
                <w:rFonts w:hint="default" w:ascii="Times New Roman" w:hAnsi="Times New Roman" w:eastAsia="宋体" w:cs="Times New Roman"/>
                <w:snapToGrid w:val="0"/>
                <w:color w:val="auto"/>
                <w:kern w:val="21"/>
                <w:sz w:val="21"/>
                <w:szCs w:val="21"/>
                <w:highlight w:val="none"/>
                <w:u w:val="none"/>
                <w:lang w:val="en-US" w:eastAsia="zh-CN" w:bidi="ar-SA"/>
              </w:rPr>
              <w:fldChar w:fldCharType="end"/>
            </w:r>
          </w:p>
        </w:tc>
      </w:tr>
      <w:tr w14:paraId="50F7D8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355" w:type="dxa"/>
            <w:vMerge w:val="restart"/>
            <w:noWrap w:val="0"/>
            <w:vAlign w:val="center"/>
          </w:tcPr>
          <w:p w14:paraId="775785C8">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废气</w:t>
            </w:r>
          </w:p>
        </w:tc>
        <w:tc>
          <w:tcPr>
            <w:tcW w:w="2220" w:type="dxa"/>
            <w:noWrap w:val="0"/>
            <w:vAlign w:val="center"/>
          </w:tcPr>
          <w:p w14:paraId="0F24E1FB">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VOCs</w:t>
            </w:r>
          </w:p>
        </w:tc>
        <w:tc>
          <w:tcPr>
            <w:tcW w:w="1545" w:type="dxa"/>
            <w:noWrap w:val="0"/>
            <w:vAlign w:val="center"/>
          </w:tcPr>
          <w:p w14:paraId="31431D32">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noWrap w:val="0"/>
            <w:vAlign w:val="center"/>
          </w:tcPr>
          <w:p w14:paraId="129A41BB">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noWrap w:val="0"/>
            <w:vAlign w:val="center"/>
          </w:tcPr>
          <w:p w14:paraId="44C19063">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42F9E542">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0.475 </w:t>
            </w:r>
          </w:p>
        </w:tc>
        <w:tc>
          <w:tcPr>
            <w:tcW w:w="1335" w:type="dxa"/>
            <w:noWrap w:val="0"/>
            <w:vAlign w:val="center"/>
          </w:tcPr>
          <w:p w14:paraId="147623C7">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noWrap w:val="0"/>
            <w:vAlign w:val="center"/>
          </w:tcPr>
          <w:p w14:paraId="54CF6BE5">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0.475 </w:t>
            </w:r>
          </w:p>
        </w:tc>
        <w:tc>
          <w:tcPr>
            <w:tcW w:w="1440" w:type="dxa"/>
            <w:noWrap w:val="0"/>
            <w:vAlign w:val="center"/>
          </w:tcPr>
          <w:p w14:paraId="33166B55">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snapToGrid w:val="0"/>
                <w:color w:val="auto"/>
                <w:kern w:val="21"/>
                <w:sz w:val="21"/>
                <w:szCs w:val="21"/>
                <w:highlight w:val="none"/>
                <w:u w:val="none"/>
                <w:lang w:val="en-US" w:eastAsia="zh-CN" w:bidi="ar-SA"/>
              </w:rPr>
              <w:t>+</w:t>
            </w:r>
            <w:r>
              <w:rPr>
                <w:rFonts w:hint="eastAsia" w:ascii="Times New Roman" w:hAnsi="Times New Roman" w:eastAsia="宋体" w:cs="Times New Roman"/>
                <w:snapToGrid w:val="0"/>
                <w:color w:val="auto"/>
                <w:kern w:val="21"/>
                <w:sz w:val="21"/>
                <w:szCs w:val="21"/>
                <w:highlight w:val="none"/>
                <w:u w:val="none"/>
                <w:lang w:val="en-US" w:eastAsia="zh-CN" w:bidi="ar-SA"/>
              </w:rPr>
              <w:t xml:space="preserve">0.475 </w:t>
            </w:r>
          </w:p>
        </w:tc>
      </w:tr>
      <w:tr w14:paraId="53C376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55" w:type="dxa"/>
            <w:vMerge w:val="continue"/>
            <w:noWrap w:val="0"/>
            <w:vAlign w:val="center"/>
          </w:tcPr>
          <w:p w14:paraId="239A9629">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p>
        </w:tc>
        <w:tc>
          <w:tcPr>
            <w:tcW w:w="2220" w:type="dxa"/>
            <w:noWrap w:val="0"/>
            <w:vAlign w:val="center"/>
          </w:tcPr>
          <w:p w14:paraId="47576279">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甲苯</w:t>
            </w:r>
          </w:p>
        </w:tc>
        <w:tc>
          <w:tcPr>
            <w:tcW w:w="1545" w:type="dxa"/>
            <w:noWrap w:val="0"/>
            <w:vAlign w:val="center"/>
          </w:tcPr>
          <w:p w14:paraId="0F2865A8">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noWrap w:val="0"/>
            <w:vAlign w:val="center"/>
          </w:tcPr>
          <w:p w14:paraId="5D2AF45E">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noWrap w:val="0"/>
            <w:vAlign w:val="center"/>
          </w:tcPr>
          <w:p w14:paraId="1350C6BB">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39CAB44D">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0.224 </w:t>
            </w:r>
          </w:p>
        </w:tc>
        <w:tc>
          <w:tcPr>
            <w:tcW w:w="1335" w:type="dxa"/>
            <w:noWrap w:val="0"/>
            <w:vAlign w:val="center"/>
          </w:tcPr>
          <w:p w14:paraId="0947E89D">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noWrap w:val="0"/>
            <w:vAlign w:val="center"/>
          </w:tcPr>
          <w:p w14:paraId="700C34C5">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0.224 </w:t>
            </w:r>
          </w:p>
        </w:tc>
        <w:tc>
          <w:tcPr>
            <w:tcW w:w="1440" w:type="dxa"/>
            <w:noWrap w:val="0"/>
            <w:vAlign w:val="center"/>
          </w:tcPr>
          <w:p w14:paraId="6D59ADF5">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snapToGrid w:val="0"/>
                <w:color w:val="auto"/>
                <w:kern w:val="21"/>
                <w:sz w:val="21"/>
                <w:szCs w:val="21"/>
                <w:highlight w:val="none"/>
                <w:u w:val="none"/>
                <w:lang w:val="en-US" w:eastAsia="zh-CN" w:bidi="ar-SA"/>
              </w:rPr>
              <w:t>+</w:t>
            </w:r>
            <w:r>
              <w:rPr>
                <w:rFonts w:hint="eastAsia" w:ascii="Times New Roman" w:hAnsi="Times New Roman" w:eastAsia="宋体" w:cs="Times New Roman"/>
                <w:snapToGrid w:val="0"/>
                <w:color w:val="auto"/>
                <w:kern w:val="21"/>
                <w:sz w:val="21"/>
                <w:szCs w:val="21"/>
                <w:highlight w:val="none"/>
                <w:u w:val="none"/>
                <w:lang w:val="en-US" w:eastAsia="zh-CN" w:bidi="ar-SA"/>
              </w:rPr>
              <w:t xml:space="preserve">0.224 </w:t>
            </w:r>
          </w:p>
        </w:tc>
      </w:tr>
      <w:tr w14:paraId="49E4A5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38D04A60">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p>
        </w:tc>
        <w:tc>
          <w:tcPr>
            <w:tcW w:w="2220" w:type="dxa"/>
            <w:noWrap w:val="0"/>
            <w:vAlign w:val="center"/>
          </w:tcPr>
          <w:p w14:paraId="6E2EAAEE">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二甲苯</w:t>
            </w:r>
          </w:p>
        </w:tc>
        <w:tc>
          <w:tcPr>
            <w:tcW w:w="1545" w:type="dxa"/>
            <w:noWrap w:val="0"/>
            <w:vAlign w:val="center"/>
          </w:tcPr>
          <w:p w14:paraId="7F4304FF">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noWrap w:val="0"/>
            <w:vAlign w:val="center"/>
          </w:tcPr>
          <w:p w14:paraId="7B469D3A">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noWrap w:val="0"/>
            <w:vAlign w:val="center"/>
          </w:tcPr>
          <w:p w14:paraId="6277D315">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51702104">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0.048 </w:t>
            </w:r>
          </w:p>
        </w:tc>
        <w:tc>
          <w:tcPr>
            <w:tcW w:w="1335" w:type="dxa"/>
            <w:noWrap w:val="0"/>
            <w:vAlign w:val="center"/>
          </w:tcPr>
          <w:p w14:paraId="371A4567">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noWrap w:val="0"/>
            <w:vAlign w:val="center"/>
          </w:tcPr>
          <w:p w14:paraId="1E8A63E2">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0.048 </w:t>
            </w:r>
          </w:p>
        </w:tc>
        <w:tc>
          <w:tcPr>
            <w:tcW w:w="1440" w:type="dxa"/>
            <w:noWrap w:val="0"/>
            <w:vAlign w:val="center"/>
          </w:tcPr>
          <w:p w14:paraId="44687355">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snapToGrid w:val="0"/>
                <w:color w:val="auto"/>
                <w:kern w:val="21"/>
                <w:sz w:val="21"/>
                <w:szCs w:val="21"/>
                <w:highlight w:val="none"/>
                <w:u w:val="none"/>
                <w:lang w:val="en-US" w:eastAsia="zh-CN" w:bidi="ar-SA"/>
              </w:rPr>
              <w:t>+</w:t>
            </w:r>
            <w:r>
              <w:rPr>
                <w:rFonts w:hint="eastAsia" w:ascii="Times New Roman" w:hAnsi="Times New Roman" w:eastAsia="宋体" w:cs="Times New Roman"/>
                <w:snapToGrid w:val="0"/>
                <w:color w:val="auto"/>
                <w:kern w:val="21"/>
                <w:sz w:val="21"/>
                <w:szCs w:val="21"/>
                <w:highlight w:val="none"/>
                <w:u w:val="none"/>
                <w:lang w:val="en-US" w:eastAsia="zh-CN" w:bidi="ar-SA"/>
              </w:rPr>
              <w:t xml:space="preserve">0.048 </w:t>
            </w:r>
          </w:p>
        </w:tc>
      </w:tr>
      <w:tr w14:paraId="4B1FA7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7396B7FC">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p>
        </w:tc>
        <w:tc>
          <w:tcPr>
            <w:tcW w:w="2220" w:type="dxa"/>
            <w:noWrap w:val="0"/>
            <w:vAlign w:val="center"/>
          </w:tcPr>
          <w:p w14:paraId="57DBBCE6">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颗粒物</w:t>
            </w:r>
          </w:p>
        </w:tc>
        <w:tc>
          <w:tcPr>
            <w:tcW w:w="1545" w:type="dxa"/>
            <w:noWrap w:val="0"/>
            <w:vAlign w:val="center"/>
          </w:tcPr>
          <w:p w14:paraId="788248DC">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noWrap w:val="0"/>
            <w:vAlign w:val="center"/>
          </w:tcPr>
          <w:p w14:paraId="168D7CDD">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noWrap w:val="0"/>
            <w:vAlign w:val="center"/>
          </w:tcPr>
          <w:p w14:paraId="48548E01">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0F48D36A">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0.178 </w:t>
            </w:r>
          </w:p>
        </w:tc>
        <w:tc>
          <w:tcPr>
            <w:tcW w:w="1335" w:type="dxa"/>
            <w:noWrap w:val="0"/>
            <w:vAlign w:val="center"/>
          </w:tcPr>
          <w:p w14:paraId="70547CFC">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noWrap w:val="0"/>
            <w:vAlign w:val="center"/>
          </w:tcPr>
          <w:p w14:paraId="00C62C02">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0.178 </w:t>
            </w:r>
          </w:p>
        </w:tc>
        <w:tc>
          <w:tcPr>
            <w:tcW w:w="1440" w:type="dxa"/>
            <w:noWrap w:val="0"/>
            <w:vAlign w:val="center"/>
          </w:tcPr>
          <w:p w14:paraId="15525D37">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+0.178 </w:t>
            </w:r>
          </w:p>
        </w:tc>
      </w:tr>
      <w:tr w14:paraId="0ADC12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4C276D8C">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p>
        </w:tc>
        <w:tc>
          <w:tcPr>
            <w:tcW w:w="2220" w:type="dxa"/>
            <w:noWrap w:val="0"/>
            <w:vAlign w:val="center"/>
          </w:tcPr>
          <w:p w14:paraId="50FD62B9">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二氧化硫</w:t>
            </w:r>
          </w:p>
        </w:tc>
        <w:tc>
          <w:tcPr>
            <w:tcW w:w="1545" w:type="dxa"/>
            <w:noWrap w:val="0"/>
            <w:vAlign w:val="center"/>
          </w:tcPr>
          <w:p w14:paraId="7603877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39CD8136">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noWrap w:val="0"/>
            <w:vAlign w:val="center"/>
          </w:tcPr>
          <w:p w14:paraId="73637B21">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noWrap w:val="0"/>
            <w:vAlign w:val="center"/>
          </w:tcPr>
          <w:p w14:paraId="6372CDC5">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0.000000016 </w:t>
            </w:r>
          </w:p>
        </w:tc>
        <w:tc>
          <w:tcPr>
            <w:tcW w:w="1335" w:type="dxa"/>
            <w:noWrap w:val="0"/>
            <w:vAlign w:val="center"/>
          </w:tcPr>
          <w:p w14:paraId="32631295">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noWrap w:val="0"/>
            <w:vAlign w:val="center"/>
          </w:tcPr>
          <w:p w14:paraId="145588EA">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0.000000016 </w:t>
            </w:r>
          </w:p>
        </w:tc>
        <w:tc>
          <w:tcPr>
            <w:tcW w:w="1440" w:type="dxa"/>
            <w:noWrap w:val="0"/>
            <w:vAlign w:val="center"/>
          </w:tcPr>
          <w:p w14:paraId="30AB91CB">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+0.000000016 </w:t>
            </w:r>
          </w:p>
        </w:tc>
      </w:tr>
      <w:tr w14:paraId="4F3CC7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6D8E3EDE">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p>
        </w:tc>
        <w:tc>
          <w:tcPr>
            <w:tcW w:w="2220" w:type="dxa"/>
            <w:noWrap w:val="0"/>
            <w:vAlign w:val="center"/>
          </w:tcPr>
          <w:p w14:paraId="233F352F">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氮氧化物</w:t>
            </w:r>
          </w:p>
        </w:tc>
        <w:tc>
          <w:tcPr>
            <w:tcW w:w="1545" w:type="dxa"/>
            <w:noWrap w:val="0"/>
            <w:vAlign w:val="center"/>
          </w:tcPr>
          <w:p w14:paraId="1D29ECF5">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703D2996">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noWrap w:val="0"/>
            <w:vAlign w:val="center"/>
          </w:tcPr>
          <w:p w14:paraId="61A92721">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291CB2AE">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0.0032 </w:t>
            </w:r>
          </w:p>
        </w:tc>
        <w:tc>
          <w:tcPr>
            <w:tcW w:w="1335" w:type="dxa"/>
            <w:noWrap w:val="0"/>
            <w:vAlign w:val="center"/>
          </w:tcPr>
          <w:p w14:paraId="588E36CE">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noWrap w:val="0"/>
            <w:vAlign w:val="center"/>
          </w:tcPr>
          <w:p w14:paraId="4BC242BE">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0.0032 </w:t>
            </w:r>
          </w:p>
        </w:tc>
        <w:tc>
          <w:tcPr>
            <w:tcW w:w="1440" w:type="dxa"/>
            <w:noWrap w:val="0"/>
            <w:vAlign w:val="center"/>
          </w:tcPr>
          <w:p w14:paraId="667E8857">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 xml:space="preserve">+0.0032 </w:t>
            </w:r>
          </w:p>
        </w:tc>
      </w:tr>
      <w:tr w14:paraId="7FE6AD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55" w:type="dxa"/>
            <w:vMerge w:val="restart"/>
            <w:noWrap w:val="0"/>
            <w:vAlign w:val="center"/>
          </w:tcPr>
          <w:p w14:paraId="30767E82">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废水</w:t>
            </w:r>
          </w:p>
        </w:tc>
        <w:tc>
          <w:tcPr>
            <w:tcW w:w="2220" w:type="dxa"/>
            <w:noWrap w:val="0"/>
            <w:vAlign w:val="center"/>
          </w:tcPr>
          <w:p w14:paraId="6B31868A">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COD</w:t>
            </w:r>
          </w:p>
        </w:tc>
        <w:tc>
          <w:tcPr>
            <w:tcW w:w="1545" w:type="dxa"/>
            <w:noWrap w:val="0"/>
            <w:vAlign w:val="center"/>
          </w:tcPr>
          <w:p w14:paraId="46AAEEBD">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7DD28F51">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410" w:type="dxa"/>
            <w:noWrap w:val="0"/>
            <w:vAlign w:val="center"/>
          </w:tcPr>
          <w:p w14:paraId="5506CC06">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noWrap w:val="0"/>
            <w:vAlign w:val="center"/>
          </w:tcPr>
          <w:p w14:paraId="29657A92">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35" w:type="dxa"/>
            <w:noWrap w:val="0"/>
            <w:vAlign w:val="center"/>
          </w:tcPr>
          <w:p w14:paraId="64718D77">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noWrap w:val="0"/>
            <w:vAlign w:val="center"/>
          </w:tcPr>
          <w:p w14:paraId="6BAB0D0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40" w:type="dxa"/>
            <w:noWrap w:val="0"/>
            <w:vAlign w:val="center"/>
          </w:tcPr>
          <w:p w14:paraId="5FFE178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snapToGrid w:val="0"/>
                <w:color w:val="auto"/>
                <w:kern w:val="21"/>
                <w:sz w:val="21"/>
                <w:szCs w:val="21"/>
                <w:highlight w:val="none"/>
                <w:u w:val="none"/>
                <w:lang w:val="en-US" w:eastAsia="zh-CN" w:bidi="ar-SA"/>
              </w:rPr>
              <w:t>0</w:t>
            </w:r>
          </w:p>
        </w:tc>
      </w:tr>
      <w:tr w14:paraId="426F53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61B2EFA5">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p>
        </w:tc>
        <w:tc>
          <w:tcPr>
            <w:tcW w:w="2220" w:type="dxa"/>
            <w:noWrap w:val="0"/>
            <w:vAlign w:val="center"/>
          </w:tcPr>
          <w:p w14:paraId="2CBDC6B3">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BOD</w:t>
            </w:r>
            <w:r>
              <w:rPr>
                <w:rFonts w:hint="default" w:ascii="Times New Roman" w:hAnsi="Times New Roman" w:eastAsia="宋体" w:cs="Times New Roman"/>
                <w:snapToGrid w:val="0"/>
                <w:color w:val="auto"/>
                <w:kern w:val="21"/>
                <w:sz w:val="21"/>
                <w:szCs w:val="21"/>
                <w:highlight w:val="none"/>
                <w:u w:val="none"/>
                <w:vertAlign w:val="subscript"/>
                <w:lang w:val="en-US" w:eastAsia="zh-CN" w:bidi="ar-SA"/>
              </w:rPr>
              <w:t>5</w:t>
            </w:r>
          </w:p>
        </w:tc>
        <w:tc>
          <w:tcPr>
            <w:tcW w:w="1545" w:type="dxa"/>
            <w:noWrap w:val="0"/>
            <w:vAlign w:val="center"/>
          </w:tcPr>
          <w:p w14:paraId="1BC23697">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6ABA6993">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410" w:type="dxa"/>
            <w:noWrap w:val="0"/>
            <w:vAlign w:val="center"/>
          </w:tcPr>
          <w:p w14:paraId="4A9EB172">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noWrap w:val="0"/>
            <w:vAlign w:val="center"/>
          </w:tcPr>
          <w:p w14:paraId="7F1332E7">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35" w:type="dxa"/>
            <w:noWrap w:val="0"/>
            <w:vAlign w:val="center"/>
          </w:tcPr>
          <w:p w14:paraId="6E528DFD">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noWrap w:val="0"/>
            <w:vAlign w:val="center"/>
          </w:tcPr>
          <w:p w14:paraId="676D5AD6">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40" w:type="dxa"/>
            <w:noWrap w:val="0"/>
            <w:vAlign w:val="center"/>
          </w:tcPr>
          <w:p w14:paraId="595471D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r>
      <w:tr w14:paraId="2D6178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499E6F9A">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p>
        </w:tc>
        <w:tc>
          <w:tcPr>
            <w:tcW w:w="2220" w:type="dxa"/>
            <w:noWrap w:val="0"/>
            <w:vAlign w:val="center"/>
          </w:tcPr>
          <w:p w14:paraId="48833E81">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NH</w:t>
            </w:r>
            <w:r>
              <w:rPr>
                <w:rFonts w:hint="default" w:ascii="Times New Roman" w:hAnsi="Times New Roman" w:eastAsia="宋体" w:cs="Times New Roman"/>
                <w:snapToGrid w:val="0"/>
                <w:color w:val="auto"/>
                <w:kern w:val="21"/>
                <w:sz w:val="21"/>
                <w:szCs w:val="21"/>
                <w:highlight w:val="none"/>
                <w:u w:val="none"/>
                <w:vertAlign w:val="subscript"/>
                <w:lang w:val="en-US" w:eastAsia="zh-CN" w:bidi="ar-SA"/>
              </w:rPr>
              <w:t>3</w:t>
            </w:r>
            <w:r>
              <w:rPr>
                <w:rFonts w:hint="default" w:ascii="Times New Roman" w:hAnsi="Times New Roman" w:eastAsia="宋体" w:cs="Times New Roman"/>
                <w:snapToGrid w:val="0"/>
                <w:color w:val="auto"/>
                <w:kern w:val="21"/>
                <w:sz w:val="21"/>
                <w:szCs w:val="21"/>
                <w:highlight w:val="none"/>
                <w:u w:val="none"/>
                <w:lang w:val="en-US" w:eastAsia="zh-CN" w:bidi="ar-SA"/>
              </w:rPr>
              <w:t>-N</w:t>
            </w:r>
          </w:p>
        </w:tc>
        <w:tc>
          <w:tcPr>
            <w:tcW w:w="1545" w:type="dxa"/>
            <w:noWrap w:val="0"/>
            <w:vAlign w:val="center"/>
          </w:tcPr>
          <w:p w14:paraId="18D73FEB">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7532E106">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noWrap w:val="0"/>
            <w:vAlign w:val="center"/>
          </w:tcPr>
          <w:p w14:paraId="7EC01F5F">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noWrap w:val="0"/>
            <w:vAlign w:val="center"/>
          </w:tcPr>
          <w:p w14:paraId="132B1C2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35" w:type="dxa"/>
            <w:noWrap w:val="0"/>
            <w:vAlign w:val="center"/>
          </w:tcPr>
          <w:p w14:paraId="2329E8EC">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noWrap w:val="0"/>
            <w:vAlign w:val="center"/>
          </w:tcPr>
          <w:p w14:paraId="5A054D49">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40" w:type="dxa"/>
            <w:noWrap w:val="0"/>
            <w:vAlign w:val="center"/>
          </w:tcPr>
          <w:p w14:paraId="2D4152B9">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r>
      <w:tr w14:paraId="550BB4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6E070FE8">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p>
        </w:tc>
        <w:tc>
          <w:tcPr>
            <w:tcW w:w="2220" w:type="dxa"/>
            <w:noWrap w:val="0"/>
            <w:vAlign w:val="center"/>
          </w:tcPr>
          <w:p w14:paraId="7B8E9665">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SS</w:t>
            </w:r>
          </w:p>
        </w:tc>
        <w:tc>
          <w:tcPr>
            <w:tcW w:w="1545" w:type="dxa"/>
            <w:noWrap w:val="0"/>
            <w:vAlign w:val="center"/>
          </w:tcPr>
          <w:p w14:paraId="00067996">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6B27EFEF">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noWrap w:val="0"/>
            <w:vAlign w:val="center"/>
          </w:tcPr>
          <w:p w14:paraId="506444F7">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noWrap w:val="0"/>
            <w:vAlign w:val="center"/>
          </w:tcPr>
          <w:p w14:paraId="081EC028">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35" w:type="dxa"/>
            <w:noWrap w:val="0"/>
            <w:vAlign w:val="center"/>
          </w:tcPr>
          <w:p w14:paraId="12BDC91E">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noWrap w:val="0"/>
            <w:vAlign w:val="center"/>
          </w:tcPr>
          <w:p w14:paraId="197BD98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40" w:type="dxa"/>
            <w:noWrap w:val="0"/>
            <w:vAlign w:val="center"/>
          </w:tcPr>
          <w:p w14:paraId="20768DA5">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r>
      <w:tr w14:paraId="3F12E6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51EF6574">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p>
        </w:tc>
        <w:tc>
          <w:tcPr>
            <w:tcW w:w="2220" w:type="dxa"/>
            <w:noWrap w:val="0"/>
            <w:vAlign w:val="center"/>
          </w:tcPr>
          <w:p w14:paraId="4ABD827A">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动植物油</w:t>
            </w:r>
          </w:p>
        </w:tc>
        <w:tc>
          <w:tcPr>
            <w:tcW w:w="1545" w:type="dxa"/>
            <w:noWrap w:val="0"/>
            <w:vAlign w:val="center"/>
          </w:tcPr>
          <w:p w14:paraId="57E420A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39697F71">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noWrap w:val="0"/>
            <w:vAlign w:val="center"/>
          </w:tcPr>
          <w:p w14:paraId="1A388B27">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noWrap w:val="0"/>
            <w:vAlign w:val="center"/>
          </w:tcPr>
          <w:p w14:paraId="19C3F25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35" w:type="dxa"/>
            <w:noWrap w:val="0"/>
            <w:vAlign w:val="center"/>
          </w:tcPr>
          <w:p w14:paraId="18D0CE0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noWrap w:val="0"/>
            <w:vAlign w:val="center"/>
          </w:tcPr>
          <w:p w14:paraId="422729C9">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40" w:type="dxa"/>
            <w:noWrap w:val="0"/>
            <w:vAlign w:val="center"/>
          </w:tcPr>
          <w:p w14:paraId="41F2FAD2">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r>
      <w:tr w14:paraId="7759B6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restart"/>
            <w:noWrap w:val="0"/>
            <w:vAlign w:val="center"/>
          </w:tcPr>
          <w:p w14:paraId="5A4ECBD0">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一般工业</w:t>
            </w:r>
          </w:p>
          <w:p w14:paraId="7CAFDEA7">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固体废物</w:t>
            </w:r>
          </w:p>
        </w:tc>
        <w:tc>
          <w:tcPr>
            <w:tcW w:w="2220" w:type="dxa"/>
            <w:shd w:val="clear" w:color="auto" w:fill="auto"/>
            <w:noWrap w:val="0"/>
            <w:vAlign w:val="center"/>
          </w:tcPr>
          <w:p w14:paraId="64636BD7">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金属边角料</w:t>
            </w:r>
          </w:p>
        </w:tc>
        <w:tc>
          <w:tcPr>
            <w:tcW w:w="1545" w:type="dxa"/>
            <w:shd w:val="clear" w:color="auto" w:fill="auto"/>
            <w:noWrap w:val="0"/>
            <w:vAlign w:val="center"/>
          </w:tcPr>
          <w:p w14:paraId="3924A76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16426B99">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410" w:type="dxa"/>
            <w:shd w:val="clear" w:color="auto" w:fill="auto"/>
            <w:noWrap w:val="0"/>
            <w:vAlign w:val="center"/>
          </w:tcPr>
          <w:p w14:paraId="652C548E">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72F602CF">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0.5</w:t>
            </w:r>
          </w:p>
        </w:tc>
        <w:tc>
          <w:tcPr>
            <w:tcW w:w="1335" w:type="dxa"/>
            <w:shd w:val="clear" w:color="auto" w:fill="auto"/>
            <w:noWrap w:val="0"/>
            <w:vAlign w:val="center"/>
          </w:tcPr>
          <w:p w14:paraId="68D4232E">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shd w:val="clear" w:color="auto" w:fill="auto"/>
            <w:noWrap w:val="0"/>
            <w:vAlign w:val="center"/>
          </w:tcPr>
          <w:p w14:paraId="6B74E30B">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0.5</w:t>
            </w:r>
          </w:p>
        </w:tc>
        <w:tc>
          <w:tcPr>
            <w:tcW w:w="1440" w:type="dxa"/>
            <w:shd w:val="clear" w:color="auto" w:fill="auto"/>
            <w:noWrap w:val="0"/>
            <w:vAlign w:val="center"/>
          </w:tcPr>
          <w:p w14:paraId="70E3CB2B">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+0.5</w:t>
            </w:r>
          </w:p>
        </w:tc>
      </w:tr>
      <w:tr w14:paraId="7D05DE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55" w:type="dxa"/>
            <w:vMerge w:val="continue"/>
            <w:noWrap w:val="0"/>
            <w:vAlign w:val="center"/>
          </w:tcPr>
          <w:p w14:paraId="2630C620">
            <w:pPr>
              <w:keepNext w:val="0"/>
              <w:keepLines w:val="0"/>
              <w:pageBreakBefore w:val="0"/>
              <w:kinsoku/>
              <w:wordWrap/>
              <w:overflowPunct/>
              <w:topLinePunct w:val="0"/>
              <w:autoSpaceDE/>
              <w:autoSpaceDN/>
              <w:bidi w:val="0"/>
              <w:spacing w:line="300" w:lineRule="exact"/>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p>
        </w:tc>
        <w:tc>
          <w:tcPr>
            <w:tcW w:w="2220" w:type="dxa"/>
            <w:shd w:val="clear" w:color="auto" w:fill="auto"/>
            <w:noWrap w:val="0"/>
            <w:vAlign w:val="center"/>
          </w:tcPr>
          <w:p w14:paraId="5A6E3361">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废焊丝、废焊渣</w:t>
            </w:r>
          </w:p>
        </w:tc>
        <w:tc>
          <w:tcPr>
            <w:tcW w:w="1545" w:type="dxa"/>
            <w:shd w:val="clear" w:color="auto" w:fill="auto"/>
            <w:noWrap w:val="0"/>
            <w:vAlign w:val="center"/>
          </w:tcPr>
          <w:p w14:paraId="1E991933">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331845EF">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410" w:type="dxa"/>
            <w:shd w:val="clear" w:color="auto" w:fill="auto"/>
            <w:noWrap w:val="0"/>
            <w:vAlign w:val="center"/>
          </w:tcPr>
          <w:p w14:paraId="0343CCE2">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1307EFD9">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0.2</w:t>
            </w:r>
          </w:p>
        </w:tc>
        <w:tc>
          <w:tcPr>
            <w:tcW w:w="1335" w:type="dxa"/>
            <w:shd w:val="clear" w:color="auto" w:fill="auto"/>
            <w:noWrap w:val="0"/>
            <w:vAlign w:val="center"/>
          </w:tcPr>
          <w:p w14:paraId="18D92F2B">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shd w:val="clear" w:color="auto" w:fill="auto"/>
            <w:noWrap w:val="0"/>
            <w:vAlign w:val="center"/>
          </w:tcPr>
          <w:p w14:paraId="49F51F92">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0.2</w:t>
            </w:r>
          </w:p>
        </w:tc>
        <w:tc>
          <w:tcPr>
            <w:tcW w:w="1440" w:type="dxa"/>
            <w:shd w:val="clear" w:color="auto" w:fill="auto"/>
            <w:noWrap w:val="0"/>
            <w:vAlign w:val="center"/>
          </w:tcPr>
          <w:p w14:paraId="446A2CB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w:t>
            </w:r>
            <w:r>
              <w:rPr>
                <w:rFonts w:hint="eastAsia" w:ascii="Times New Roman" w:hAnsi="Times New Roman" w:eastAsia="宋体" w:cs="Times New Roman"/>
                <w:b w:val="0"/>
                <w:bCs/>
                <w:snapToGrid w:val="0"/>
                <w:color w:val="auto"/>
                <w:spacing w:val="4"/>
                <w:sz w:val="21"/>
                <w:szCs w:val="21"/>
                <w:u w:val="none" w:color="auto"/>
                <w:lang w:val="en-US" w:eastAsia="zh-CN"/>
              </w:rPr>
              <w:t>0.2</w:t>
            </w:r>
          </w:p>
        </w:tc>
      </w:tr>
      <w:tr w14:paraId="4FC9EE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5F67C6A7">
            <w:pPr>
              <w:keepNext w:val="0"/>
              <w:keepLines w:val="0"/>
              <w:pageBreakBefore w:val="0"/>
              <w:kinsoku/>
              <w:wordWrap/>
              <w:overflowPunct/>
              <w:topLinePunct w:val="0"/>
              <w:autoSpaceDE/>
              <w:autoSpaceDN/>
              <w:bidi w:val="0"/>
              <w:spacing w:line="300" w:lineRule="exact"/>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p>
        </w:tc>
        <w:tc>
          <w:tcPr>
            <w:tcW w:w="2220" w:type="dxa"/>
            <w:shd w:val="clear" w:color="auto" w:fill="auto"/>
            <w:noWrap w:val="0"/>
            <w:vAlign w:val="center"/>
          </w:tcPr>
          <w:p w14:paraId="3158309B">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废橡胶边角料</w:t>
            </w:r>
          </w:p>
        </w:tc>
        <w:tc>
          <w:tcPr>
            <w:tcW w:w="1545" w:type="dxa"/>
            <w:noWrap w:val="0"/>
            <w:vAlign w:val="center"/>
          </w:tcPr>
          <w:p w14:paraId="124F44C7">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4F6DB118">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noWrap w:val="0"/>
            <w:vAlign w:val="center"/>
          </w:tcPr>
          <w:p w14:paraId="2C395633">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380" w:type="dxa"/>
            <w:noWrap w:val="0"/>
            <w:vAlign w:val="center"/>
          </w:tcPr>
          <w:p w14:paraId="47D66B17">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0.01</w:t>
            </w:r>
          </w:p>
        </w:tc>
        <w:tc>
          <w:tcPr>
            <w:tcW w:w="1335" w:type="dxa"/>
            <w:noWrap w:val="0"/>
            <w:vAlign w:val="center"/>
          </w:tcPr>
          <w:p w14:paraId="329EDFEF">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noWrap w:val="0"/>
            <w:vAlign w:val="center"/>
          </w:tcPr>
          <w:p w14:paraId="67273609">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0.01</w:t>
            </w:r>
          </w:p>
        </w:tc>
        <w:tc>
          <w:tcPr>
            <w:tcW w:w="1440" w:type="dxa"/>
            <w:noWrap w:val="0"/>
            <w:vAlign w:val="center"/>
          </w:tcPr>
          <w:p w14:paraId="14FA2D8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snapToGrid w:val="0"/>
                <w:color w:val="auto"/>
                <w:kern w:val="21"/>
                <w:sz w:val="21"/>
                <w:szCs w:val="21"/>
                <w:highlight w:val="none"/>
                <w:u w:val="none"/>
                <w:lang w:val="en-US" w:eastAsia="zh-CN" w:bidi="ar-SA"/>
              </w:rPr>
              <w:t>+</w:t>
            </w:r>
            <w:r>
              <w:rPr>
                <w:rFonts w:hint="eastAsia" w:ascii="Times New Roman" w:hAnsi="Times New Roman" w:eastAsia="宋体" w:cs="Times New Roman"/>
                <w:b w:val="0"/>
                <w:bCs/>
                <w:snapToGrid w:val="0"/>
                <w:color w:val="auto"/>
                <w:spacing w:val="4"/>
                <w:sz w:val="21"/>
                <w:szCs w:val="21"/>
                <w:u w:val="none" w:color="auto"/>
                <w:lang w:val="en-US" w:eastAsia="zh-CN"/>
              </w:rPr>
              <w:t>0.01</w:t>
            </w:r>
          </w:p>
        </w:tc>
      </w:tr>
      <w:tr w14:paraId="4CC04C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noWrap w:val="0"/>
            <w:vAlign w:val="center"/>
          </w:tcPr>
          <w:p w14:paraId="5A1A2753">
            <w:pPr>
              <w:keepNext w:val="0"/>
              <w:keepLines w:val="0"/>
              <w:pageBreakBefore w:val="0"/>
              <w:kinsoku/>
              <w:wordWrap/>
              <w:overflowPunct/>
              <w:topLinePunct w:val="0"/>
              <w:autoSpaceDE/>
              <w:autoSpaceDN/>
              <w:bidi w:val="0"/>
              <w:spacing w:line="300" w:lineRule="exact"/>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p>
        </w:tc>
        <w:tc>
          <w:tcPr>
            <w:tcW w:w="2220" w:type="dxa"/>
            <w:shd w:val="clear" w:color="auto" w:fill="auto"/>
            <w:noWrap w:val="0"/>
            <w:vAlign w:val="center"/>
          </w:tcPr>
          <w:p w14:paraId="14547B8A">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风扇、风罩不合格产品</w:t>
            </w:r>
          </w:p>
        </w:tc>
        <w:tc>
          <w:tcPr>
            <w:tcW w:w="1545" w:type="dxa"/>
            <w:noWrap w:val="0"/>
            <w:vAlign w:val="center"/>
          </w:tcPr>
          <w:p w14:paraId="6A8A192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1789696F">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noWrap w:val="0"/>
            <w:vAlign w:val="center"/>
          </w:tcPr>
          <w:p w14:paraId="77309BF2">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noWrap w:val="0"/>
            <w:vAlign w:val="center"/>
          </w:tcPr>
          <w:p w14:paraId="21BF38D0">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0.05</w:t>
            </w:r>
          </w:p>
        </w:tc>
        <w:tc>
          <w:tcPr>
            <w:tcW w:w="1335" w:type="dxa"/>
            <w:noWrap w:val="0"/>
            <w:vAlign w:val="center"/>
          </w:tcPr>
          <w:p w14:paraId="6BCCD19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noWrap w:val="0"/>
            <w:vAlign w:val="center"/>
          </w:tcPr>
          <w:p w14:paraId="0E3D2BAF">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0.05</w:t>
            </w:r>
          </w:p>
        </w:tc>
        <w:tc>
          <w:tcPr>
            <w:tcW w:w="1440" w:type="dxa"/>
            <w:noWrap w:val="0"/>
            <w:vAlign w:val="center"/>
          </w:tcPr>
          <w:p w14:paraId="00409A65">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b w:val="0"/>
                <w:bCs/>
                <w:snapToGrid w:val="0"/>
                <w:color w:val="auto"/>
                <w:spacing w:val="4"/>
                <w:sz w:val="21"/>
                <w:szCs w:val="21"/>
                <w:u w:val="none" w:color="auto"/>
                <w:lang w:val="en-US" w:eastAsia="zh-CN"/>
              </w:rPr>
              <w:t>+0.05</w:t>
            </w:r>
          </w:p>
        </w:tc>
      </w:tr>
      <w:tr w14:paraId="655B9F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noWrap w:val="0"/>
            <w:vAlign w:val="center"/>
          </w:tcPr>
          <w:p w14:paraId="3A631388">
            <w:pPr>
              <w:keepNext w:val="0"/>
              <w:keepLines w:val="0"/>
              <w:pageBreakBefore w:val="0"/>
              <w:kinsoku/>
              <w:wordWrap/>
              <w:overflowPunct/>
              <w:topLinePunct w:val="0"/>
              <w:autoSpaceDE/>
              <w:autoSpaceDN/>
              <w:bidi w:val="0"/>
              <w:spacing w:line="300" w:lineRule="exact"/>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p>
        </w:tc>
        <w:tc>
          <w:tcPr>
            <w:tcW w:w="2220" w:type="dxa"/>
            <w:shd w:val="clear" w:color="auto" w:fill="auto"/>
            <w:noWrap w:val="0"/>
            <w:vAlign w:val="center"/>
          </w:tcPr>
          <w:p w14:paraId="79065A16">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高铁连接板不合格产品</w:t>
            </w:r>
          </w:p>
        </w:tc>
        <w:tc>
          <w:tcPr>
            <w:tcW w:w="1545" w:type="dxa"/>
            <w:noWrap w:val="0"/>
            <w:vAlign w:val="center"/>
          </w:tcPr>
          <w:p w14:paraId="26560DCC">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7520AD8C">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eastAsia" w:ascii="Times New Roman" w:hAnsi="Times New Roman" w:eastAsia="宋体" w:cs="Times New Roman"/>
                <w:b w:val="0"/>
                <w:bCs/>
                <w:snapToGrid w:val="0"/>
                <w:color w:val="auto"/>
                <w:spacing w:val="4"/>
                <w:sz w:val="21"/>
                <w:szCs w:val="21"/>
                <w:u w:val="none" w:color="auto"/>
                <w:lang w:val="en-US" w:eastAsia="zh-CN"/>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noWrap w:val="0"/>
            <w:vAlign w:val="center"/>
          </w:tcPr>
          <w:p w14:paraId="33F04954">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noWrap w:val="0"/>
            <w:vAlign w:val="center"/>
          </w:tcPr>
          <w:p w14:paraId="32362EF9">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0.1</w:t>
            </w:r>
          </w:p>
        </w:tc>
        <w:tc>
          <w:tcPr>
            <w:tcW w:w="1335" w:type="dxa"/>
            <w:noWrap w:val="0"/>
            <w:vAlign w:val="center"/>
          </w:tcPr>
          <w:p w14:paraId="25165671">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noWrap w:val="0"/>
            <w:vAlign w:val="center"/>
          </w:tcPr>
          <w:p w14:paraId="471FB288">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0.1</w:t>
            </w:r>
          </w:p>
        </w:tc>
        <w:tc>
          <w:tcPr>
            <w:tcW w:w="1440" w:type="dxa"/>
            <w:noWrap w:val="0"/>
            <w:vAlign w:val="center"/>
          </w:tcPr>
          <w:p w14:paraId="44B97602">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b w:val="0"/>
                <w:bCs/>
                <w:snapToGrid w:val="0"/>
                <w:color w:val="auto"/>
                <w:spacing w:val="4"/>
                <w:sz w:val="21"/>
                <w:szCs w:val="21"/>
                <w:u w:val="none" w:color="auto"/>
                <w:lang w:val="en-US" w:eastAsia="zh-CN"/>
              </w:rPr>
              <w:t>+0.1</w:t>
            </w:r>
          </w:p>
        </w:tc>
      </w:tr>
      <w:tr w14:paraId="4E1350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restart"/>
            <w:noWrap w:val="0"/>
            <w:vAlign w:val="center"/>
          </w:tcPr>
          <w:p w14:paraId="4B639F0F">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危险废物</w:t>
            </w:r>
          </w:p>
        </w:tc>
        <w:tc>
          <w:tcPr>
            <w:tcW w:w="2220" w:type="dxa"/>
            <w:shd w:val="clear" w:color="auto" w:fill="auto"/>
            <w:noWrap w:val="0"/>
            <w:vAlign w:val="center"/>
          </w:tcPr>
          <w:p w14:paraId="58935D2E">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废清洗抹布、废清洗剂桶</w:t>
            </w:r>
          </w:p>
        </w:tc>
        <w:tc>
          <w:tcPr>
            <w:tcW w:w="1545" w:type="dxa"/>
            <w:shd w:val="clear" w:color="auto" w:fill="auto"/>
            <w:noWrap w:val="0"/>
            <w:vAlign w:val="center"/>
          </w:tcPr>
          <w:p w14:paraId="00AFFAEE">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6C601E3D">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410" w:type="dxa"/>
            <w:shd w:val="clear" w:color="auto" w:fill="auto"/>
            <w:noWrap w:val="0"/>
            <w:vAlign w:val="center"/>
          </w:tcPr>
          <w:p w14:paraId="2871A5EB">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453963ED">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0.005</w:t>
            </w:r>
          </w:p>
        </w:tc>
        <w:tc>
          <w:tcPr>
            <w:tcW w:w="1335" w:type="dxa"/>
            <w:shd w:val="clear" w:color="auto" w:fill="auto"/>
            <w:noWrap w:val="0"/>
            <w:vAlign w:val="center"/>
          </w:tcPr>
          <w:p w14:paraId="389CB50B">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shd w:val="clear" w:color="auto" w:fill="auto"/>
            <w:noWrap w:val="0"/>
            <w:vAlign w:val="center"/>
          </w:tcPr>
          <w:p w14:paraId="6AB429CB">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0.005</w:t>
            </w:r>
          </w:p>
        </w:tc>
        <w:tc>
          <w:tcPr>
            <w:tcW w:w="1440" w:type="dxa"/>
            <w:shd w:val="clear" w:color="auto" w:fill="auto"/>
            <w:noWrap w:val="0"/>
            <w:vAlign w:val="center"/>
          </w:tcPr>
          <w:p w14:paraId="7DEA83F9">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color w:val="auto"/>
                <w:kern w:val="2"/>
                <w:sz w:val="21"/>
                <w:szCs w:val="24"/>
                <w:highlight w:val="none"/>
                <w:lang w:val="en-US" w:eastAsia="zh-CN" w:bidi="ar-SA"/>
              </w:rPr>
            </w:pPr>
            <w:r>
              <w:rPr>
                <w:rFonts w:hint="eastAsia" w:cs="Times New Roman"/>
                <w:b w:val="0"/>
                <w:bCs/>
                <w:snapToGrid w:val="0"/>
                <w:color w:val="auto"/>
                <w:spacing w:val="4"/>
                <w:sz w:val="21"/>
                <w:szCs w:val="21"/>
                <w:u w:val="none" w:color="auto"/>
                <w:lang w:val="en-US" w:eastAsia="zh-CN"/>
              </w:rPr>
              <w:t>+</w:t>
            </w:r>
            <w:r>
              <w:rPr>
                <w:rFonts w:hint="eastAsia" w:ascii="Times New Roman" w:hAnsi="Times New Roman" w:eastAsia="宋体" w:cs="Times New Roman"/>
                <w:b w:val="0"/>
                <w:bCs/>
                <w:snapToGrid w:val="0"/>
                <w:color w:val="auto"/>
                <w:spacing w:val="4"/>
                <w:sz w:val="21"/>
                <w:szCs w:val="21"/>
                <w:u w:val="none" w:color="auto"/>
                <w:lang w:val="en-US" w:eastAsia="zh-CN"/>
              </w:rPr>
              <w:t>0.005</w:t>
            </w:r>
          </w:p>
        </w:tc>
      </w:tr>
      <w:tr w14:paraId="4A1BF8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34CB05A9">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yellow"/>
                <w:u w:val="none"/>
                <w:lang w:val="en-US" w:eastAsia="zh-CN" w:bidi="ar-SA"/>
              </w:rPr>
            </w:pPr>
          </w:p>
        </w:tc>
        <w:tc>
          <w:tcPr>
            <w:tcW w:w="2220" w:type="dxa"/>
            <w:shd w:val="clear" w:color="auto" w:fill="auto"/>
            <w:noWrap w:val="0"/>
            <w:vAlign w:val="center"/>
          </w:tcPr>
          <w:p w14:paraId="3AE8D870">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废油漆桶、稀释剂桶、废固化剂桶</w:t>
            </w:r>
          </w:p>
        </w:tc>
        <w:tc>
          <w:tcPr>
            <w:tcW w:w="1545" w:type="dxa"/>
            <w:shd w:val="clear" w:color="auto" w:fill="auto"/>
            <w:noWrap w:val="0"/>
            <w:vAlign w:val="center"/>
          </w:tcPr>
          <w:p w14:paraId="2C15D892">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39BE8B6F">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410" w:type="dxa"/>
            <w:shd w:val="clear" w:color="auto" w:fill="auto"/>
            <w:noWrap w:val="0"/>
            <w:vAlign w:val="center"/>
          </w:tcPr>
          <w:p w14:paraId="0B847CC9">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4BB77947">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0.5</w:t>
            </w:r>
          </w:p>
        </w:tc>
        <w:tc>
          <w:tcPr>
            <w:tcW w:w="1335" w:type="dxa"/>
            <w:shd w:val="clear" w:color="auto" w:fill="auto"/>
            <w:noWrap w:val="0"/>
            <w:vAlign w:val="center"/>
          </w:tcPr>
          <w:p w14:paraId="22FC8A81">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shd w:val="clear" w:color="auto" w:fill="auto"/>
            <w:noWrap w:val="0"/>
            <w:vAlign w:val="center"/>
          </w:tcPr>
          <w:p w14:paraId="582DE465">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0.5</w:t>
            </w:r>
          </w:p>
        </w:tc>
        <w:tc>
          <w:tcPr>
            <w:tcW w:w="1440" w:type="dxa"/>
            <w:shd w:val="clear" w:color="auto" w:fill="auto"/>
            <w:noWrap w:val="0"/>
            <w:vAlign w:val="center"/>
          </w:tcPr>
          <w:p w14:paraId="23C7C66F">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color w:val="auto"/>
                <w:kern w:val="2"/>
                <w:sz w:val="21"/>
                <w:szCs w:val="24"/>
                <w:highlight w:val="none"/>
                <w:lang w:val="en-US" w:eastAsia="zh-CN" w:bidi="ar-SA"/>
              </w:rPr>
            </w:pPr>
            <w:r>
              <w:rPr>
                <w:rFonts w:hint="eastAsia" w:cs="Times New Roman"/>
                <w:b w:val="0"/>
                <w:bCs/>
                <w:snapToGrid w:val="0"/>
                <w:color w:val="auto"/>
                <w:spacing w:val="4"/>
                <w:sz w:val="21"/>
                <w:szCs w:val="21"/>
                <w:u w:val="none" w:color="auto"/>
                <w:lang w:val="en-US" w:eastAsia="zh-CN"/>
              </w:rPr>
              <w:t>+</w:t>
            </w:r>
            <w:r>
              <w:rPr>
                <w:rFonts w:hint="eastAsia" w:ascii="Times New Roman" w:hAnsi="Times New Roman" w:eastAsia="宋体" w:cs="Times New Roman"/>
                <w:b w:val="0"/>
                <w:bCs/>
                <w:snapToGrid w:val="0"/>
                <w:color w:val="auto"/>
                <w:spacing w:val="4"/>
                <w:sz w:val="21"/>
                <w:szCs w:val="21"/>
                <w:u w:val="none" w:color="auto"/>
                <w:lang w:val="en-US" w:eastAsia="zh-CN"/>
              </w:rPr>
              <w:t>0.5</w:t>
            </w:r>
          </w:p>
        </w:tc>
      </w:tr>
      <w:tr w14:paraId="0FC054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34FEDAF8">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yellow"/>
                <w:u w:val="none"/>
                <w:lang w:val="en-US" w:eastAsia="zh-CN" w:bidi="ar-SA"/>
              </w:rPr>
            </w:pPr>
          </w:p>
        </w:tc>
        <w:tc>
          <w:tcPr>
            <w:tcW w:w="2220" w:type="dxa"/>
            <w:shd w:val="clear" w:color="auto" w:fill="auto"/>
            <w:noWrap w:val="0"/>
            <w:vAlign w:val="center"/>
          </w:tcPr>
          <w:p w14:paraId="69B612B7">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废漆渣</w:t>
            </w:r>
          </w:p>
        </w:tc>
        <w:tc>
          <w:tcPr>
            <w:tcW w:w="1545" w:type="dxa"/>
            <w:shd w:val="clear" w:color="auto" w:fill="auto"/>
            <w:noWrap w:val="0"/>
            <w:vAlign w:val="center"/>
          </w:tcPr>
          <w:p w14:paraId="4D043364">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1AAB047F">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shd w:val="clear" w:color="auto" w:fill="auto"/>
            <w:noWrap w:val="0"/>
            <w:vAlign w:val="center"/>
          </w:tcPr>
          <w:p w14:paraId="1432DB58">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1B466FB6">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b w:val="0"/>
                <w:bCs/>
                <w:snapToGrid w:val="0"/>
                <w:color w:val="auto"/>
                <w:spacing w:val="4"/>
                <w:sz w:val="21"/>
                <w:szCs w:val="21"/>
                <w:u w:val="none" w:color="auto"/>
                <w:lang w:val="en-US" w:eastAsia="zh-CN"/>
              </w:rPr>
              <w:t>0.665</w:t>
            </w:r>
          </w:p>
        </w:tc>
        <w:tc>
          <w:tcPr>
            <w:tcW w:w="1335" w:type="dxa"/>
            <w:shd w:val="clear" w:color="auto" w:fill="auto"/>
            <w:noWrap w:val="0"/>
            <w:vAlign w:val="center"/>
          </w:tcPr>
          <w:p w14:paraId="7119F9B7">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shd w:val="clear" w:color="auto" w:fill="auto"/>
            <w:noWrap w:val="0"/>
            <w:vAlign w:val="center"/>
          </w:tcPr>
          <w:p w14:paraId="7A3634AB">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b w:val="0"/>
                <w:bCs/>
                <w:snapToGrid w:val="0"/>
                <w:color w:val="auto"/>
                <w:spacing w:val="4"/>
                <w:sz w:val="21"/>
                <w:szCs w:val="21"/>
                <w:u w:val="none" w:color="auto"/>
                <w:lang w:val="en-US" w:eastAsia="zh-CN"/>
              </w:rPr>
              <w:t>0.665</w:t>
            </w:r>
          </w:p>
        </w:tc>
        <w:tc>
          <w:tcPr>
            <w:tcW w:w="1440" w:type="dxa"/>
            <w:shd w:val="clear" w:color="auto" w:fill="auto"/>
            <w:noWrap w:val="0"/>
            <w:vAlign w:val="center"/>
          </w:tcPr>
          <w:p w14:paraId="4195EA29">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b w:val="0"/>
                <w:bCs/>
                <w:snapToGrid w:val="0"/>
                <w:color w:val="auto"/>
                <w:spacing w:val="4"/>
                <w:sz w:val="21"/>
                <w:szCs w:val="21"/>
                <w:u w:val="none" w:color="auto"/>
                <w:lang w:val="en-US" w:eastAsia="zh-CN"/>
              </w:rPr>
              <w:t>+0.665</w:t>
            </w:r>
          </w:p>
        </w:tc>
      </w:tr>
      <w:tr w14:paraId="56E93A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4CE7E715">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yellow"/>
                <w:u w:val="none"/>
                <w:lang w:val="en-US" w:eastAsia="zh-CN" w:bidi="ar-SA"/>
              </w:rPr>
            </w:pPr>
          </w:p>
        </w:tc>
        <w:tc>
          <w:tcPr>
            <w:tcW w:w="2220" w:type="dxa"/>
            <w:shd w:val="clear" w:color="auto" w:fill="auto"/>
            <w:noWrap w:val="0"/>
            <w:vAlign w:val="center"/>
          </w:tcPr>
          <w:p w14:paraId="51E9632B">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废水帘循环水</w:t>
            </w:r>
          </w:p>
        </w:tc>
        <w:tc>
          <w:tcPr>
            <w:tcW w:w="1545" w:type="dxa"/>
            <w:shd w:val="clear" w:color="auto" w:fill="auto"/>
            <w:noWrap w:val="0"/>
            <w:vAlign w:val="center"/>
          </w:tcPr>
          <w:p w14:paraId="36291A59">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22550652">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shd w:val="clear" w:color="auto" w:fill="auto"/>
            <w:noWrap w:val="0"/>
            <w:vAlign w:val="center"/>
          </w:tcPr>
          <w:p w14:paraId="376590D4">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6E47DF41">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b w:val="0"/>
                <w:bCs/>
                <w:snapToGrid w:val="0"/>
                <w:color w:val="auto"/>
                <w:spacing w:val="4"/>
                <w:sz w:val="21"/>
                <w:szCs w:val="21"/>
                <w:u w:val="none" w:color="auto"/>
                <w:lang w:val="en-US" w:eastAsia="zh-CN"/>
              </w:rPr>
              <w:t>21.7</w:t>
            </w:r>
          </w:p>
        </w:tc>
        <w:tc>
          <w:tcPr>
            <w:tcW w:w="1335" w:type="dxa"/>
            <w:shd w:val="clear" w:color="auto" w:fill="auto"/>
            <w:noWrap w:val="0"/>
            <w:vAlign w:val="center"/>
          </w:tcPr>
          <w:p w14:paraId="5A414B18">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shd w:val="clear" w:color="auto" w:fill="auto"/>
            <w:noWrap w:val="0"/>
            <w:vAlign w:val="center"/>
          </w:tcPr>
          <w:p w14:paraId="08AD8050">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b w:val="0"/>
                <w:bCs/>
                <w:snapToGrid w:val="0"/>
                <w:color w:val="auto"/>
                <w:spacing w:val="4"/>
                <w:sz w:val="21"/>
                <w:szCs w:val="21"/>
                <w:u w:val="none" w:color="auto"/>
                <w:lang w:val="en-US" w:eastAsia="zh-CN"/>
              </w:rPr>
              <w:t>21.7</w:t>
            </w:r>
          </w:p>
        </w:tc>
        <w:tc>
          <w:tcPr>
            <w:tcW w:w="1440" w:type="dxa"/>
            <w:shd w:val="clear" w:color="auto" w:fill="auto"/>
            <w:noWrap w:val="0"/>
            <w:vAlign w:val="center"/>
          </w:tcPr>
          <w:p w14:paraId="3CF2600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b w:val="0"/>
                <w:bCs/>
                <w:snapToGrid w:val="0"/>
                <w:color w:val="auto"/>
                <w:spacing w:val="4"/>
                <w:sz w:val="21"/>
                <w:szCs w:val="21"/>
                <w:u w:val="none" w:color="auto"/>
                <w:lang w:val="en-US" w:eastAsia="zh-CN"/>
              </w:rPr>
              <w:t>+21.7</w:t>
            </w:r>
          </w:p>
        </w:tc>
      </w:tr>
      <w:tr w14:paraId="18F185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59A3FAC6">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yellow"/>
                <w:u w:val="none"/>
                <w:lang w:val="en-US" w:eastAsia="zh-CN" w:bidi="ar-SA"/>
              </w:rPr>
            </w:pPr>
          </w:p>
        </w:tc>
        <w:tc>
          <w:tcPr>
            <w:tcW w:w="2220" w:type="dxa"/>
            <w:shd w:val="clear" w:color="auto" w:fill="auto"/>
            <w:noWrap w:val="0"/>
            <w:vAlign w:val="center"/>
          </w:tcPr>
          <w:p w14:paraId="3B7E898D">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废活性炭</w:t>
            </w:r>
          </w:p>
        </w:tc>
        <w:tc>
          <w:tcPr>
            <w:tcW w:w="1545" w:type="dxa"/>
            <w:shd w:val="clear" w:color="auto" w:fill="auto"/>
            <w:noWrap w:val="0"/>
            <w:vAlign w:val="center"/>
          </w:tcPr>
          <w:p w14:paraId="67949913">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1C378C5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shd w:val="clear" w:color="auto" w:fill="auto"/>
            <w:noWrap w:val="0"/>
            <w:vAlign w:val="center"/>
          </w:tcPr>
          <w:p w14:paraId="13A2F98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6B536C2C">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b w:val="0"/>
                <w:bCs/>
                <w:snapToGrid w:val="0"/>
                <w:color w:val="auto"/>
                <w:spacing w:val="4"/>
                <w:sz w:val="21"/>
                <w:szCs w:val="21"/>
                <w:u w:val="none" w:color="auto"/>
                <w:lang w:val="en-US" w:eastAsia="zh-CN"/>
              </w:rPr>
              <w:t>12.337</w:t>
            </w:r>
          </w:p>
        </w:tc>
        <w:tc>
          <w:tcPr>
            <w:tcW w:w="1335" w:type="dxa"/>
            <w:shd w:val="clear" w:color="auto" w:fill="auto"/>
            <w:noWrap w:val="0"/>
            <w:vAlign w:val="center"/>
          </w:tcPr>
          <w:p w14:paraId="571102D1">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shd w:val="clear" w:color="auto" w:fill="auto"/>
            <w:noWrap w:val="0"/>
            <w:vAlign w:val="center"/>
          </w:tcPr>
          <w:p w14:paraId="65721B2B">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b w:val="0"/>
                <w:bCs/>
                <w:snapToGrid w:val="0"/>
                <w:color w:val="auto"/>
                <w:spacing w:val="4"/>
                <w:sz w:val="21"/>
                <w:szCs w:val="21"/>
                <w:u w:val="none" w:color="auto"/>
                <w:lang w:val="en-US" w:eastAsia="zh-CN"/>
              </w:rPr>
              <w:t>12.337</w:t>
            </w:r>
          </w:p>
        </w:tc>
        <w:tc>
          <w:tcPr>
            <w:tcW w:w="1440" w:type="dxa"/>
            <w:shd w:val="clear" w:color="auto" w:fill="auto"/>
            <w:noWrap w:val="0"/>
            <w:vAlign w:val="center"/>
          </w:tcPr>
          <w:p w14:paraId="3D1C84C5">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b w:val="0"/>
                <w:bCs/>
                <w:snapToGrid w:val="0"/>
                <w:color w:val="auto"/>
                <w:spacing w:val="4"/>
                <w:sz w:val="21"/>
                <w:szCs w:val="21"/>
                <w:u w:val="none" w:color="auto"/>
                <w:lang w:val="en-US" w:eastAsia="zh-CN"/>
              </w:rPr>
              <w:t>+12.337</w:t>
            </w:r>
          </w:p>
        </w:tc>
      </w:tr>
      <w:tr w14:paraId="448E38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46861BB7">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yellow"/>
                <w:u w:val="none"/>
                <w:lang w:val="en-US" w:eastAsia="zh-CN" w:bidi="ar-SA"/>
              </w:rPr>
            </w:pPr>
          </w:p>
        </w:tc>
        <w:tc>
          <w:tcPr>
            <w:tcW w:w="2220" w:type="dxa"/>
            <w:shd w:val="clear" w:color="auto" w:fill="auto"/>
            <w:noWrap w:val="0"/>
            <w:vAlign w:val="center"/>
          </w:tcPr>
          <w:p w14:paraId="2AF9EC9A">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废催化剂</w:t>
            </w:r>
          </w:p>
        </w:tc>
        <w:tc>
          <w:tcPr>
            <w:tcW w:w="1545" w:type="dxa"/>
            <w:shd w:val="clear" w:color="auto" w:fill="auto"/>
            <w:noWrap w:val="0"/>
            <w:vAlign w:val="center"/>
          </w:tcPr>
          <w:p w14:paraId="31B4908D">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0EDDFC7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410" w:type="dxa"/>
            <w:shd w:val="clear" w:color="auto" w:fill="auto"/>
            <w:noWrap w:val="0"/>
            <w:vAlign w:val="center"/>
          </w:tcPr>
          <w:p w14:paraId="331F9B9C">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6399782D">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0.1</w:t>
            </w:r>
          </w:p>
        </w:tc>
        <w:tc>
          <w:tcPr>
            <w:tcW w:w="1335" w:type="dxa"/>
            <w:shd w:val="clear" w:color="auto" w:fill="auto"/>
            <w:noWrap w:val="0"/>
            <w:vAlign w:val="center"/>
          </w:tcPr>
          <w:p w14:paraId="24D11687">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shd w:val="clear" w:color="auto" w:fill="auto"/>
            <w:noWrap w:val="0"/>
            <w:vAlign w:val="center"/>
          </w:tcPr>
          <w:p w14:paraId="18FEB336">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0.1</w:t>
            </w:r>
          </w:p>
        </w:tc>
        <w:tc>
          <w:tcPr>
            <w:tcW w:w="1440" w:type="dxa"/>
            <w:shd w:val="clear" w:color="auto" w:fill="auto"/>
            <w:noWrap w:val="0"/>
            <w:vAlign w:val="center"/>
          </w:tcPr>
          <w:p w14:paraId="38A5FAFA">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b w:val="0"/>
                <w:bCs/>
                <w:snapToGrid w:val="0"/>
                <w:color w:val="auto"/>
                <w:spacing w:val="4"/>
                <w:sz w:val="21"/>
                <w:szCs w:val="21"/>
                <w:u w:val="none" w:color="auto"/>
                <w:lang w:val="en-US" w:eastAsia="zh-CN"/>
              </w:rPr>
              <w:t>+</w:t>
            </w:r>
            <w:r>
              <w:rPr>
                <w:rFonts w:hint="eastAsia" w:ascii="Times New Roman" w:hAnsi="Times New Roman" w:eastAsia="宋体" w:cs="Times New Roman"/>
                <w:b w:val="0"/>
                <w:bCs/>
                <w:snapToGrid w:val="0"/>
                <w:color w:val="auto"/>
                <w:spacing w:val="4"/>
                <w:sz w:val="21"/>
                <w:szCs w:val="21"/>
                <w:u w:val="none" w:color="auto"/>
                <w:lang w:val="en-US" w:eastAsia="zh-CN"/>
              </w:rPr>
              <w:t>0.1</w:t>
            </w:r>
          </w:p>
        </w:tc>
      </w:tr>
      <w:tr w14:paraId="7072B5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vMerge w:val="continue"/>
            <w:noWrap w:val="0"/>
            <w:vAlign w:val="center"/>
          </w:tcPr>
          <w:p w14:paraId="07E26661">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yellow"/>
                <w:u w:val="none"/>
                <w:lang w:val="en-US" w:eastAsia="zh-CN" w:bidi="ar-SA"/>
              </w:rPr>
            </w:pPr>
          </w:p>
        </w:tc>
        <w:tc>
          <w:tcPr>
            <w:tcW w:w="2220" w:type="dxa"/>
            <w:shd w:val="clear" w:color="auto" w:fill="auto"/>
            <w:noWrap w:val="0"/>
            <w:vAlign w:val="center"/>
          </w:tcPr>
          <w:p w14:paraId="0EF7FDAC">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kern w:val="2"/>
                <w:sz w:val="21"/>
                <w:szCs w:val="21"/>
                <w:u w:val="none" w:color="auto"/>
                <w:lang w:val="en-US" w:eastAsia="zh-CN" w:bidi="ar-SA"/>
              </w:rPr>
              <w:t>废过滤棉</w:t>
            </w:r>
          </w:p>
        </w:tc>
        <w:tc>
          <w:tcPr>
            <w:tcW w:w="1545" w:type="dxa"/>
            <w:shd w:val="clear" w:color="auto" w:fill="auto"/>
            <w:noWrap w:val="0"/>
            <w:vAlign w:val="center"/>
          </w:tcPr>
          <w:p w14:paraId="5715325D">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02529B43">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410" w:type="dxa"/>
            <w:shd w:val="clear" w:color="auto" w:fill="auto"/>
            <w:noWrap w:val="0"/>
            <w:vAlign w:val="center"/>
          </w:tcPr>
          <w:p w14:paraId="34B4E7A9">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60F8CB48">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b w:val="0"/>
                <w:bCs/>
                <w:snapToGrid w:val="0"/>
                <w:color w:val="auto"/>
                <w:spacing w:val="4"/>
                <w:sz w:val="21"/>
                <w:szCs w:val="21"/>
                <w:u w:val="none" w:color="auto"/>
                <w:lang w:val="en-US" w:eastAsia="zh-CN"/>
              </w:rPr>
              <w:t>1</w:t>
            </w:r>
          </w:p>
        </w:tc>
        <w:tc>
          <w:tcPr>
            <w:tcW w:w="1335" w:type="dxa"/>
            <w:shd w:val="clear" w:color="auto" w:fill="auto"/>
            <w:noWrap w:val="0"/>
            <w:vAlign w:val="center"/>
          </w:tcPr>
          <w:p w14:paraId="22367393">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shd w:val="clear" w:color="auto" w:fill="auto"/>
            <w:noWrap w:val="0"/>
            <w:vAlign w:val="center"/>
          </w:tcPr>
          <w:p w14:paraId="16D60399">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b w:val="0"/>
                <w:bCs/>
                <w:snapToGrid w:val="0"/>
                <w:color w:val="auto"/>
                <w:spacing w:val="4"/>
                <w:sz w:val="21"/>
                <w:szCs w:val="21"/>
                <w:u w:val="none" w:color="auto"/>
                <w:lang w:val="en-US" w:eastAsia="zh-CN"/>
              </w:rPr>
              <w:t>1</w:t>
            </w:r>
          </w:p>
        </w:tc>
        <w:tc>
          <w:tcPr>
            <w:tcW w:w="1440" w:type="dxa"/>
            <w:shd w:val="clear" w:color="auto" w:fill="auto"/>
            <w:noWrap w:val="0"/>
            <w:vAlign w:val="center"/>
          </w:tcPr>
          <w:p w14:paraId="7B7503A0">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b w:val="0"/>
                <w:bCs/>
                <w:snapToGrid w:val="0"/>
                <w:color w:val="auto"/>
                <w:spacing w:val="4"/>
                <w:sz w:val="21"/>
                <w:szCs w:val="21"/>
                <w:u w:val="none" w:color="auto"/>
                <w:lang w:val="en-US" w:eastAsia="zh-CN"/>
              </w:rPr>
              <w:t>+1</w:t>
            </w:r>
          </w:p>
        </w:tc>
      </w:tr>
      <w:tr w14:paraId="151CA2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noWrap w:val="0"/>
            <w:vAlign w:val="center"/>
          </w:tcPr>
          <w:p w14:paraId="20AEA27B">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yellow"/>
                <w:u w:val="none"/>
                <w:lang w:val="en-US" w:eastAsia="zh-CN" w:bidi="ar-SA"/>
              </w:rPr>
            </w:pPr>
          </w:p>
        </w:tc>
        <w:tc>
          <w:tcPr>
            <w:tcW w:w="2220" w:type="dxa"/>
            <w:shd w:val="clear" w:color="auto" w:fill="auto"/>
            <w:noWrap w:val="0"/>
            <w:vAlign w:val="center"/>
          </w:tcPr>
          <w:p w14:paraId="76B79ECF">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废机油、废油桶</w:t>
            </w:r>
          </w:p>
        </w:tc>
        <w:tc>
          <w:tcPr>
            <w:tcW w:w="1545" w:type="dxa"/>
            <w:shd w:val="clear" w:color="auto" w:fill="auto"/>
            <w:noWrap w:val="0"/>
            <w:vAlign w:val="center"/>
          </w:tcPr>
          <w:p w14:paraId="7EAF0277">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1DD6CA67">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shd w:val="clear" w:color="auto" w:fill="auto"/>
            <w:noWrap w:val="0"/>
            <w:vAlign w:val="center"/>
          </w:tcPr>
          <w:p w14:paraId="6F5E6C78">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eastAsia"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4BD9984E">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0.1</w:t>
            </w:r>
          </w:p>
        </w:tc>
        <w:tc>
          <w:tcPr>
            <w:tcW w:w="1335" w:type="dxa"/>
            <w:shd w:val="clear" w:color="auto" w:fill="auto"/>
            <w:noWrap w:val="0"/>
            <w:vAlign w:val="center"/>
          </w:tcPr>
          <w:p w14:paraId="00A0843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shd w:val="clear" w:color="auto" w:fill="auto"/>
            <w:noWrap w:val="0"/>
            <w:vAlign w:val="center"/>
          </w:tcPr>
          <w:p w14:paraId="222C50A9">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0.1</w:t>
            </w:r>
          </w:p>
        </w:tc>
        <w:tc>
          <w:tcPr>
            <w:tcW w:w="1440" w:type="dxa"/>
            <w:shd w:val="clear" w:color="auto" w:fill="auto"/>
            <w:noWrap w:val="0"/>
            <w:vAlign w:val="center"/>
          </w:tcPr>
          <w:p w14:paraId="4CA28834">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b w:val="0"/>
                <w:bCs/>
                <w:snapToGrid w:val="0"/>
                <w:color w:val="auto"/>
                <w:spacing w:val="4"/>
                <w:sz w:val="21"/>
                <w:szCs w:val="21"/>
                <w:u w:val="none" w:color="auto"/>
                <w:lang w:val="en-US" w:eastAsia="zh-CN"/>
              </w:rPr>
              <w:t>+</w:t>
            </w:r>
            <w:r>
              <w:rPr>
                <w:rFonts w:hint="eastAsia" w:ascii="Times New Roman" w:hAnsi="Times New Roman" w:eastAsia="宋体" w:cs="Times New Roman"/>
                <w:b w:val="0"/>
                <w:bCs/>
                <w:snapToGrid w:val="0"/>
                <w:color w:val="auto"/>
                <w:spacing w:val="4"/>
                <w:sz w:val="21"/>
                <w:szCs w:val="21"/>
                <w:u w:val="none" w:color="auto"/>
                <w:lang w:val="en-US" w:eastAsia="zh-CN"/>
              </w:rPr>
              <w:t>0.1</w:t>
            </w:r>
          </w:p>
        </w:tc>
      </w:tr>
      <w:tr w14:paraId="3DE1E0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355" w:type="dxa"/>
            <w:noWrap w:val="0"/>
            <w:vAlign w:val="center"/>
          </w:tcPr>
          <w:p w14:paraId="6A2D7907">
            <w:pPr>
              <w:keepNext w:val="0"/>
              <w:keepLines w:val="0"/>
              <w:pageBreakBefore w:val="0"/>
              <w:widowControl w:val="0"/>
              <w:kinsoku/>
              <w:wordWrap/>
              <w:overflowPunct/>
              <w:topLinePunct w:val="0"/>
              <w:autoSpaceDE/>
              <w:autoSpaceDN/>
              <w:bidi w:val="0"/>
              <w:adjustRightInd w:val="0"/>
              <w:snapToGrid w:val="0"/>
              <w:spacing w:beforeLines="0" w:afterLines="0" w:line="300" w:lineRule="exact"/>
              <w:jc w:val="center"/>
              <w:textAlignment w:val="auto"/>
              <w:rPr>
                <w:rFonts w:hint="default" w:ascii="Times New Roman" w:hAnsi="Times New Roman" w:eastAsia="宋体" w:cs="Times New Roman"/>
                <w:snapToGrid w:val="0"/>
                <w:color w:val="auto"/>
                <w:kern w:val="21"/>
                <w:sz w:val="21"/>
                <w:szCs w:val="21"/>
                <w:highlight w:val="yellow"/>
                <w:u w:val="none"/>
                <w:lang w:val="en-US" w:eastAsia="zh-CN" w:bidi="ar-SA"/>
              </w:rPr>
            </w:pPr>
          </w:p>
        </w:tc>
        <w:tc>
          <w:tcPr>
            <w:tcW w:w="2220" w:type="dxa"/>
            <w:shd w:val="clear" w:color="auto" w:fill="auto"/>
            <w:noWrap w:val="0"/>
            <w:vAlign w:val="center"/>
          </w:tcPr>
          <w:p w14:paraId="0F3E3855">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kern w:val="2"/>
                <w:sz w:val="21"/>
                <w:szCs w:val="21"/>
                <w:u w:val="none" w:color="auto"/>
                <w:lang w:val="en-US" w:eastAsia="zh-CN" w:bidi="ar-SA"/>
              </w:rPr>
            </w:pPr>
            <w:r>
              <w:rPr>
                <w:rFonts w:hint="eastAsia" w:ascii="Times New Roman" w:hAnsi="Times New Roman" w:eastAsia="宋体" w:cs="Times New Roman"/>
                <w:b w:val="0"/>
                <w:bCs/>
                <w:snapToGrid w:val="0"/>
                <w:color w:val="auto"/>
                <w:spacing w:val="4"/>
                <w:sz w:val="21"/>
                <w:szCs w:val="21"/>
                <w:u w:val="none" w:color="auto"/>
                <w:lang w:val="en-US" w:eastAsia="zh-CN"/>
              </w:rPr>
              <w:t>废抹布、废手套</w:t>
            </w:r>
          </w:p>
        </w:tc>
        <w:tc>
          <w:tcPr>
            <w:tcW w:w="1545" w:type="dxa"/>
            <w:shd w:val="clear" w:color="auto" w:fill="auto"/>
            <w:noWrap w:val="0"/>
            <w:vAlign w:val="center"/>
          </w:tcPr>
          <w:p w14:paraId="5D8616E2">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shd w:val="clear" w:color="auto" w:fill="auto"/>
            <w:noWrap w:val="0"/>
            <w:vAlign w:val="center"/>
          </w:tcPr>
          <w:p w14:paraId="00293D8F">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shd w:val="clear" w:color="auto" w:fill="auto"/>
            <w:noWrap w:val="0"/>
            <w:vAlign w:val="center"/>
          </w:tcPr>
          <w:p w14:paraId="40A2131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380" w:type="dxa"/>
            <w:shd w:val="clear" w:color="auto" w:fill="auto"/>
            <w:noWrap w:val="0"/>
            <w:vAlign w:val="center"/>
          </w:tcPr>
          <w:p w14:paraId="57919D22">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0.05</w:t>
            </w:r>
          </w:p>
        </w:tc>
        <w:tc>
          <w:tcPr>
            <w:tcW w:w="1335" w:type="dxa"/>
            <w:shd w:val="clear" w:color="auto" w:fill="auto"/>
            <w:noWrap w:val="0"/>
            <w:vAlign w:val="center"/>
          </w:tcPr>
          <w:p w14:paraId="5016699E">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snapToGrid w:val="0"/>
                <w:color w:val="auto"/>
                <w:kern w:val="21"/>
                <w:sz w:val="21"/>
                <w:szCs w:val="21"/>
                <w:highlight w:val="none"/>
                <w:u w:val="none"/>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shd w:val="clear" w:color="auto" w:fill="auto"/>
            <w:noWrap w:val="0"/>
            <w:vAlign w:val="center"/>
          </w:tcPr>
          <w:p w14:paraId="5074960F">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b w:val="0"/>
                <w:bCs/>
                <w:snapToGrid w:val="0"/>
                <w:color w:val="auto"/>
                <w:spacing w:val="4"/>
                <w:sz w:val="21"/>
                <w:szCs w:val="21"/>
                <w:u w:val="none" w:color="auto"/>
                <w:lang w:val="en-US" w:eastAsia="zh-CN"/>
              </w:rPr>
            </w:pPr>
            <w:r>
              <w:rPr>
                <w:rFonts w:hint="eastAsia" w:cs="Times New Roman"/>
                <w:b w:val="0"/>
                <w:bCs/>
                <w:snapToGrid w:val="0"/>
                <w:color w:val="auto"/>
                <w:spacing w:val="4"/>
                <w:sz w:val="21"/>
                <w:szCs w:val="21"/>
                <w:u w:val="none" w:color="auto"/>
                <w:lang w:val="en-US" w:eastAsia="zh-CN"/>
              </w:rPr>
              <w:t>0.05</w:t>
            </w:r>
          </w:p>
        </w:tc>
        <w:tc>
          <w:tcPr>
            <w:tcW w:w="1440" w:type="dxa"/>
            <w:shd w:val="clear" w:color="auto" w:fill="auto"/>
            <w:noWrap w:val="0"/>
            <w:vAlign w:val="center"/>
          </w:tcPr>
          <w:p w14:paraId="50891905">
            <w:pPr>
              <w:keepNext w:val="0"/>
              <w:keepLines w:val="0"/>
              <w:suppressLineNumbers w:val="0"/>
              <w:wordWrap w:val="0"/>
              <w:topLinePunct/>
              <w:spacing w:before="0" w:beforeAutospacing="0" w:after="0" w:afterAutospacing="0" w:line="240" w:lineRule="auto"/>
              <w:ind w:left="0" w:leftChars="0" w:right="0" w:rightChars="0"/>
              <w:jc w:val="center"/>
              <w:rPr>
                <w:rFonts w:hint="eastAsia" w:ascii="Times New Roman" w:hAnsi="Times New Roman" w:eastAsia="宋体" w:cs="Times New Roman"/>
                <w:snapToGrid w:val="0"/>
                <w:color w:val="auto"/>
                <w:kern w:val="21"/>
                <w:sz w:val="21"/>
                <w:szCs w:val="21"/>
                <w:highlight w:val="none"/>
                <w:u w:val="none"/>
                <w:lang w:val="en-US" w:eastAsia="zh-CN" w:bidi="ar-SA"/>
              </w:rPr>
            </w:pPr>
            <w:r>
              <w:rPr>
                <w:rFonts w:hint="eastAsia" w:cs="Times New Roman"/>
                <w:b w:val="0"/>
                <w:bCs/>
                <w:snapToGrid w:val="0"/>
                <w:color w:val="auto"/>
                <w:spacing w:val="4"/>
                <w:sz w:val="21"/>
                <w:szCs w:val="21"/>
                <w:u w:val="none" w:color="auto"/>
                <w:lang w:val="en-US" w:eastAsia="zh-CN"/>
              </w:rPr>
              <w:t>+0.05</w:t>
            </w:r>
          </w:p>
        </w:tc>
      </w:tr>
      <w:tr w14:paraId="79A4C8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3575" w:type="dxa"/>
            <w:gridSpan w:val="2"/>
          </w:tcPr>
          <w:p w14:paraId="50C396F8">
            <w:pPr>
              <w:keepNext w:val="0"/>
              <w:keepLines w:val="0"/>
              <w:suppressLineNumbers w:val="0"/>
              <w:wordWrap w:val="0"/>
              <w:topLinePunct/>
              <w:spacing w:before="0" w:beforeAutospacing="0" w:after="0" w:afterAutospacing="0" w:line="240" w:lineRule="auto"/>
              <w:ind w:left="0" w:leftChars="0" w:right="0" w:rightChars="0"/>
              <w:jc w:val="center"/>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b w:val="0"/>
                <w:bCs/>
                <w:snapToGrid w:val="0"/>
                <w:color w:val="auto"/>
                <w:spacing w:val="4"/>
                <w:sz w:val="21"/>
                <w:szCs w:val="21"/>
                <w:u w:val="none" w:color="auto"/>
                <w:lang w:val="en-US" w:eastAsia="zh-CN"/>
              </w:rPr>
              <w:t>生活垃圾</w:t>
            </w:r>
          </w:p>
        </w:tc>
        <w:tc>
          <w:tcPr>
            <w:tcW w:w="1545" w:type="dxa"/>
            <w:shd w:val="clear" w:color="auto" w:fill="auto"/>
            <w:vAlign w:val="center"/>
          </w:tcPr>
          <w:p w14:paraId="7D567B94">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b w:val="0"/>
                <w:bCs/>
                <w:snapToGrid w:val="0"/>
                <w:color w:val="auto"/>
                <w:spacing w:val="4"/>
                <w:kern w:val="2"/>
                <w:sz w:val="21"/>
                <w:szCs w:val="21"/>
                <w:u w:val="none" w:color="auto"/>
                <w:lang w:val="en-US" w:eastAsia="zh-CN" w:bidi="ar-SA"/>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635" w:type="dxa"/>
            <w:vAlign w:val="center"/>
          </w:tcPr>
          <w:p w14:paraId="3DA96EBB">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410" w:type="dxa"/>
            <w:vAlign w:val="center"/>
          </w:tcPr>
          <w:p w14:paraId="7DB4888B">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0" w:type="auto"/>
          </w:tcPr>
          <w:p w14:paraId="244C8B1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2.25</w:t>
            </w:r>
          </w:p>
        </w:tc>
        <w:tc>
          <w:tcPr>
            <w:tcW w:w="1335" w:type="dxa"/>
            <w:vAlign w:val="center"/>
          </w:tcPr>
          <w:p w14:paraId="0F53364A">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napToGrid w:val="0"/>
                <w:color w:val="auto"/>
                <w:kern w:val="21"/>
                <w:sz w:val="21"/>
                <w:szCs w:val="21"/>
                <w:highlight w:val="none"/>
                <w:u w:val="none"/>
                <w:lang w:val="en-US" w:eastAsia="zh-CN" w:bidi="ar-SA"/>
              </w:rPr>
              <w:t>0</w:t>
            </w:r>
          </w:p>
        </w:tc>
        <w:tc>
          <w:tcPr>
            <w:tcW w:w="1581" w:type="dxa"/>
            <w:vAlign w:val="top"/>
          </w:tcPr>
          <w:p w14:paraId="56A85521">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b w:val="0"/>
                <w:bCs/>
                <w:snapToGrid w:val="0"/>
                <w:color w:val="auto"/>
                <w:spacing w:val="4"/>
                <w:sz w:val="21"/>
                <w:szCs w:val="21"/>
                <w:u w:val="none" w:color="auto"/>
                <w:lang w:val="en-US" w:eastAsia="zh-CN"/>
              </w:rPr>
              <w:t>2.25</w:t>
            </w:r>
          </w:p>
        </w:tc>
        <w:tc>
          <w:tcPr>
            <w:tcW w:w="1440" w:type="dxa"/>
            <w:vAlign w:val="top"/>
          </w:tcPr>
          <w:p w14:paraId="3B0F5190">
            <w:pPr>
              <w:keepNext w:val="0"/>
              <w:keepLines w:val="0"/>
              <w:pageBreakBefore w:val="0"/>
              <w:widowControl w:val="0"/>
              <w:kinsoku/>
              <w:wordWrap/>
              <w:overflowPunct/>
              <w:topLinePunct w:val="0"/>
              <w:autoSpaceDE/>
              <w:autoSpaceDN/>
              <w:bidi w:val="0"/>
              <w:adjustRightInd w:val="0"/>
              <w:snapToGrid w:val="0"/>
              <w:spacing w:beforeLines="0" w:afterLines="0" w:line="360" w:lineRule="exact"/>
              <w:jc w:val="center"/>
              <w:textAlignment w:val="auto"/>
              <w:rPr>
                <w:rFonts w:hint="default" w:ascii="Times New Roman" w:hAnsi="Times New Roman" w:eastAsia="宋体" w:cs="Times New Roman"/>
                <w:color w:val="auto"/>
                <w:highlight w:val="none"/>
                <w:lang w:val="en-US" w:eastAsia="zh-CN"/>
              </w:rPr>
            </w:pPr>
            <w:r>
              <w:rPr>
                <w:rFonts w:hint="eastAsia" w:cs="Times New Roman"/>
                <w:b w:val="0"/>
                <w:bCs/>
                <w:snapToGrid w:val="0"/>
                <w:color w:val="auto"/>
                <w:spacing w:val="4"/>
                <w:sz w:val="21"/>
                <w:szCs w:val="21"/>
                <w:u w:val="none" w:color="auto"/>
                <w:lang w:val="en-US" w:eastAsia="zh-CN"/>
              </w:rPr>
              <w:t>+</w:t>
            </w:r>
            <w:r>
              <w:rPr>
                <w:rFonts w:hint="eastAsia" w:ascii="Times New Roman" w:hAnsi="Times New Roman" w:eastAsia="宋体" w:cs="Times New Roman"/>
                <w:b w:val="0"/>
                <w:bCs/>
                <w:snapToGrid w:val="0"/>
                <w:color w:val="auto"/>
                <w:spacing w:val="4"/>
                <w:sz w:val="21"/>
                <w:szCs w:val="21"/>
                <w:u w:val="none" w:color="auto"/>
                <w:lang w:val="en-US" w:eastAsia="zh-CN"/>
              </w:rPr>
              <w:t>2.25</w:t>
            </w:r>
          </w:p>
        </w:tc>
      </w:tr>
    </w:tbl>
    <w:p w14:paraId="426B3495">
      <w:pPr>
        <w:spacing w:line="360" w:lineRule="auto"/>
      </w:pPr>
      <w:r>
        <w:rPr>
          <w:rFonts w:hint="default" w:ascii="Times New Roman" w:hAnsi="Times New Roman" w:eastAsia="宋体" w:cs="Times New Roman"/>
          <w:snapToGrid w:val="0"/>
          <w:color w:val="auto"/>
          <w:kern w:val="21"/>
          <w:szCs w:val="21"/>
          <w:highlight w:val="none"/>
        </w:rPr>
        <w:t>注：</w:t>
      </w:r>
      <w:r>
        <w:rPr>
          <w:rFonts w:hint="default" w:ascii="Times New Roman" w:hAnsi="Times New Roman" w:eastAsia="宋体" w:cs="Times New Roman"/>
          <w:snapToGrid w:val="0"/>
          <w:color w:val="auto"/>
          <w:spacing w:val="-16"/>
          <w:kern w:val="21"/>
          <w:szCs w:val="21"/>
          <w:highlight w:val="none"/>
        </w:rPr>
        <w:fldChar w:fldCharType="begin"/>
      </w:r>
      <w:r>
        <w:rPr>
          <w:rFonts w:hint="default" w:ascii="Times New Roman" w:hAnsi="Times New Roman" w:eastAsia="宋体" w:cs="Times New Roman"/>
          <w:snapToGrid w:val="0"/>
          <w:color w:val="auto"/>
          <w:spacing w:val="-16"/>
          <w:kern w:val="21"/>
          <w:szCs w:val="21"/>
          <w:highlight w:val="none"/>
        </w:rPr>
        <w:instrText xml:space="preserve"> = 6 \* GB3 \* MERGEFORMAT </w:instrText>
      </w:r>
      <w:r>
        <w:rPr>
          <w:rFonts w:hint="default" w:ascii="Times New Roman" w:hAnsi="Times New Roman" w:eastAsia="宋体" w:cs="Times New Roman"/>
          <w:snapToGrid w:val="0"/>
          <w:color w:val="auto"/>
          <w:spacing w:val="-16"/>
          <w:kern w:val="21"/>
          <w:szCs w:val="21"/>
          <w:highlight w:val="none"/>
        </w:rPr>
        <w:fldChar w:fldCharType="separate"/>
      </w:r>
      <w:r>
        <w:rPr>
          <w:rFonts w:hint="default" w:ascii="Times New Roman" w:hAnsi="Times New Roman" w:eastAsia="宋体" w:cs="Times New Roman"/>
          <w:color w:val="auto"/>
          <w:szCs w:val="21"/>
          <w:highlight w:val="none"/>
        </w:rPr>
        <w:t>⑥</w:t>
      </w:r>
      <w:r>
        <w:rPr>
          <w:rFonts w:hint="default" w:ascii="Times New Roman" w:hAnsi="Times New Roman" w:eastAsia="宋体" w:cs="Times New Roman"/>
          <w:snapToGrid w:val="0"/>
          <w:color w:val="auto"/>
          <w:spacing w:val="-16"/>
          <w:kern w:val="21"/>
          <w:szCs w:val="21"/>
          <w:highlight w:val="none"/>
        </w:rPr>
        <w:fldChar w:fldCharType="end"/>
      </w:r>
      <w:r>
        <w:rPr>
          <w:rFonts w:hint="default" w:ascii="Times New Roman" w:hAnsi="Times New Roman" w:eastAsia="宋体" w:cs="Times New Roman"/>
          <w:snapToGrid w:val="0"/>
          <w:color w:val="auto"/>
          <w:spacing w:val="-16"/>
          <w:kern w:val="21"/>
          <w:szCs w:val="21"/>
          <w:highlight w:val="none"/>
        </w:rPr>
        <w:t>=</w:t>
      </w:r>
      <w:r>
        <w:rPr>
          <w:rFonts w:hint="default" w:ascii="Times New Roman" w:hAnsi="Times New Roman" w:eastAsia="宋体" w:cs="Times New Roman"/>
          <w:snapToGrid w:val="0"/>
          <w:color w:val="auto"/>
          <w:spacing w:val="-6"/>
          <w:kern w:val="21"/>
          <w:szCs w:val="21"/>
          <w:highlight w:val="none"/>
        </w:rPr>
        <w:fldChar w:fldCharType="begin"/>
      </w:r>
      <w:r>
        <w:rPr>
          <w:rFonts w:hint="default" w:ascii="Times New Roman" w:hAnsi="Times New Roman" w:eastAsia="宋体" w:cs="Times New Roman"/>
          <w:snapToGrid w:val="0"/>
          <w:color w:val="auto"/>
          <w:spacing w:val="-6"/>
          <w:kern w:val="21"/>
          <w:szCs w:val="21"/>
          <w:highlight w:val="none"/>
        </w:rPr>
        <w:instrText xml:space="preserve"> = 1 \* GB3 \* MERGEFORMAT </w:instrText>
      </w:r>
      <w:r>
        <w:rPr>
          <w:rFonts w:hint="default" w:ascii="Times New Roman" w:hAnsi="Times New Roman" w:eastAsia="宋体" w:cs="Times New Roman"/>
          <w:snapToGrid w:val="0"/>
          <w:color w:val="auto"/>
          <w:spacing w:val="-6"/>
          <w:kern w:val="21"/>
          <w:szCs w:val="21"/>
          <w:highlight w:val="none"/>
        </w:rPr>
        <w:fldChar w:fldCharType="separate"/>
      </w:r>
      <w:r>
        <w:rPr>
          <w:rFonts w:hint="default" w:ascii="Times New Roman" w:hAnsi="Times New Roman" w:eastAsia="宋体" w:cs="Times New Roman"/>
          <w:color w:val="auto"/>
          <w:szCs w:val="21"/>
          <w:highlight w:val="none"/>
        </w:rPr>
        <w:t>①</w:t>
      </w:r>
      <w:r>
        <w:rPr>
          <w:rFonts w:hint="default" w:ascii="Times New Roman" w:hAnsi="Times New Roman" w:eastAsia="宋体" w:cs="Times New Roman"/>
          <w:snapToGrid w:val="0"/>
          <w:color w:val="auto"/>
          <w:spacing w:val="-6"/>
          <w:kern w:val="21"/>
          <w:szCs w:val="21"/>
          <w:highlight w:val="none"/>
        </w:rPr>
        <w:fldChar w:fldCharType="end"/>
      </w:r>
      <w:r>
        <w:rPr>
          <w:rFonts w:hint="default" w:ascii="Times New Roman" w:hAnsi="Times New Roman" w:eastAsia="宋体" w:cs="Times New Roman"/>
          <w:snapToGrid w:val="0"/>
          <w:color w:val="auto"/>
          <w:spacing w:val="-6"/>
          <w:kern w:val="21"/>
          <w:szCs w:val="21"/>
          <w:highlight w:val="none"/>
        </w:rPr>
        <w:t>+</w:t>
      </w:r>
      <w:r>
        <w:rPr>
          <w:rFonts w:hint="default" w:ascii="Times New Roman" w:hAnsi="Times New Roman" w:eastAsia="宋体" w:cs="Times New Roman"/>
          <w:snapToGrid w:val="0"/>
          <w:color w:val="auto"/>
          <w:spacing w:val="-6"/>
          <w:kern w:val="21"/>
          <w:szCs w:val="21"/>
          <w:highlight w:val="none"/>
        </w:rPr>
        <w:fldChar w:fldCharType="begin"/>
      </w:r>
      <w:r>
        <w:rPr>
          <w:rFonts w:hint="default" w:ascii="Times New Roman" w:hAnsi="Times New Roman" w:eastAsia="宋体" w:cs="Times New Roman"/>
          <w:snapToGrid w:val="0"/>
          <w:color w:val="auto"/>
          <w:spacing w:val="-6"/>
          <w:kern w:val="21"/>
          <w:szCs w:val="21"/>
          <w:highlight w:val="none"/>
        </w:rPr>
        <w:instrText xml:space="preserve"> = 3 \* GB3 \* MERGEFORMAT </w:instrText>
      </w:r>
      <w:r>
        <w:rPr>
          <w:rFonts w:hint="default" w:ascii="Times New Roman" w:hAnsi="Times New Roman" w:eastAsia="宋体" w:cs="Times New Roman"/>
          <w:snapToGrid w:val="0"/>
          <w:color w:val="auto"/>
          <w:spacing w:val="-6"/>
          <w:kern w:val="21"/>
          <w:szCs w:val="21"/>
          <w:highlight w:val="none"/>
        </w:rPr>
        <w:fldChar w:fldCharType="separate"/>
      </w:r>
      <w:r>
        <w:rPr>
          <w:rFonts w:hint="default" w:ascii="Times New Roman" w:hAnsi="Times New Roman" w:eastAsia="宋体" w:cs="Times New Roman"/>
          <w:color w:val="auto"/>
          <w:szCs w:val="21"/>
          <w:highlight w:val="none"/>
        </w:rPr>
        <w:t>③</w:t>
      </w:r>
      <w:r>
        <w:rPr>
          <w:rFonts w:hint="default" w:ascii="Times New Roman" w:hAnsi="Times New Roman" w:eastAsia="宋体" w:cs="Times New Roman"/>
          <w:snapToGrid w:val="0"/>
          <w:color w:val="auto"/>
          <w:spacing w:val="-6"/>
          <w:kern w:val="21"/>
          <w:szCs w:val="21"/>
          <w:highlight w:val="none"/>
        </w:rPr>
        <w:fldChar w:fldCharType="end"/>
      </w:r>
      <w:r>
        <w:rPr>
          <w:rFonts w:hint="default" w:ascii="Times New Roman" w:hAnsi="Times New Roman" w:eastAsia="宋体" w:cs="Times New Roman"/>
          <w:snapToGrid w:val="0"/>
          <w:color w:val="auto"/>
          <w:spacing w:val="-6"/>
          <w:kern w:val="21"/>
          <w:szCs w:val="21"/>
          <w:highlight w:val="none"/>
        </w:rPr>
        <w:t>+</w:t>
      </w:r>
      <w:r>
        <w:rPr>
          <w:rFonts w:hint="default" w:ascii="Times New Roman" w:hAnsi="Times New Roman" w:eastAsia="宋体" w:cs="Times New Roman"/>
          <w:snapToGrid w:val="0"/>
          <w:color w:val="auto"/>
          <w:spacing w:val="-6"/>
          <w:kern w:val="21"/>
          <w:szCs w:val="21"/>
          <w:highlight w:val="none"/>
        </w:rPr>
        <w:fldChar w:fldCharType="begin"/>
      </w:r>
      <w:r>
        <w:rPr>
          <w:rFonts w:hint="default" w:ascii="Times New Roman" w:hAnsi="Times New Roman" w:eastAsia="宋体" w:cs="Times New Roman"/>
          <w:snapToGrid w:val="0"/>
          <w:color w:val="auto"/>
          <w:spacing w:val="-6"/>
          <w:kern w:val="21"/>
          <w:szCs w:val="21"/>
          <w:highlight w:val="none"/>
        </w:rPr>
        <w:instrText xml:space="preserve"> = 4 \* GB3 \* MERGEFORMAT </w:instrText>
      </w:r>
      <w:r>
        <w:rPr>
          <w:rFonts w:hint="default" w:ascii="Times New Roman" w:hAnsi="Times New Roman" w:eastAsia="宋体" w:cs="Times New Roman"/>
          <w:snapToGrid w:val="0"/>
          <w:color w:val="auto"/>
          <w:spacing w:val="-6"/>
          <w:kern w:val="21"/>
          <w:szCs w:val="21"/>
          <w:highlight w:val="none"/>
        </w:rPr>
        <w:fldChar w:fldCharType="separate"/>
      </w:r>
      <w:r>
        <w:rPr>
          <w:rFonts w:hint="default" w:ascii="Times New Roman" w:hAnsi="Times New Roman" w:eastAsia="宋体" w:cs="Times New Roman"/>
          <w:color w:val="auto"/>
          <w:szCs w:val="21"/>
          <w:highlight w:val="none"/>
        </w:rPr>
        <w:t>④</w:t>
      </w:r>
      <w:r>
        <w:rPr>
          <w:rFonts w:hint="default" w:ascii="Times New Roman" w:hAnsi="Times New Roman" w:eastAsia="宋体" w:cs="Times New Roman"/>
          <w:snapToGrid w:val="0"/>
          <w:color w:val="auto"/>
          <w:spacing w:val="-6"/>
          <w:kern w:val="21"/>
          <w:szCs w:val="21"/>
          <w:highlight w:val="none"/>
        </w:rPr>
        <w:fldChar w:fldCharType="end"/>
      </w:r>
      <w:r>
        <w:rPr>
          <w:rFonts w:hint="default" w:ascii="Times New Roman" w:hAnsi="Times New Roman" w:eastAsia="宋体" w:cs="Times New Roman"/>
          <w:snapToGrid w:val="0"/>
          <w:color w:val="auto"/>
          <w:spacing w:val="-6"/>
          <w:kern w:val="21"/>
          <w:szCs w:val="21"/>
          <w:highlight w:val="none"/>
        </w:rPr>
        <w:t>-</w:t>
      </w:r>
      <w:r>
        <w:rPr>
          <w:rFonts w:hint="default" w:ascii="Times New Roman" w:hAnsi="Times New Roman" w:eastAsia="宋体" w:cs="Times New Roman"/>
          <w:snapToGrid w:val="0"/>
          <w:color w:val="auto"/>
          <w:spacing w:val="-16"/>
          <w:kern w:val="21"/>
          <w:szCs w:val="21"/>
          <w:highlight w:val="none"/>
        </w:rPr>
        <w:fldChar w:fldCharType="begin"/>
      </w:r>
      <w:r>
        <w:rPr>
          <w:rFonts w:hint="default" w:ascii="Times New Roman" w:hAnsi="Times New Roman" w:eastAsia="宋体" w:cs="Times New Roman"/>
          <w:snapToGrid w:val="0"/>
          <w:color w:val="auto"/>
          <w:spacing w:val="-16"/>
          <w:kern w:val="21"/>
          <w:szCs w:val="21"/>
          <w:highlight w:val="none"/>
        </w:rPr>
        <w:instrText xml:space="preserve"> = 5 \* GB3 \* MERGEFORMAT </w:instrText>
      </w:r>
      <w:r>
        <w:rPr>
          <w:rFonts w:hint="default" w:ascii="Times New Roman" w:hAnsi="Times New Roman" w:eastAsia="宋体" w:cs="Times New Roman"/>
          <w:snapToGrid w:val="0"/>
          <w:color w:val="auto"/>
          <w:spacing w:val="-16"/>
          <w:kern w:val="21"/>
          <w:szCs w:val="21"/>
          <w:highlight w:val="none"/>
        </w:rPr>
        <w:fldChar w:fldCharType="separate"/>
      </w:r>
      <w:r>
        <w:rPr>
          <w:rFonts w:hint="default" w:ascii="Times New Roman" w:hAnsi="Times New Roman" w:eastAsia="宋体" w:cs="Times New Roman"/>
          <w:color w:val="auto"/>
          <w:szCs w:val="21"/>
          <w:highlight w:val="none"/>
        </w:rPr>
        <w:t>⑤</w:t>
      </w:r>
      <w:r>
        <w:rPr>
          <w:rFonts w:hint="default" w:ascii="Times New Roman" w:hAnsi="Times New Roman" w:eastAsia="宋体" w:cs="Times New Roman"/>
          <w:snapToGrid w:val="0"/>
          <w:color w:val="auto"/>
          <w:spacing w:val="-16"/>
          <w:kern w:val="21"/>
          <w:szCs w:val="21"/>
          <w:highlight w:val="none"/>
        </w:rPr>
        <w:fldChar w:fldCharType="end"/>
      </w:r>
      <w:r>
        <w:rPr>
          <w:rFonts w:hint="default" w:ascii="Times New Roman" w:hAnsi="Times New Roman" w:eastAsia="宋体" w:cs="Times New Roman"/>
          <w:snapToGrid w:val="0"/>
          <w:color w:val="auto"/>
          <w:spacing w:val="-16"/>
          <w:kern w:val="21"/>
          <w:szCs w:val="21"/>
          <w:highlight w:val="none"/>
        </w:rPr>
        <w:t>；</w:t>
      </w:r>
      <w:r>
        <w:rPr>
          <w:rFonts w:hint="default" w:ascii="Times New Roman" w:hAnsi="Times New Roman" w:eastAsia="宋体" w:cs="Times New Roman"/>
          <w:snapToGrid w:val="0"/>
          <w:color w:val="auto"/>
          <w:spacing w:val="-6"/>
          <w:kern w:val="21"/>
          <w:szCs w:val="21"/>
          <w:highlight w:val="none"/>
        </w:rPr>
        <w:fldChar w:fldCharType="begin"/>
      </w:r>
      <w:r>
        <w:rPr>
          <w:rFonts w:hint="default" w:ascii="Times New Roman" w:hAnsi="Times New Roman" w:eastAsia="宋体" w:cs="Times New Roman"/>
          <w:snapToGrid w:val="0"/>
          <w:color w:val="auto"/>
          <w:spacing w:val="-6"/>
          <w:kern w:val="21"/>
          <w:szCs w:val="21"/>
          <w:highlight w:val="none"/>
        </w:rPr>
        <w:instrText xml:space="preserve"> = 7 \* GB3 \* MERGEFORMAT </w:instrText>
      </w:r>
      <w:r>
        <w:rPr>
          <w:rFonts w:hint="default" w:ascii="Times New Roman" w:hAnsi="Times New Roman" w:eastAsia="宋体" w:cs="Times New Roman"/>
          <w:snapToGrid w:val="0"/>
          <w:color w:val="auto"/>
          <w:spacing w:val="-6"/>
          <w:kern w:val="21"/>
          <w:szCs w:val="21"/>
          <w:highlight w:val="none"/>
        </w:rPr>
        <w:fldChar w:fldCharType="separate"/>
      </w:r>
      <w:r>
        <w:rPr>
          <w:rFonts w:hint="default" w:ascii="Times New Roman" w:hAnsi="Times New Roman" w:eastAsia="宋体" w:cs="Times New Roman"/>
          <w:color w:val="auto"/>
          <w:szCs w:val="21"/>
          <w:highlight w:val="none"/>
        </w:rPr>
        <w:t>⑦</w:t>
      </w:r>
      <w:r>
        <w:rPr>
          <w:rFonts w:hint="default" w:ascii="Times New Roman" w:hAnsi="Times New Roman" w:eastAsia="宋体" w:cs="Times New Roman"/>
          <w:snapToGrid w:val="0"/>
          <w:color w:val="auto"/>
          <w:spacing w:val="-6"/>
          <w:kern w:val="21"/>
          <w:szCs w:val="21"/>
          <w:highlight w:val="none"/>
        </w:rPr>
        <w:fldChar w:fldCharType="end"/>
      </w:r>
      <w:r>
        <w:rPr>
          <w:rFonts w:hint="default" w:ascii="Times New Roman" w:hAnsi="Times New Roman" w:eastAsia="宋体" w:cs="Times New Roman"/>
          <w:snapToGrid w:val="0"/>
          <w:color w:val="auto"/>
          <w:spacing w:val="-6"/>
          <w:kern w:val="21"/>
          <w:szCs w:val="21"/>
          <w:highlight w:val="none"/>
        </w:rPr>
        <w:t>=</w:t>
      </w:r>
      <w:r>
        <w:rPr>
          <w:rFonts w:hint="default" w:ascii="Times New Roman" w:hAnsi="Times New Roman" w:eastAsia="宋体" w:cs="Times New Roman"/>
          <w:snapToGrid w:val="0"/>
          <w:color w:val="auto"/>
          <w:spacing w:val="-16"/>
          <w:kern w:val="21"/>
          <w:szCs w:val="21"/>
          <w:highlight w:val="none"/>
        </w:rPr>
        <w:fldChar w:fldCharType="begin"/>
      </w:r>
      <w:r>
        <w:rPr>
          <w:rFonts w:hint="default" w:ascii="Times New Roman" w:hAnsi="Times New Roman" w:eastAsia="宋体" w:cs="Times New Roman"/>
          <w:snapToGrid w:val="0"/>
          <w:color w:val="auto"/>
          <w:spacing w:val="-16"/>
          <w:kern w:val="21"/>
          <w:szCs w:val="21"/>
          <w:highlight w:val="none"/>
        </w:rPr>
        <w:instrText xml:space="preserve"> = 6 \* GB3 \* MERGEFORMAT </w:instrText>
      </w:r>
      <w:r>
        <w:rPr>
          <w:rFonts w:hint="default" w:ascii="Times New Roman" w:hAnsi="Times New Roman" w:eastAsia="宋体" w:cs="Times New Roman"/>
          <w:snapToGrid w:val="0"/>
          <w:color w:val="auto"/>
          <w:spacing w:val="-16"/>
          <w:kern w:val="21"/>
          <w:szCs w:val="21"/>
          <w:highlight w:val="none"/>
        </w:rPr>
        <w:fldChar w:fldCharType="separate"/>
      </w:r>
      <w:r>
        <w:rPr>
          <w:rFonts w:hint="default" w:ascii="Times New Roman" w:hAnsi="Times New Roman" w:eastAsia="宋体" w:cs="Times New Roman"/>
          <w:color w:val="auto"/>
          <w:szCs w:val="21"/>
          <w:highlight w:val="none"/>
        </w:rPr>
        <w:t>⑥</w:t>
      </w:r>
      <w:r>
        <w:rPr>
          <w:rFonts w:hint="default" w:ascii="Times New Roman" w:hAnsi="Times New Roman" w:eastAsia="宋体" w:cs="Times New Roman"/>
          <w:snapToGrid w:val="0"/>
          <w:color w:val="auto"/>
          <w:spacing w:val="-16"/>
          <w:kern w:val="21"/>
          <w:szCs w:val="21"/>
          <w:highlight w:val="none"/>
        </w:rPr>
        <w:fldChar w:fldCharType="end"/>
      </w:r>
      <w:r>
        <w:rPr>
          <w:rFonts w:hint="default" w:ascii="Times New Roman" w:hAnsi="Times New Roman" w:eastAsia="宋体" w:cs="Times New Roman"/>
          <w:snapToGrid w:val="0"/>
          <w:color w:val="auto"/>
          <w:spacing w:val="-16"/>
          <w:kern w:val="21"/>
          <w:szCs w:val="21"/>
          <w:highlight w:val="none"/>
        </w:rPr>
        <w:t>-</w:t>
      </w:r>
      <w:r>
        <w:rPr>
          <w:rFonts w:hint="default" w:ascii="Times New Roman" w:hAnsi="Times New Roman" w:eastAsia="宋体" w:cs="Times New Roman"/>
          <w:snapToGrid w:val="0"/>
          <w:color w:val="auto"/>
          <w:spacing w:val="-6"/>
          <w:kern w:val="21"/>
          <w:szCs w:val="21"/>
          <w:highlight w:val="none"/>
        </w:rPr>
        <w:fldChar w:fldCharType="begin"/>
      </w:r>
      <w:r>
        <w:rPr>
          <w:rFonts w:hint="default" w:ascii="Times New Roman" w:hAnsi="Times New Roman" w:eastAsia="宋体" w:cs="Times New Roman"/>
          <w:snapToGrid w:val="0"/>
          <w:color w:val="auto"/>
          <w:spacing w:val="-6"/>
          <w:kern w:val="21"/>
          <w:szCs w:val="21"/>
          <w:highlight w:val="none"/>
        </w:rPr>
        <w:instrText xml:space="preserve"> = 1 \* GB3 \* MERGEFORMAT </w:instrText>
      </w:r>
      <w:r>
        <w:rPr>
          <w:rFonts w:hint="default" w:ascii="Times New Roman" w:hAnsi="Times New Roman" w:eastAsia="宋体" w:cs="Times New Roman"/>
          <w:snapToGrid w:val="0"/>
          <w:color w:val="auto"/>
          <w:spacing w:val="-6"/>
          <w:kern w:val="21"/>
          <w:szCs w:val="21"/>
          <w:highlight w:val="none"/>
        </w:rPr>
        <w:fldChar w:fldCharType="separate"/>
      </w:r>
      <w:r>
        <w:rPr>
          <w:rFonts w:hint="default" w:ascii="Times New Roman" w:hAnsi="Times New Roman" w:eastAsia="宋体" w:cs="Times New Roman"/>
          <w:color w:val="auto"/>
          <w:szCs w:val="21"/>
          <w:highlight w:val="none"/>
        </w:rPr>
        <w:t>①</w:t>
      </w:r>
      <w:r>
        <w:rPr>
          <w:rFonts w:hint="default" w:ascii="Times New Roman" w:hAnsi="Times New Roman" w:eastAsia="宋体" w:cs="Times New Roman"/>
          <w:snapToGrid w:val="0"/>
          <w:color w:val="auto"/>
          <w:spacing w:val="-6"/>
          <w:kern w:val="21"/>
          <w:szCs w:val="21"/>
          <w:highlight w:val="none"/>
        </w:rPr>
        <w:fldChar w:fldCharType="end"/>
      </w:r>
      <w:bookmarkEnd w:id="27"/>
      <w:bookmarkEnd w:id="28"/>
      <w:bookmarkEnd w:id="29"/>
      <w:bookmarkStart w:id="30" w:name="_GoBack"/>
      <w:bookmarkEnd w:id="30"/>
    </w:p>
    <w:sectPr>
      <w:footerReference r:id="rId5" w:type="default"/>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新宋体-18030">
    <w:altName w:val="宋体"/>
    <w:panose1 w:val="00000000000000000000"/>
    <w:charset w:val="00"/>
    <w:family w:val="auto"/>
    <w:pitch w:val="default"/>
    <w:sig w:usb0="00000000" w:usb1="00000000" w:usb2="00000000" w:usb3="00000000" w:csb0="00040001" w:csb1="00000000"/>
  </w:font>
  <w:font w:name="Wingdings 2">
    <w:altName w:val="Wingdings"/>
    <w:panose1 w:val="05020102010507070707"/>
    <w:charset w:val="02"/>
    <w:family w:val="auto"/>
    <w:pitch w:val="default"/>
    <w:sig w:usb0="00000000" w:usb1="00000000" w:usb2="00000000" w:usb3="00000000" w:csb0="80000000" w:csb1="00000000"/>
  </w:font>
  <w:font w:name="方正小标宋简体">
    <w:altName w:val="宋体"/>
    <w:panose1 w:val="02010601030101010101"/>
    <w:charset w:val="86"/>
    <w:family w:val="auto"/>
    <w:pitch w:val="default"/>
    <w:sig w:usb0="00000000" w:usb1="00000000" w:usb2="00000010" w:usb3="00000000" w:csb0="00040000" w:csb1="00000000"/>
  </w:font>
  <w:font w:name="Kingsoft UE">
    <w:altName w:val="ESRI AMFM Electric"/>
    <w:panose1 w:val="00000000000000000000"/>
    <w:charset w:val="00"/>
    <w:family w:val="auto"/>
    <w:pitch w:val="default"/>
    <w:sig w:usb0="00000000" w:usb1="00000000" w:usb2="00000000" w:usb3="00000000" w:csb0="00000000" w:csb1="00000000"/>
  </w:font>
  <w:font w:name="ESRI AMFM Electric">
    <w:panose1 w:val="02000400000000000000"/>
    <w:charset w:val="00"/>
    <w:family w:val="auto"/>
    <w:pitch w:val="default"/>
    <w:sig w:usb0="00000003" w:usb1="00000000" w:usb2="00000000" w:usb3="00000000" w:csb0="0000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6A6A4">
    <w:pPr>
      <w:widowControl w:val="0"/>
      <w:snapToGrid w:val="0"/>
      <w:ind w:right="360" w:firstLine="360"/>
      <w:jc w:val="left"/>
      <w:rPr>
        <w:rFonts w:ascii="Times New Roman" w:hAnsi="Times New Roman" w:eastAsia="宋体" w:cs="Times New Roman"/>
        <w:kern w:val="0"/>
        <w:sz w:val="18"/>
        <w:szCs w:val="20"/>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E003DD">
    <w:pPr>
      <w:widowControl w:val="0"/>
      <w:snapToGrid w:val="0"/>
      <w:ind w:right="360" w:firstLine="360"/>
      <w:jc w:val="left"/>
      <w:rPr>
        <w:rFonts w:ascii="Times New Roman" w:hAnsi="Times New Roman" w:eastAsia="宋体" w:cs="Times New Roman"/>
        <w:kern w:val="0"/>
        <w:sz w:val="18"/>
        <w:szCs w:val="20"/>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1A9A05">
                          <w:pPr>
                            <w:pStyle w:val="2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6hPo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T6MQIAAGMEAAAOAAAAAAAAAAEAIAAAAB8BAABkcnMvZTJvRG9jLnhtbFBLBQYA&#10;AAAABgAGAFkBAADCBQAAAAA=&#10;">
              <v:fill on="f" focussize="0,0"/>
              <v:stroke on="f" weight="0.5pt"/>
              <v:imagedata o:title=""/>
              <o:lock v:ext="edit" aspectratio="f"/>
              <v:textbox inset="0mm,0mm,0mm,0mm" style="mso-fit-shape-to-text:t;">
                <w:txbxContent>
                  <w:p w14:paraId="451A9A05">
                    <w:pPr>
                      <w:pStyle w:val="2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C89D6">
    <w:pPr>
      <w:pStyle w:val="21"/>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B26EB8"/>
    <w:multiLevelType w:val="singleLevel"/>
    <w:tmpl w:val="85B26EB8"/>
    <w:lvl w:ilvl="0" w:tentative="0">
      <w:start w:val="1"/>
      <w:numFmt w:val="bullet"/>
      <w:pStyle w:val="9"/>
      <w:lvlText w:val=""/>
      <w:lvlJc w:val="left"/>
      <w:pPr>
        <w:tabs>
          <w:tab w:val="left" w:pos="780"/>
        </w:tabs>
        <w:ind w:left="780" w:hanging="360"/>
      </w:pPr>
      <w:rPr>
        <w:rFonts w:hint="default" w:ascii="Wingdings" w:hAnsi="Wingdings"/>
      </w:rPr>
    </w:lvl>
  </w:abstractNum>
  <w:abstractNum w:abstractNumId="1">
    <w:nsid w:val="C6BC8F5C"/>
    <w:multiLevelType w:val="singleLevel"/>
    <w:tmpl w:val="C6BC8F5C"/>
    <w:lvl w:ilvl="0" w:tentative="0">
      <w:start w:val="1"/>
      <w:numFmt w:val="decimal"/>
      <w:pStyle w:val="47"/>
      <w:suff w:val="nothing"/>
      <w:lvlText w:val="（%1）"/>
      <w:lvlJc w:val="left"/>
      <w:pPr>
        <w:ind w:left="231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6D062C"/>
    <w:rsid w:val="002F67B8"/>
    <w:rsid w:val="00583A0B"/>
    <w:rsid w:val="0091447E"/>
    <w:rsid w:val="00AB5E3E"/>
    <w:rsid w:val="00E7169A"/>
    <w:rsid w:val="01163526"/>
    <w:rsid w:val="0119116C"/>
    <w:rsid w:val="0136718A"/>
    <w:rsid w:val="01562B00"/>
    <w:rsid w:val="016119AC"/>
    <w:rsid w:val="01946225"/>
    <w:rsid w:val="019839AC"/>
    <w:rsid w:val="02880C6E"/>
    <w:rsid w:val="028F06C1"/>
    <w:rsid w:val="029802C1"/>
    <w:rsid w:val="02A870C9"/>
    <w:rsid w:val="02BF1B17"/>
    <w:rsid w:val="02C238AA"/>
    <w:rsid w:val="03545694"/>
    <w:rsid w:val="03870C59"/>
    <w:rsid w:val="03D17DD3"/>
    <w:rsid w:val="03E91BF7"/>
    <w:rsid w:val="04075C0E"/>
    <w:rsid w:val="04130803"/>
    <w:rsid w:val="04213841"/>
    <w:rsid w:val="046B1547"/>
    <w:rsid w:val="047668E5"/>
    <w:rsid w:val="04835507"/>
    <w:rsid w:val="04F263EF"/>
    <w:rsid w:val="054A57DE"/>
    <w:rsid w:val="054D1674"/>
    <w:rsid w:val="0554196A"/>
    <w:rsid w:val="05B74771"/>
    <w:rsid w:val="05C74939"/>
    <w:rsid w:val="05DA1E7A"/>
    <w:rsid w:val="05F17CC7"/>
    <w:rsid w:val="060E65AA"/>
    <w:rsid w:val="06330786"/>
    <w:rsid w:val="06345E06"/>
    <w:rsid w:val="069914E0"/>
    <w:rsid w:val="06A9177A"/>
    <w:rsid w:val="06FE6C86"/>
    <w:rsid w:val="071836A4"/>
    <w:rsid w:val="07485E01"/>
    <w:rsid w:val="07620952"/>
    <w:rsid w:val="07AA7F72"/>
    <w:rsid w:val="07B0338D"/>
    <w:rsid w:val="07C6258D"/>
    <w:rsid w:val="07FE462A"/>
    <w:rsid w:val="08F4242E"/>
    <w:rsid w:val="09095DE2"/>
    <w:rsid w:val="094438F1"/>
    <w:rsid w:val="098F5CBA"/>
    <w:rsid w:val="099C35B9"/>
    <w:rsid w:val="09D46BFC"/>
    <w:rsid w:val="09EC3E56"/>
    <w:rsid w:val="0A0C0F2A"/>
    <w:rsid w:val="0A231DB1"/>
    <w:rsid w:val="0A6618EE"/>
    <w:rsid w:val="0A6878BB"/>
    <w:rsid w:val="0AAE35C0"/>
    <w:rsid w:val="0AB06448"/>
    <w:rsid w:val="0B2D04DC"/>
    <w:rsid w:val="0B354A5D"/>
    <w:rsid w:val="0B36617C"/>
    <w:rsid w:val="0B625534"/>
    <w:rsid w:val="0B9908F1"/>
    <w:rsid w:val="0C9F1A2D"/>
    <w:rsid w:val="0CAC0156"/>
    <w:rsid w:val="0D3A0F22"/>
    <w:rsid w:val="0D510495"/>
    <w:rsid w:val="0D7257D0"/>
    <w:rsid w:val="0DBB0313"/>
    <w:rsid w:val="0DC2489C"/>
    <w:rsid w:val="0DD049C5"/>
    <w:rsid w:val="0E5D12FA"/>
    <w:rsid w:val="0E8D60ED"/>
    <w:rsid w:val="0EA63619"/>
    <w:rsid w:val="0EC63CAC"/>
    <w:rsid w:val="0F002BA9"/>
    <w:rsid w:val="0F1504B8"/>
    <w:rsid w:val="0F2F62E2"/>
    <w:rsid w:val="0F3A40B0"/>
    <w:rsid w:val="0F414AFC"/>
    <w:rsid w:val="0F694F51"/>
    <w:rsid w:val="0F716A5C"/>
    <w:rsid w:val="0F7C7F74"/>
    <w:rsid w:val="0FA4094E"/>
    <w:rsid w:val="0FBB52E6"/>
    <w:rsid w:val="0FC33F6C"/>
    <w:rsid w:val="0FD6561C"/>
    <w:rsid w:val="104B7348"/>
    <w:rsid w:val="107E71A5"/>
    <w:rsid w:val="10CE4EF8"/>
    <w:rsid w:val="10F70AE6"/>
    <w:rsid w:val="11367802"/>
    <w:rsid w:val="115C73FA"/>
    <w:rsid w:val="11B175BA"/>
    <w:rsid w:val="11CC6555"/>
    <w:rsid w:val="11DA1C66"/>
    <w:rsid w:val="11DD7ADE"/>
    <w:rsid w:val="11DF3E08"/>
    <w:rsid w:val="120D282C"/>
    <w:rsid w:val="1252164B"/>
    <w:rsid w:val="126E7243"/>
    <w:rsid w:val="12BD38C9"/>
    <w:rsid w:val="12D90460"/>
    <w:rsid w:val="12E22503"/>
    <w:rsid w:val="12F46D38"/>
    <w:rsid w:val="132A2CAA"/>
    <w:rsid w:val="13921707"/>
    <w:rsid w:val="13A8397F"/>
    <w:rsid w:val="13B902E9"/>
    <w:rsid w:val="13F1377A"/>
    <w:rsid w:val="13F44C4B"/>
    <w:rsid w:val="14197409"/>
    <w:rsid w:val="1421166D"/>
    <w:rsid w:val="145000CB"/>
    <w:rsid w:val="14552A2F"/>
    <w:rsid w:val="146A16ED"/>
    <w:rsid w:val="14AA7406"/>
    <w:rsid w:val="14E726AE"/>
    <w:rsid w:val="14F37395"/>
    <w:rsid w:val="151F479C"/>
    <w:rsid w:val="15202377"/>
    <w:rsid w:val="153B29E4"/>
    <w:rsid w:val="1547448C"/>
    <w:rsid w:val="15500206"/>
    <w:rsid w:val="15534DA5"/>
    <w:rsid w:val="15554079"/>
    <w:rsid w:val="15807C55"/>
    <w:rsid w:val="15DB1268"/>
    <w:rsid w:val="15F35395"/>
    <w:rsid w:val="166B7662"/>
    <w:rsid w:val="16BF0207"/>
    <w:rsid w:val="16EC2FCF"/>
    <w:rsid w:val="170A1220"/>
    <w:rsid w:val="17234B3C"/>
    <w:rsid w:val="174A7237"/>
    <w:rsid w:val="176D617B"/>
    <w:rsid w:val="179111A9"/>
    <w:rsid w:val="17DD36AB"/>
    <w:rsid w:val="18307D24"/>
    <w:rsid w:val="18320456"/>
    <w:rsid w:val="183304B6"/>
    <w:rsid w:val="184E66A2"/>
    <w:rsid w:val="18A00F9D"/>
    <w:rsid w:val="18AC334D"/>
    <w:rsid w:val="19131E69"/>
    <w:rsid w:val="192667D1"/>
    <w:rsid w:val="19633A67"/>
    <w:rsid w:val="1978442C"/>
    <w:rsid w:val="197D020B"/>
    <w:rsid w:val="19D23BC9"/>
    <w:rsid w:val="1A287679"/>
    <w:rsid w:val="1A510DA0"/>
    <w:rsid w:val="1A5556F5"/>
    <w:rsid w:val="1A815789"/>
    <w:rsid w:val="1AAB6C47"/>
    <w:rsid w:val="1B0E0782"/>
    <w:rsid w:val="1B396637"/>
    <w:rsid w:val="1B41122A"/>
    <w:rsid w:val="1B682203"/>
    <w:rsid w:val="1B6E410D"/>
    <w:rsid w:val="1B8C3C7F"/>
    <w:rsid w:val="1BAA64F0"/>
    <w:rsid w:val="1BE33139"/>
    <w:rsid w:val="1BE45FF3"/>
    <w:rsid w:val="1C0D0182"/>
    <w:rsid w:val="1C4B0278"/>
    <w:rsid w:val="1C95401A"/>
    <w:rsid w:val="1C9977D7"/>
    <w:rsid w:val="1CB7382F"/>
    <w:rsid w:val="1CC53C9A"/>
    <w:rsid w:val="1D0F707A"/>
    <w:rsid w:val="1D280A05"/>
    <w:rsid w:val="1D5B3CB8"/>
    <w:rsid w:val="1DAD5CC1"/>
    <w:rsid w:val="1DF4614E"/>
    <w:rsid w:val="1E284228"/>
    <w:rsid w:val="1E931F28"/>
    <w:rsid w:val="1EB02F65"/>
    <w:rsid w:val="1EBC25FB"/>
    <w:rsid w:val="1EBD6BC9"/>
    <w:rsid w:val="1ED12E8C"/>
    <w:rsid w:val="1EFD52D1"/>
    <w:rsid w:val="1F004867"/>
    <w:rsid w:val="1F0B0F33"/>
    <w:rsid w:val="1F9A0F77"/>
    <w:rsid w:val="1F9E2BED"/>
    <w:rsid w:val="1FA060F1"/>
    <w:rsid w:val="1FCD447E"/>
    <w:rsid w:val="1FD43210"/>
    <w:rsid w:val="1FEA49F8"/>
    <w:rsid w:val="2003486A"/>
    <w:rsid w:val="201D675A"/>
    <w:rsid w:val="202E4B31"/>
    <w:rsid w:val="20384A18"/>
    <w:rsid w:val="203B04ED"/>
    <w:rsid w:val="206D09F2"/>
    <w:rsid w:val="209459C7"/>
    <w:rsid w:val="209A1B1A"/>
    <w:rsid w:val="20B16579"/>
    <w:rsid w:val="20C27123"/>
    <w:rsid w:val="20EA675A"/>
    <w:rsid w:val="20F37C9C"/>
    <w:rsid w:val="21051305"/>
    <w:rsid w:val="210B711D"/>
    <w:rsid w:val="213E09A3"/>
    <w:rsid w:val="21661A93"/>
    <w:rsid w:val="217B46FD"/>
    <w:rsid w:val="21A721C4"/>
    <w:rsid w:val="21C304CD"/>
    <w:rsid w:val="21EB0F6C"/>
    <w:rsid w:val="21F03834"/>
    <w:rsid w:val="21FE02AF"/>
    <w:rsid w:val="220B5E62"/>
    <w:rsid w:val="22257114"/>
    <w:rsid w:val="229C31B9"/>
    <w:rsid w:val="22A45464"/>
    <w:rsid w:val="22EA46D7"/>
    <w:rsid w:val="2375135C"/>
    <w:rsid w:val="238269B5"/>
    <w:rsid w:val="23CC3EBD"/>
    <w:rsid w:val="23FC7C60"/>
    <w:rsid w:val="23FF4F22"/>
    <w:rsid w:val="24084D2B"/>
    <w:rsid w:val="24482291"/>
    <w:rsid w:val="24D642A0"/>
    <w:rsid w:val="2512359C"/>
    <w:rsid w:val="253A5B1F"/>
    <w:rsid w:val="253F2064"/>
    <w:rsid w:val="25416003"/>
    <w:rsid w:val="25464913"/>
    <w:rsid w:val="25571E03"/>
    <w:rsid w:val="25580E37"/>
    <w:rsid w:val="25C32598"/>
    <w:rsid w:val="25DC4098"/>
    <w:rsid w:val="260B2287"/>
    <w:rsid w:val="260C0C79"/>
    <w:rsid w:val="260E7222"/>
    <w:rsid w:val="265F24C5"/>
    <w:rsid w:val="268C4A4A"/>
    <w:rsid w:val="2697665E"/>
    <w:rsid w:val="26A86578"/>
    <w:rsid w:val="26A9351D"/>
    <w:rsid w:val="26A973CF"/>
    <w:rsid w:val="26E86A6C"/>
    <w:rsid w:val="26F26FB0"/>
    <w:rsid w:val="270C4FCA"/>
    <w:rsid w:val="27135C28"/>
    <w:rsid w:val="271B591A"/>
    <w:rsid w:val="27657FB0"/>
    <w:rsid w:val="277A3683"/>
    <w:rsid w:val="27A22122"/>
    <w:rsid w:val="27E34CAE"/>
    <w:rsid w:val="28137071"/>
    <w:rsid w:val="281D2188"/>
    <w:rsid w:val="28211BA9"/>
    <w:rsid w:val="289D3530"/>
    <w:rsid w:val="28A83AC0"/>
    <w:rsid w:val="28F73C4E"/>
    <w:rsid w:val="28F82515"/>
    <w:rsid w:val="290438E8"/>
    <w:rsid w:val="290E6CE7"/>
    <w:rsid w:val="29373393"/>
    <w:rsid w:val="2A375D41"/>
    <w:rsid w:val="2A434D2D"/>
    <w:rsid w:val="2A48459B"/>
    <w:rsid w:val="2A66639F"/>
    <w:rsid w:val="2AA56231"/>
    <w:rsid w:val="2AC13D27"/>
    <w:rsid w:val="2ACB61BC"/>
    <w:rsid w:val="2AD51ED6"/>
    <w:rsid w:val="2B0D17D7"/>
    <w:rsid w:val="2B3C1C68"/>
    <w:rsid w:val="2B4A40C9"/>
    <w:rsid w:val="2B6B29CB"/>
    <w:rsid w:val="2B86406E"/>
    <w:rsid w:val="2B8C4639"/>
    <w:rsid w:val="2BD23073"/>
    <w:rsid w:val="2BEA62D4"/>
    <w:rsid w:val="2C2736A5"/>
    <w:rsid w:val="2C2E5218"/>
    <w:rsid w:val="2C4320AD"/>
    <w:rsid w:val="2C4757A6"/>
    <w:rsid w:val="2C84501F"/>
    <w:rsid w:val="2CC97BEB"/>
    <w:rsid w:val="2CFB247D"/>
    <w:rsid w:val="2D2B5BA4"/>
    <w:rsid w:val="2D3664F8"/>
    <w:rsid w:val="2D4E3625"/>
    <w:rsid w:val="2D5F3CF3"/>
    <w:rsid w:val="2D8A4E14"/>
    <w:rsid w:val="2D932CD3"/>
    <w:rsid w:val="2DB85D0C"/>
    <w:rsid w:val="2DC1753F"/>
    <w:rsid w:val="2E266B0C"/>
    <w:rsid w:val="2E402DEC"/>
    <w:rsid w:val="2E675732"/>
    <w:rsid w:val="2E6F71BF"/>
    <w:rsid w:val="2E7F3BD6"/>
    <w:rsid w:val="2E806421"/>
    <w:rsid w:val="2EEA3285"/>
    <w:rsid w:val="2EF537C9"/>
    <w:rsid w:val="2F1F6CFF"/>
    <w:rsid w:val="2F2C7572"/>
    <w:rsid w:val="2F934AB0"/>
    <w:rsid w:val="2FE42A4D"/>
    <w:rsid w:val="2FEA6A07"/>
    <w:rsid w:val="300206D5"/>
    <w:rsid w:val="30C65115"/>
    <w:rsid w:val="30ED387E"/>
    <w:rsid w:val="310B543D"/>
    <w:rsid w:val="319D6BDC"/>
    <w:rsid w:val="31AA2E09"/>
    <w:rsid w:val="31B151B1"/>
    <w:rsid w:val="320E092F"/>
    <w:rsid w:val="32251152"/>
    <w:rsid w:val="32683060"/>
    <w:rsid w:val="32B0720F"/>
    <w:rsid w:val="32D47F8F"/>
    <w:rsid w:val="330E71A5"/>
    <w:rsid w:val="331E75E2"/>
    <w:rsid w:val="33276173"/>
    <w:rsid w:val="33903029"/>
    <w:rsid w:val="33BB3E6D"/>
    <w:rsid w:val="33D25C91"/>
    <w:rsid w:val="33D40A5F"/>
    <w:rsid w:val="33F95E15"/>
    <w:rsid w:val="33F97028"/>
    <w:rsid w:val="34093BEC"/>
    <w:rsid w:val="342A1693"/>
    <w:rsid w:val="34463ED5"/>
    <w:rsid w:val="346B37EA"/>
    <w:rsid w:val="34A52A48"/>
    <w:rsid w:val="34B61F58"/>
    <w:rsid w:val="34D67ABD"/>
    <w:rsid w:val="35014185"/>
    <w:rsid w:val="35086154"/>
    <w:rsid w:val="351C1387"/>
    <w:rsid w:val="3554290A"/>
    <w:rsid w:val="35610228"/>
    <w:rsid w:val="35730091"/>
    <w:rsid w:val="358878E1"/>
    <w:rsid w:val="35960D13"/>
    <w:rsid w:val="359E0307"/>
    <w:rsid w:val="36102186"/>
    <w:rsid w:val="365435AA"/>
    <w:rsid w:val="368C2279"/>
    <w:rsid w:val="36B51B9F"/>
    <w:rsid w:val="37094253"/>
    <w:rsid w:val="37DE5837"/>
    <w:rsid w:val="380D56E0"/>
    <w:rsid w:val="386C17FA"/>
    <w:rsid w:val="3894394D"/>
    <w:rsid w:val="38971F73"/>
    <w:rsid w:val="389B4C19"/>
    <w:rsid w:val="38B0486F"/>
    <w:rsid w:val="38BF277B"/>
    <w:rsid w:val="38E8156C"/>
    <w:rsid w:val="39237555"/>
    <w:rsid w:val="393230D7"/>
    <w:rsid w:val="394335B0"/>
    <w:rsid w:val="39443F09"/>
    <w:rsid w:val="39676EB6"/>
    <w:rsid w:val="39684E01"/>
    <w:rsid w:val="396E5A71"/>
    <w:rsid w:val="39793059"/>
    <w:rsid w:val="398372E6"/>
    <w:rsid w:val="398E23FA"/>
    <w:rsid w:val="399C2315"/>
    <w:rsid w:val="39BD2849"/>
    <w:rsid w:val="3A1A0D19"/>
    <w:rsid w:val="3A381C0C"/>
    <w:rsid w:val="3A6E79EC"/>
    <w:rsid w:val="3B585C4F"/>
    <w:rsid w:val="3B671461"/>
    <w:rsid w:val="3BAC3B30"/>
    <w:rsid w:val="3C0267B9"/>
    <w:rsid w:val="3C325481"/>
    <w:rsid w:val="3CA66D5C"/>
    <w:rsid w:val="3CAC68E3"/>
    <w:rsid w:val="3CB652DF"/>
    <w:rsid w:val="3CBD403C"/>
    <w:rsid w:val="3CFD25D6"/>
    <w:rsid w:val="3D135880"/>
    <w:rsid w:val="3D2B61E5"/>
    <w:rsid w:val="3D3B0201"/>
    <w:rsid w:val="3D4B3DD4"/>
    <w:rsid w:val="3D7D65EB"/>
    <w:rsid w:val="3D953CA8"/>
    <w:rsid w:val="3DC8149C"/>
    <w:rsid w:val="3E0A1490"/>
    <w:rsid w:val="3E1D47C5"/>
    <w:rsid w:val="3E2C300D"/>
    <w:rsid w:val="3E3F69FE"/>
    <w:rsid w:val="3E4864CC"/>
    <w:rsid w:val="3E614CE2"/>
    <w:rsid w:val="3E6D5E0F"/>
    <w:rsid w:val="3E8A0495"/>
    <w:rsid w:val="3E8C54FA"/>
    <w:rsid w:val="3EF9145C"/>
    <w:rsid w:val="3F0355EF"/>
    <w:rsid w:val="3F203A1A"/>
    <w:rsid w:val="3F361BD3"/>
    <w:rsid w:val="3F8720D4"/>
    <w:rsid w:val="3F8B3807"/>
    <w:rsid w:val="3FB96EAD"/>
    <w:rsid w:val="4012322E"/>
    <w:rsid w:val="40186C41"/>
    <w:rsid w:val="40524382"/>
    <w:rsid w:val="40646B07"/>
    <w:rsid w:val="406F16B6"/>
    <w:rsid w:val="40767503"/>
    <w:rsid w:val="408776B4"/>
    <w:rsid w:val="40A84E4B"/>
    <w:rsid w:val="40C626F7"/>
    <w:rsid w:val="40CD1B90"/>
    <w:rsid w:val="40EE0612"/>
    <w:rsid w:val="413003B6"/>
    <w:rsid w:val="41444483"/>
    <w:rsid w:val="41775CA6"/>
    <w:rsid w:val="42351C2E"/>
    <w:rsid w:val="42383C3E"/>
    <w:rsid w:val="42631688"/>
    <w:rsid w:val="42B034FC"/>
    <w:rsid w:val="42B10213"/>
    <w:rsid w:val="42C43A92"/>
    <w:rsid w:val="42F24820"/>
    <w:rsid w:val="431D4ED3"/>
    <w:rsid w:val="432A2B59"/>
    <w:rsid w:val="4339175F"/>
    <w:rsid w:val="438D7342"/>
    <w:rsid w:val="43A21908"/>
    <w:rsid w:val="43AF029E"/>
    <w:rsid w:val="43B103F6"/>
    <w:rsid w:val="43C02749"/>
    <w:rsid w:val="43CB5548"/>
    <w:rsid w:val="43F56D27"/>
    <w:rsid w:val="440667E1"/>
    <w:rsid w:val="4408538F"/>
    <w:rsid w:val="44406A9F"/>
    <w:rsid w:val="445D4AB6"/>
    <w:rsid w:val="446631C8"/>
    <w:rsid w:val="44EC561F"/>
    <w:rsid w:val="45216F7A"/>
    <w:rsid w:val="45322F35"/>
    <w:rsid w:val="45833790"/>
    <w:rsid w:val="4599340E"/>
    <w:rsid w:val="45DF172F"/>
    <w:rsid w:val="45F646E0"/>
    <w:rsid w:val="461D1214"/>
    <w:rsid w:val="46672CBC"/>
    <w:rsid w:val="46703354"/>
    <w:rsid w:val="468E27CD"/>
    <w:rsid w:val="46C57605"/>
    <w:rsid w:val="46CC464F"/>
    <w:rsid w:val="46D424B3"/>
    <w:rsid w:val="46F86B90"/>
    <w:rsid w:val="473D2970"/>
    <w:rsid w:val="473D64AB"/>
    <w:rsid w:val="47602B25"/>
    <w:rsid w:val="47801310"/>
    <w:rsid w:val="47A218BB"/>
    <w:rsid w:val="47B25EDE"/>
    <w:rsid w:val="47BD1CB4"/>
    <w:rsid w:val="47CB21D4"/>
    <w:rsid w:val="47EE053F"/>
    <w:rsid w:val="482D2279"/>
    <w:rsid w:val="484A4199"/>
    <w:rsid w:val="48702640"/>
    <w:rsid w:val="48972A01"/>
    <w:rsid w:val="48E65EDF"/>
    <w:rsid w:val="48FB0348"/>
    <w:rsid w:val="49025F37"/>
    <w:rsid w:val="49030FD7"/>
    <w:rsid w:val="49046213"/>
    <w:rsid w:val="49146C8A"/>
    <w:rsid w:val="492B471A"/>
    <w:rsid w:val="492D715F"/>
    <w:rsid w:val="4956033E"/>
    <w:rsid w:val="49681C10"/>
    <w:rsid w:val="49725CA7"/>
    <w:rsid w:val="498F19DA"/>
    <w:rsid w:val="49EE1919"/>
    <w:rsid w:val="49F6164F"/>
    <w:rsid w:val="4A2E5242"/>
    <w:rsid w:val="4A4156FD"/>
    <w:rsid w:val="4A500C79"/>
    <w:rsid w:val="4A8D525B"/>
    <w:rsid w:val="4A931CA4"/>
    <w:rsid w:val="4B12311A"/>
    <w:rsid w:val="4B2B743A"/>
    <w:rsid w:val="4B35192C"/>
    <w:rsid w:val="4B7E5E68"/>
    <w:rsid w:val="4BCF66EB"/>
    <w:rsid w:val="4C1E46ED"/>
    <w:rsid w:val="4C426EAB"/>
    <w:rsid w:val="4C5E7C99"/>
    <w:rsid w:val="4C6D0F87"/>
    <w:rsid w:val="4C7042D7"/>
    <w:rsid w:val="4C781903"/>
    <w:rsid w:val="4CBF1151"/>
    <w:rsid w:val="4CFB54F3"/>
    <w:rsid w:val="4D3A4E58"/>
    <w:rsid w:val="4D571667"/>
    <w:rsid w:val="4D5E4B9D"/>
    <w:rsid w:val="4D825CAF"/>
    <w:rsid w:val="4DEB52B2"/>
    <w:rsid w:val="4E013989"/>
    <w:rsid w:val="4E0D2791"/>
    <w:rsid w:val="4E5972CE"/>
    <w:rsid w:val="4E5D58F1"/>
    <w:rsid w:val="4E946E78"/>
    <w:rsid w:val="4E965A41"/>
    <w:rsid w:val="4EEC51FC"/>
    <w:rsid w:val="4F286C6E"/>
    <w:rsid w:val="4F4A16F9"/>
    <w:rsid w:val="4F6D062C"/>
    <w:rsid w:val="4F84623F"/>
    <w:rsid w:val="4F932F50"/>
    <w:rsid w:val="4F945D52"/>
    <w:rsid w:val="4FB37368"/>
    <w:rsid w:val="4FBF4716"/>
    <w:rsid w:val="4FD23D59"/>
    <w:rsid w:val="4FD7050F"/>
    <w:rsid w:val="50055358"/>
    <w:rsid w:val="50200100"/>
    <w:rsid w:val="505B0315"/>
    <w:rsid w:val="506D01FF"/>
    <w:rsid w:val="508E547C"/>
    <w:rsid w:val="51002139"/>
    <w:rsid w:val="517C34CF"/>
    <w:rsid w:val="51B23B3C"/>
    <w:rsid w:val="51C972C4"/>
    <w:rsid w:val="51DB02E5"/>
    <w:rsid w:val="51FA638D"/>
    <w:rsid w:val="521D0111"/>
    <w:rsid w:val="524F1A19"/>
    <w:rsid w:val="5252508C"/>
    <w:rsid w:val="526308B6"/>
    <w:rsid w:val="526811D1"/>
    <w:rsid w:val="526A0FA8"/>
    <w:rsid w:val="52B007B9"/>
    <w:rsid w:val="52DE4780"/>
    <w:rsid w:val="5349587E"/>
    <w:rsid w:val="535222A8"/>
    <w:rsid w:val="53523E5F"/>
    <w:rsid w:val="53537EE6"/>
    <w:rsid w:val="535A6FF5"/>
    <w:rsid w:val="536535B0"/>
    <w:rsid w:val="536C2606"/>
    <w:rsid w:val="536C7F5A"/>
    <w:rsid w:val="538D6EA3"/>
    <w:rsid w:val="539D1137"/>
    <w:rsid w:val="547524D4"/>
    <w:rsid w:val="548F1F48"/>
    <w:rsid w:val="549128D2"/>
    <w:rsid w:val="54987634"/>
    <w:rsid w:val="54AD25D8"/>
    <w:rsid w:val="54DF6F89"/>
    <w:rsid w:val="55395CDB"/>
    <w:rsid w:val="555C095E"/>
    <w:rsid w:val="55630EE8"/>
    <w:rsid w:val="558C0229"/>
    <w:rsid w:val="55AA2E22"/>
    <w:rsid w:val="55D05DD8"/>
    <w:rsid w:val="55D47F3D"/>
    <w:rsid w:val="55EE4C56"/>
    <w:rsid w:val="55F93D86"/>
    <w:rsid w:val="55FF30A4"/>
    <w:rsid w:val="564E3947"/>
    <w:rsid w:val="566043C2"/>
    <w:rsid w:val="56C27612"/>
    <w:rsid w:val="56CB70FF"/>
    <w:rsid w:val="56D71D17"/>
    <w:rsid w:val="570219CD"/>
    <w:rsid w:val="570E7A86"/>
    <w:rsid w:val="571D6954"/>
    <w:rsid w:val="57212229"/>
    <w:rsid w:val="580F053E"/>
    <w:rsid w:val="58163A93"/>
    <w:rsid w:val="582076D1"/>
    <w:rsid w:val="58290EFA"/>
    <w:rsid w:val="58365C3C"/>
    <w:rsid w:val="583F058A"/>
    <w:rsid w:val="584B1912"/>
    <w:rsid w:val="585F7484"/>
    <w:rsid w:val="58940F7F"/>
    <w:rsid w:val="58D139BD"/>
    <w:rsid w:val="58D7284D"/>
    <w:rsid w:val="58D9352F"/>
    <w:rsid w:val="58DF7A9F"/>
    <w:rsid w:val="58EB2B8B"/>
    <w:rsid w:val="590D7B1C"/>
    <w:rsid w:val="59204C49"/>
    <w:rsid w:val="59421EFC"/>
    <w:rsid w:val="594A3F1C"/>
    <w:rsid w:val="597162CE"/>
    <w:rsid w:val="599562AA"/>
    <w:rsid w:val="59D81EA5"/>
    <w:rsid w:val="59DB40BA"/>
    <w:rsid w:val="59EF2443"/>
    <w:rsid w:val="5A247E2F"/>
    <w:rsid w:val="5A3D5387"/>
    <w:rsid w:val="5A882213"/>
    <w:rsid w:val="5A8F01C0"/>
    <w:rsid w:val="5AE87B63"/>
    <w:rsid w:val="5B023173"/>
    <w:rsid w:val="5B226321"/>
    <w:rsid w:val="5B260E18"/>
    <w:rsid w:val="5B40045B"/>
    <w:rsid w:val="5B8661A7"/>
    <w:rsid w:val="5B9504FC"/>
    <w:rsid w:val="5BE30ECF"/>
    <w:rsid w:val="5C4C5B7C"/>
    <w:rsid w:val="5C9078D6"/>
    <w:rsid w:val="5C915A12"/>
    <w:rsid w:val="5CBE5B3D"/>
    <w:rsid w:val="5CEA2841"/>
    <w:rsid w:val="5CFD493E"/>
    <w:rsid w:val="5D3B49BA"/>
    <w:rsid w:val="5D455277"/>
    <w:rsid w:val="5D67666D"/>
    <w:rsid w:val="5DC44F64"/>
    <w:rsid w:val="5DFB7E08"/>
    <w:rsid w:val="5E05530B"/>
    <w:rsid w:val="5E31427A"/>
    <w:rsid w:val="5E5628C8"/>
    <w:rsid w:val="5E687C70"/>
    <w:rsid w:val="5ED13367"/>
    <w:rsid w:val="5EDF69B5"/>
    <w:rsid w:val="5F0B5F01"/>
    <w:rsid w:val="5F104F86"/>
    <w:rsid w:val="5F6B5569"/>
    <w:rsid w:val="5F852D9D"/>
    <w:rsid w:val="5F9D47EA"/>
    <w:rsid w:val="5FEF6F25"/>
    <w:rsid w:val="60326E5F"/>
    <w:rsid w:val="603441C9"/>
    <w:rsid w:val="60652FDD"/>
    <w:rsid w:val="60752AEC"/>
    <w:rsid w:val="609F6996"/>
    <w:rsid w:val="60AF592A"/>
    <w:rsid w:val="60E3323C"/>
    <w:rsid w:val="60F42840"/>
    <w:rsid w:val="60F92F29"/>
    <w:rsid w:val="611572FC"/>
    <w:rsid w:val="611B396F"/>
    <w:rsid w:val="611D39E1"/>
    <w:rsid w:val="61260F08"/>
    <w:rsid w:val="614F325C"/>
    <w:rsid w:val="61842434"/>
    <w:rsid w:val="61A82AA5"/>
    <w:rsid w:val="61AB3132"/>
    <w:rsid w:val="61AD053C"/>
    <w:rsid w:val="61F94649"/>
    <w:rsid w:val="62122F41"/>
    <w:rsid w:val="62EA3070"/>
    <w:rsid w:val="633157C9"/>
    <w:rsid w:val="635614A3"/>
    <w:rsid w:val="636504FC"/>
    <w:rsid w:val="638F7502"/>
    <w:rsid w:val="63C77A11"/>
    <w:rsid w:val="63D9257E"/>
    <w:rsid w:val="644034C8"/>
    <w:rsid w:val="646C2758"/>
    <w:rsid w:val="64820BA7"/>
    <w:rsid w:val="648C2404"/>
    <w:rsid w:val="649B1A9C"/>
    <w:rsid w:val="649E1F3D"/>
    <w:rsid w:val="650E16D8"/>
    <w:rsid w:val="65282282"/>
    <w:rsid w:val="65451832"/>
    <w:rsid w:val="655E75D3"/>
    <w:rsid w:val="658B443E"/>
    <w:rsid w:val="65BE7397"/>
    <w:rsid w:val="66404D9A"/>
    <w:rsid w:val="66613222"/>
    <w:rsid w:val="6704446D"/>
    <w:rsid w:val="6723438B"/>
    <w:rsid w:val="674A3201"/>
    <w:rsid w:val="674A6A84"/>
    <w:rsid w:val="675F202E"/>
    <w:rsid w:val="67736E2A"/>
    <w:rsid w:val="678F5EF4"/>
    <w:rsid w:val="67D839B8"/>
    <w:rsid w:val="67DD721D"/>
    <w:rsid w:val="6817003C"/>
    <w:rsid w:val="684B0EDA"/>
    <w:rsid w:val="686530B3"/>
    <w:rsid w:val="687A5607"/>
    <w:rsid w:val="68B452AE"/>
    <w:rsid w:val="68BD7BB4"/>
    <w:rsid w:val="68C83A94"/>
    <w:rsid w:val="68F14D31"/>
    <w:rsid w:val="690E1BE8"/>
    <w:rsid w:val="69100251"/>
    <w:rsid w:val="69166546"/>
    <w:rsid w:val="693F1041"/>
    <w:rsid w:val="697C4FC2"/>
    <w:rsid w:val="698605AD"/>
    <w:rsid w:val="69DE22C1"/>
    <w:rsid w:val="6A3916D5"/>
    <w:rsid w:val="6A741F20"/>
    <w:rsid w:val="6ACA20A2"/>
    <w:rsid w:val="6ADC6960"/>
    <w:rsid w:val="6AF51A88"/>
    <w:rsid w:val="6B030D9E"/>
    <w:rsid w:val="6B1E33D8"/>
    <w:rsid w:val="6B340495"/>
    <w:rsid w:val="6B8109A8"/>
    <w:rsid w:val="6B8A6D77"/>
    <w:rsid w:val="6B953D30"/>
    <w:rsid w:val="6BAC7F32"/>
    <w:rsid w:val="6BC6435F"/>
    <w:rsid w:val="6BF65984"/>
    <w:rsid w:val="6C1C795C"/>
    <w:rsid w:val="6C324BCE"/>
    <w:rsid w:val="6C5630FD"/>
    <w:rsid w:val="6C755963"/>
    <w:rsid w:val="6CEE510C"/>
    <w:rsid w:val="6CF5179E"/>
    <w:rsid w:val="6D105AC9"/>
    <w:rsid w:val="6D22312D"/>
    <w:rsid w:val="6D2A61A5"/>
    <w:rsid w:val="6D3D7057"/>
    <w:rsid w:val="6D8A67CF"/>
    <w:rsid w:val="6D8D1A6E"/>
    <w:rsid w:val="6DA1296C"/>
    <w:rsid w:val="6DB66751"/>
    <w:rsid w:val="6DFB21AE"/>
    <w:rsid w:val="6E5974AE"/>
    <w:rsid w:val="6E5B0F9F"/>
    <w:rsid w:val="6E855E99"/>
    <w:rsid w:val="6EBF2845"/>
    <w:rsid w:val="6ECE7D0E"/>
    <w:rsid w:val="6EE05578"/>
    <w:rsid w:val="6F5F3BC6"/>
    <w:rsid w:val="6F60409D"/>
    <w:rsid w:val="6F997143"/>
    <w:rsid w:val="6F9B53EA"/>
    <w:rsid w:val="6FA26D48"/>
    <w:rsid w:val="6FCB0CF7"/>
    <w:rsid w:val="6FCF38F2"/>
    <w:rsid w:val="6FD36103"/>
    <w:rsid w:val="6FD95705"/>
    <w:rsid w:val="6FE3409F"/>
    <w:rsid w:val="6FE63CCB"/>
    <w:rsid w:val="70344EA3"/>
    <w:rsid w:val="704476BC"/>
    <w:rsid w:val="707639A3"/>
    <w:rsid w:val="708A7EDF"/>
    <w:rsid w:val="70B34FC2"/>
    <w:rsid w:val="71072C7D"/>
    <w:rsid w:val="71545F2A"/>
    <w:rsid w:val="71645595"/>
    <w:rsid w:val="717460EB"/>
    <w:rsid w:val="717C24DF"/>
    <w:rsid w:val="71871466"/>
    <w:rsid w:val="718B0A0E"/>
    <w:rsid w:val="71E92C74"/>
    <w:rsid w:val="722647FD"/>
    <w:rsid w:val="7259262A"/>
    <w:rsid w:val="72C94A75"/>
    <w:rsid w:val="72CA4E60"/>
    <w:rsid w:val="72E16587"/>
    <w:rsid w:val="73031A98"/>
    <w:rsid w:val="731C5B7F"/>
    <w:rsid w:val="732C59B5"/>
    <w:rsid w:val="73335F21"/>
    <w:rsid w:val="733A3E96"/>
    <w:rsid w:val="73700F48"/>
    <w:rsid w:val="737A1A3B"/>
    <w:rsid w:val="73A711B1"/>
    <w:rsid w:val="73CE424F"/>
    <w:rsid w:val="740B6EE0"/>
    <w:rsid w:val="740D003F"/>
    <w:rsid w:val="74151740"/>
    <w:rsid w:val="743835BC"/>
    <w:rsid w:val="74496DCB"/>
    <w:rsid w:val="74995C45"/>
    <w:rsid w:val="74B76A9D"/>
    <w:rsid w:val="74BC0510"/>
    <w:rsid w:val="74E90FA5"/>
    <w:rsid w:val="754B4253"/>
    <w:rsid w:val="75D72323"/>
    <w:rsid w:val="75DB4D9F"/>
    <w:rsid w:val="75DC7FB0"/>
    <w:rsid w:val="760951B9"/>
    <w:rsid w:val="761C23D7"/>
    <w:rsid w:val="762D259F"/>
    <w:rsid w:val="76600B2B"/>
    <w:rsid w:val="76815DD3"/>
    <w:rsid w:val="76875B4E"/>
    <w:rsid w:val="76D713FF"/>
    <w:rsid w:val="77287C33"/>
    <w:rsid w:val="77296E1D"/>
    <w:rsid w:val="77445FBB"/>
    <w:rsid w:val="77651D73"/>
    <w:rsid w:val="776C62C3"/>
    <w:rsid w:val="778D3B0D"/>
    <w:rsid w:val="77C93227"/>
    <w:rsid w:val="77D01FB6"/>
    <w:rsid w:val="77EA18BC"/>
    <w:rsid w:val="781D3F22"/>
    <w:rsid w:val="78280044"/>
    <w:rsid w:val="784B7FA5"/>
    <w:rsid w:val="78C16034"/>
    <w:rsid w:val="78CE0040"/>
    <w:rsid w:val="78D054EE"/>
    <w:rsid w:val="78E020C8"/>
    <w:rsid w:val="79395171"/>
    <w:rsid w:val="79B07E25"/>
    <w:rsid w:val="79F4325F"/>
    <w:rsid w:val="7A2C6D09"/>
    <w:rsid w:val="7A66367C"/>
    <w:rsid w:val="7A8B53F2"/>
    <w:rsid w:val="7A970930"/>
    <w:rsid w:val="7B6A53AF"/>
    <w:rsid w:val="7BA61E80"/>
    <w:rsid w:val="7BCB0F1E"/>
    <w:rsid w:val="7BD0027A"/>
    <w:rsid w:val="7BD03592"/>
    <w:rsid w:val="7BDD6609"/>
    <w:rsid w:val="7BF93FF3"/>
    <w:rsid w:val="7C0844D7"/>
    <w:rsid w:val="7C276AE9"/>
    <w:rsid w:val="7C4405BE"/>
    <w:rsid w:val="7C947593"/>
    <w:rsid w:val="7D2D4BBF"/>
    <w:rsid w:val="7D344725"/>
    <w:rsid w:val="7D377109"/>
    <w:rsid w:val="7D5B6FBC"/>
    <w:rsid w:val="7D6A5E50"/>
    <w:rsid w:val="7D920553"/>
    <w:rsid w:val="7D9777DE"/>
    <w:rsid w:val="7DB7596B"/>
    <w:rsid w:val="7DC50AE8"/>
    <w:rsid w:val="7DE34815"/>
    <w:rsid w:val="7E185864"/>
    <w:rsid w:val="7E2D7EC0"/>
    <w:rsid w:val="7E805998"/>
    <w:rsid w:val="7F1205F3"/>
    <w:rsid w:val="7F1B445E"/>
    <w:rsid w:val="7F215141"/>
    <w:rsid w:val="7F387468"/>
    <w:rsid w:val="7F5275D4"/>
    <w:rsid w:val="7F771697"/>
    <w:rsid w:val="7FCC7507"/>
    <w:rsid w:val="7FDA45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qFormat="1" w:unhideWhenUsed="0" w:uiPriority="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120" w:beforeLines="0" w:beforeAutospacing="0" w:after="120" w:afterLines="0" w:afterAutospacing="0" w:line="240" w:lineRule="auto"/>
      <w:ind w:firstLine="0" w:firstLineChars="0"/>
      <w:jc w:val="center"/>
      <w:outlineLvl w:val="0"/>
    </w:pPr>
    <w:rPr>
      <w:rFonts w:ascii="Times New Roman" w:hAnsi="Times New Roman"/>
      <w:b/>
      <w:kern w:val="44"/>
      <w:sz w:val="44"/>
    </w:rPr>
  </w:style>
  <w:style w:type="paragraph" w:styleId="3">
    <w:name w:val="heading 2"/>
    <w:basedOn w:val="1"/>
    <w:next w:val="4"/>
    <w:link w:val="37"/>
    <w:semiHidden/>
    <w:unhideWhenUsed/>
    <w:qFormat/>
    <w:uiPriority w:val="0"/>
    <w:pPr>
      <w:spacing w:before="0" w:beforeAutospacing="0" w:after="0" w:afterAutospacing="0"/>
      <w:ind w:firstLine="0" w:firstLineChars="0"/>
      <w:jc w:val="left"/>
      <w:outlineLvl w:val="1"/>
    </w:pPr>
    <w:rPr>
      <w:rFonts w:hint="eastAsia" w:ascii="宋体" w:hAnsi="宋体" w:cs="宋体"/>
      <w:b/>
      <w:bCs/>
      <w:kern w:val="0"/>
      <w:sz w:val="36"/>
      <w:szCs w:val="36"/>
      <w:lang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keepNext/>
      <w:keepLines/>
      <w:spacing w:beforeLines="0" w:beforeAutospacing="0" w:afterLines="0" w:afterAutospacing="0" w:line="240" w:lineRule="auto"/>
      <w:ind w:firstLine="0" w:firstLineChars="0"/>
      <w:jc w:val="center"/>
      <w:outlineLvl w:val="3"/>
    </w:pPr>
    <w:rPr>
      <w:rFonts w:ascii="Times New Roman" w:hAnsi="Times New Roman"/>
      <w:b/>
      <w:sz w:val="32"/>
    </w:rPr>
  </w:style>
  <w:style w:type="character" w:default="1" w:styleId="33">
    <w:name w:val="Default Paragraph Font"/>
    <w:semiHidden/>
    <w:qFormat/>
    <w:uiPriority w:val="0"/>
  </w:style>
  <w:style w:type="table" w:default="1" w:styleId="31">
    <w:name w:val="Normal Table"/>
    <w:semiHidden/>
    <w:qFormat/>
    <w:uiPriority w:val="0"/>
    <w:tblPr>
      <w:tblCellMar>
        <w:top w:w="0" w:type="dxa"/>
        <w:left w:w="108" w:type="dxa"/>
        <w:bottom w:w="0" w:type="dxa"/>
        <w:right w:w="108" w:type="dxa"/>
      </w:tblCellMar>
    </w:tblPr>
  </w:style>
  <w:style w:type="paragraph" w:styleId="6">
    <w:name w:val="E-mail Signature"/>
    <w:basedOn w:val="1"/>
    <w:next w:val="7"/>
    <w:qFormat/>
    <w:uiPriority w:val="0"/>
    <w:pPr>
      <w:spacing w:line="460" w:lineRule="exact"/>
      <w:ind w:firstLine="200"/>
    </w:pPr>
    <w:rPr>
      <w:rFonts w:ascii="Times New Roman" w:hAnsi="Times New Roman" w:eastAsia="宋体" w:cs="Times New Roman"/>
      <w:sz w:val="24"/>
    </w:rPr>
  </w:style>
  <w:style w:type="paragraph" w:customStyle="1" w:styleId="7">
    <w:name w:val="文章"/>
    <w:basedOn w:val="1"/>
    <w:next w:val="8"/>
    <w:qFormat/>
    <w:uiPriority w:val="0"/>
    <w:pPr>
      <w:widowControl/>
      <w:ind w:firstLine="480"/>
      <w:jc w:val="center"/>
    </w:pPr>
    <w:rPr>
      <w:rFonts w:ascii="Times New Roman" w:hAnsi="Times New Roman" w:eastAsia="宋体" w:cs="Times New Roman"/>
      <w:sz w:val="26"/>
    </w:rPr>
  </w:style>
  <w:style w:type="paragraph" w:styleId="8">
    <w:name w:val="List"/>
    <w:basedOn w:val="1"/>
    <w:next w:val="9"/>
    <w:qFormat/>
    <w:uiPriority w:val="0"/>
    <w:pPr>
      <w:widowControl/>
      <w:spacing w:line="425" w:lineRule="atLeast"/>
      <w:ind w:left="200" w:hanging="200" w:hangingChars="200"/>
      <w:textAlignment w:val="baseline"/>
    </w:pPr>
    <w:rPr>
      <w:rFonts w:ascii="Calibri" w:hAnsi="Calibri" w:eastAsia="宋体" w:cs="Times New Roman"/>
      <w:color w:val="000000"/>
      <w:kern w:val="0"/>
      <w:u w:val="none" w:color="000000"/>
    </w:rPr>
  </w:style>
  <w:style w:type="paragraph" w:styleId="9">
    <w:name w:val="List Bullet 2"/>
    <w:basedOn w:val="1"/>
    <w:next w:val="10"/>
    <w:qFormat/>
    <w:uiPriority w:val="0"/>
    <w:pPr>
      <w:numPr>
        <w:ilvl w:val="0"/>
        <w:numId w:val="1"/>
      </w:numPr>
    </w:pPr>
  </w:style>
  <w:style w:type="paragraph" w:customStyle="1" w:styleId="10">
    <w:name w:val="xl70"/>
    <w:basedOn w:val="1"/>
    <w:next w:val="1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11">
    <w:name w:val="正文缩进1"/>
    <w:basedOn w:val="1"/>
    <w:next w:val="12"/>
    <w:qFormat/>
    <w:uiPriority w:val="0"/>
    <w:pPr>
      <w:ind w:firstLine="420"/>
    </w:pPr>
    <w:rPr>
      <w:rFonts w:ascii="Times New Roman" w:hAnsi="Times New Roman" w:eastAsia="宋体" w:cs="Times New Roman"/>
    </w:rPr>
  </w:style>
  <w:style w:type="paragraph" w:customStyle="1" w:styleId="12">
    <w:name w:val="td1"/>
    <w:basedOn w:val="1"/>
    <w:next w:val="1"/>
    <w:qFormat/>
    <w:uiPriority w:val="0"/>
    <w:pPr>
      <w:widowControl/>
      <w:spacing w:before="280" w:after="280" w:line="300" w:lineRule="atLeast"/>
      <w:ind w:firstLine="200"/>
    </w:pPr>
    <w:rPr>
      <w:rFonts w:ascii="Times New Roman" w:hAnsi="Times New Roman" w:eastAsia="宋体" w:cs="Times New Roman"/>
      <w:color w:val="000000"/>
      <w:sz w:val="18"/>
    </w:rPr>
  </w:style>
  <w:style w:type="paragraph" w:styleId="13">
    <w:name w:val="Normal Indent"/>
    <w:basedOn w:val="1"/>
    <w:next w:val="1"/>
    <w:qFormat/>
    <w:uiPriority w:val="0"/>
    <w:pPr>
      <w:ind w:firstLine="420" w:firstLineChars="200"/>
    </w:pPr>
    <w:rPr>
      <w:szCs w:val="20"/>
    </w:rPr>
  </w:style>
  <w:style w:type="paragraph" w:styleId="14">
    <w:name w:val="caption"/>
    <w:basedOn w:val="1"/>
    <w:next w:val="1"/>
    <w:qFormat/>
    <w:uiPriority w:val="35"/>
    <w:pPr>
      <w:jc w:val="center"/>
    </w:pPr>
    <w:rPr>
      <w:rFonts w:ascii="Times New Roman" w:hAnsi="Times New Roman" w:eastAsia="黑体"/>
      <w:kern w:val="0"/>
      <w:sz w:val="24"/>
      <w:szCs w:val="20"/>
      <w:lang w:val="zh-CN"/>
    </w:rPr>
  </w:style>
  <w:style w:type="paragraph" w:styleId="15">
    <w:name w:val="Body Text"/>
    <w:basedOn w:val="1"/>
    <w:qFormat/>
    <w:uiPriority w:val="0"/>
    <w:pPr>
      <w:widowControl/>
      <w:snapToGrid w:val="0"/>
      <w:spacing w:before="60" w:after="160" w:line="259" w:lineRule="auto"/>
      <w:ind w:right="113"/>
    </w:pPr>
    <w:rPr>
      <w:kern w:val="0"/>
      <w:sz w:val="18"/>
      <w:szCs w:val="20"/>
    </w:rPr>
  </w:style>
  <w:style w:type="paragraph" w:styleId="16">
    <w:name w:val="Body Text Indent"/>
    <w:basedOn w:val="1"/>
    <w:next w:val="17"/>
    <w:qFormat/>
    <w:uiPriority w:val="0"/>
    <w:pPr>
      <w:spacing w:after="120"/>
      <w:ind w:left="420" w:leftChars="200"/>
    </w:pPr>
    <w:rPr>
      <w:kern w:val="0"/>
      <w:sz w:val="24"/>
      <w:szCs w:val="20"/>
    </w:rPr>
  </w:style>
  <w:style w:type="paragraph" w:customStyle="1" w:styleId="17">
    <w:name w:val="样式 正文文本缩进 + 行距: 1.5 倍行距"/>
    <w:basedOn w:val="16"/>
    <w:qFormat/>
    <w:uiPriority w:val="0"/>
    <w:pPr>
      <w:ind w:left="90" w:leftChars="32" w:firstLine="560"/>
    </w:pPr>
    <w:rPr>
      <w:rFonts w:cs="宋体"/>
    </w:rPr>
  </w:style>
  <w:style w:type="paragraph" w:styleId="18">
    <w:name w:val="Block Text"/>
    <w:basedOn w:val="1"/>
    <w:qFormat/>
    <w:uiPriority w:val="0"/>
    <w:pPr>
      <w:adjustRightInd w:val="0"/>
      <w:snapToGrid w:val="0"/>
      <w:spacing w:line="500" w:lineRule="exact"/>
      <w:ind w:left="147" w:leftChars="70" w:right="160" w:rightChars="76" w:firstLine="480" w:firstLineChars="200"/>
    </w:pPr>
    <w:rPr>
      <w:rFonts w:ascii="宋体" w:hAnsi="宋体"/>
    </w:rPr>
  </w:style>
  <w:style w:type="paragraph" w:styleId="19">
    <w:name w:val="Plain Text"/>
    <w:basedOn w:val="1"/>
    <w:next w:val="1"/>
    <w:qFormat/>
    <w:uiPriority w:val="0"/>
    <w:rPr>
      <w:rFonts w:ascii="宋体" w:hAnsi="Courier New"/>
    </w:rPr>
  </w:style>
  <w:style w:type="paragraph" w:styleId="20">
    <w:name w:val="Body Text Indent 2"/>
    <w:basedOn w:val="1"/>
    <w:next w:val="1"/>
    <w:qFormat/>
    <w:uiPriority w:val="0"/>
    <w:pPr>
      <w:ind w:firstLine="720" w:firstLineChars="225"/>
    </w:pPr>
    <w:rPr>
      <w:rFonts w:ascii="华文仿宋" w:hAnsi="华文仿宋" w:eastAsia="华文仿宋"/>
      <w:sz w:val="32"/>
    </w:rPr>
  </w:style>
  <w:style w:type="paragraph" w:styleId="21">
    <w:name w:val="footer"/>
    <w:basedOn w:val="1"/>
    <w:qFormat/>
    <w:uiPriority w:val="99"/>
    <w:pPr>
      <w:tabs>
        <w:tab w:val="center" w:pos="4153"/>
        <w:tab w:val="right" w:pos="8306"/>
      </w:tabs>
      <w:snapToGrid w:val="0"/>
      <w:jc w:val="left"/>
    </w:pPr>
    <w:rPr>
      <w:kern w:val="0"/>
      <w:sz w:val="18"/>
      <w:szCs w:val="20"/>
    </w:rPr>
  </w:style>
  <w:style w:type="paragraph" w:styleId="2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0"/>
  </w:style>
  <w:style w:type="paragraph" w:styleId="24">
    <w:name w:val="index heading"/>
    <w:basedOn w:val="1"/>
    <w:next w:val="25"/>
    <w:semiHidden/>
    <w:qFormat/>
    <w:uiPriority w:val="0"/>
    <w:rPr>
      <w:rFonts w:ascii="Arial" w:hAnsi="Arial" w:cs="Arial"/>
      <w:b/>
      <w:bCs/>
    </w:rPr>
  </w:style>
  <w:style w:type="paragraph" w:styleId="25">
    <w:name w:val="index 1"/>
    <w:basedOn w:val="1"/>
    <w:next w:val="1"/>
    <w:qFormat/>
    <w:uiPriority w:val="0"/>
    <w:pPr>
      <w:spacing w:line="240" w:lineRule="exact"/>
      <w:jc w:val="center"/>
    </w:pPr>
    <w:rPr>
      <w:sz w:val="21"/>
    </w:rPr>
  </w:style>
  <w:style w:type="paragraph" w:styleId="26">
    <w:name w:val="Body Text Indent 3"/>
    <w:basedOn w:val="1"/>
    <w:qFormat/>
    <w:uiPriority w:val="0"/>
    <w:pPr>
      <w:spacing w:after="120"/>
      <w:ind w:left="420" w:leftChars="200"/>
    </w:pPr>
    <w:rPr>
      <w:rFonts w:eastAsia="仿宋"/>
      <w:sz w:val="16"/>
      <w:szCs w:val="16"/>
    </w:rPr>
  </w:style>
  <w:style w:type="paragraph" w:styleId="27">
    <w:name w:val="toc 2"/>
    <w:basedOn w:val="1"/>
    <w:next w:val="6"/>
    <w:qFormat/>
    <w:uiPriority w:val="0"/>
    <w:pPr>
      <w:ind w:left="420" w:leftChars="200"/>
    </w:pPr>
  </w:style>
  <w:style w:type="paragraph" w:styleId="28">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29">
    <w:name w:val="Body Text First Indent"/>
    <w:basedOn w:val="1"/>
    <w:qFormat/>
    <w:uiPriority w:val="99"/>
    <w:pPr>
      <w:spacing w:after="120"/>
      <w:ind w:firstLine="420" w:firstLineChars="100"/>
    </w:pPr>
    <w:rPr>
      <w:sz w:val="21"/>
    </w:rPr>
  </w:style>
  <w:style w:type="paragraph" w:styleId="30">
    <w:name w:val="Body Text First Indent 2"/>
    <w:basedOn w:val="1"/>
    <w:next w:val="1"/>
    <w:qFormat/>
    <w:uiPriority w:val="0"/>
    <w:pPr>
      <w:spacing w:after="120"/>
      <w:ind w:left="420" w:leftChars="200" w:firstLine="420" w:firstLineChars="200"/>
    </w:pPr>
    <w:rPr>
      <w:sz w:val="21"/>
    </w:rPr>
  </w:style>
  <w:style w:type="table" w:styleId="32">
    <w:name w:val="Table Grid"/>
    <w:basedOn w:val="31"/>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basedOn w:val="33"/>
    <w:qFormat/>
    <w:uiPriority w:val="0"/>
    <w:rPr>
      <w:b/>
    </w:rPr>
  </w:style>
  <w:style w:type="character" w:styleId="35">
    <w:name w:val="page number"/>
    <w:basedOn w:val="33"/>
    <w:qFormat/>
    <w:uiPriority w:val="0"/>
  </w:style>
  <w:style w:type="character" w:styleId="36">
    <w:name w:val="Hyperlink"/>
    <w:basedOn w:val="33"/>
    <w:qFormat/>
    <w:uiPriority w:val="0"/>
    <w:rPr>
      <w:color w:val="0000FF"/>
      <w:u w:val="single"/>
    </w:rPr>
  </w:style>
  <w:style w:type="character" w:customStyle="1" w:styleId="37">
    <w:name w:val="标题 2 Char"/>
    <w:link w:val="3"/>
    <w:qFormat/>
    <w:uiPriority w:val="0"/>
    <w:rPr>
      <w:rFonts w:ascii="宋体" w:hAnsi="宋体" w:eastAsia="仿宋" w:cs="宋体"/>
      <w:b/>
      <w:sz w:val="28"/>
      <w:szCs w:val="28"/>
    </w:rPr>
  </w:style>
  <w:style w:type="paragraph" w:customStyle="1" w:styleId="38">
    <w:name w:val="表格内容正文"/>
    <w:basedOn w:val="1"/>
    <w:qFormat/>
    <w:uiPriority w:val="0"/>
    <w:pPr>
      <w:spacing w:line="240" w:lineRule="auto"/>
      <w:ind w:firstLine="0" w:firstLineChars="0"/>
      <w:jc w:val="center"/>
    </w:pPr>
    <w:rPr>
      <w:color w:val="000000" w:themeColor="text1"/>
      <w:sz w:val="24"/>
      <w14:textFill>
        <w14:solidFill>
          <w14:schemeClr w14:val="tx1"/>
        </w14:solidFill>
      </w14:textFill>
    </w:rPr>
  </w:style>
  <w:style w:type="paragraph" w:customStyle="1" w:styleId="39">
    <w:name w:val="Default"/>
    <w:basedOn w:val="40"/>
    <w:next w:val="41"/>
    <w:unhideWhenUsed/>
    <w:qFormat/>
    <w:uiPriority w:val="99"/>
    <w:pPr>
      <w:widowControl w:val="0"/>
      <w:autoSpaceDE w:val="0"/>
      <w:autoSpaceDN w:val="0"/>
      <w:adjustRightInd w:val="0"/>
    </w:pPr>
    <w:rPr>
      <w:rFonts w:ascii="宋体" w:hAnsi="宋体" w:eastAsia="宋体" w:cs="Times New Roman"/>
      <w:color w:val="000000"/>
      <w:sz w:val="24"/>
      <w:szCs w:val="22"/>
      <w:lang w:val="en-US" w:eastAsia="zh-CN" w:bidi="ar-SA"/>
    </w:rPr>
  </w:style>
  <w:style w:type="paragraph" w:customStyle="1" w:styleId="40">
    <w:name w:val="纯文本1"/>
    <w:basedOn w:val="1"/>
    <w:qFormat/>
    <w:uiPriority w:val="0"/>
    <w:pPr>
      <w:adjustRightInd w:val="0"/>
    </w:pPr>
    <w:rPr>
      <w:rFonts w:ascii="宋体" w:hAnsi="Courier New"/>
    </w:rPr>
  </w:style>
  <w:style w:type="paragraph" w:customStyle="1" w:styleId="41">
    <w:name w:val="样式1"/>
    <w:basedOn w:val="24"/>
    <w:next w:val="18"/>
    <w:qFormat/>
    <w:uiPriority w:val="0"/>
    <w:pPr>
      <w:spacing w:line="288" w:lineRule="auto"/>
      <w:ind w:firstLine="480" w:firstLineChars="200"/>
    </w:pPr>
    <w:rPr>
      <w:rFonts w:ascii="宋体" w:hAnsi="宋体"/>
      <w:szCs w:val="20"/>
    </w:rPr>
  </w:style>
  <w:style w:type="paragraph" w:customStyle="1" w:styleId="42">
    <w:name w:val="Table Paragraph"/>
    <w:basedOn w:val="1"/>
    <w:qFormat/>
    <w:uiPriority w:val="1"/>
    <w:rPr>
      <w:rFonts w:ascii="宋体" w:hAnsi="宋体" w:eastAsia="宋体" w:cs="宋体"/>
      <w:lang w:val="zh-CN" w:eastAsia="zh-CN" w:bidi="zh-CN"/>
    </w:rPr>
  </w:style>
  <w:style w:type="paragraph" w:customStyle="1" w:styleId="43">
    <w:name w:val="样式35"/>
    <w:basedOn w:val="1"/>
    <w:next w:val="44"/>
    <w:qFormat/>
    <w:uiPriority w:val="0"/>
    <w:pPr>
      <w:spacing w:line="312" w:lineRule="auto"/>
      <w:ind w:firstLine="567"/>
    </w:pPr>
    <w:rPr>
      <w:rFonts w:ascii="宋体"/>
    </w:rPr>
  </w:style>
  <w:style w:type="paragraph" w:customStyle="1" w:styleId="44">
    <w:name w:val="font6"/>
    <w:basedOn w:val="1"/>
    <w:next w:val="27"/>
    <w:qFormat/>
    <w:uiPriority w:val="0"/>
    <w:pPr>
      <w:widowControl/>
      <w:spacing w:before="100" w:beforeAutospacing="1" w:after="100" w:afterAutospacing="1"/>
      <w:jc w:val="left"/>
    </w:pPr>
    <w:rPr>
      <w:rFonts w:ascii="宋体" w:hAnsi="宋体" w:cs="宋体"/>
      <w:kern w:val="0"/>
      <w:sz w:val="20"/>
    </w:rPr>
  </w:style>
  <w:style w:type="paragraph" w:customStyle="1" w:styleId="45">
    <w:name w:val="正文（缩进）"/>
    <w:basedOn w:val="1"/>
    <w:next w:val="1"/>
    <w:semiHidden/>
    <w:qFormat/>
    <w:uiPriority w:val="0"/>
    <w:pPr>
      <w:widowControl/>
      <w:adjustRightInd w:val="0"/>
      <w:snapToGrid w:val="0"/>
      <w:spacing w:line="360" w:lineRule="auto"/>
      <w:ind w:firstLine="200" w:firstLineChars="200"/>
      <w:jc w:val="left"/>
    </w:pPr>
    <w:rPr>
      <w:snapToGrid w:val="0"/>
      <w:kern w:val="0"/>
      <w:sz w:val="24"/>
    </w:rPr>
  </w:style>
  <w:style w:type="paragraph" w:customStyle="1" w:styleId="46">
    <w:name w:val="表格内容"/>
    <w:basedOn w:val="19"/>
    <w:qFormat/>
    <w:uiPriority w:val="0"/>
    <w:pPr>
      <w:spacing w:line="240" w:lineRule="auto"/>
      <w:ind w:firstLine="0" w:firstLineChars="0"/>
      <w:jc w:val="center"/>
    </w:pPr>
    <w:rPr>
      <w:b/>
    </w:rPr>
  </w:style>
  <w:style w:type="paragraph" w:customStyle="1" w:styleId="47">
    <w:name w:val="lh-表题--报告表"/>
    <w:basedOn w:val="1"/>
    <w:qFormat/>
    <w:uiPriority w:val="0"/>
    <w:pPr>
      <w:keepNext/>
      <w:widowControl/>
      <w:numPr>
        <w:ilvl w:val="0"/>
        <w:numId w:val="2"/>
      </w:numPr>
      <w:spacing w:before="50" w:beforeLines="50" w:line="240" w:lineRule="auto"/>
      <w:jc w:val="center"/>
    </w:pPr>
    <w:rPr>
      <w:snapToGrid w:val="0"/>
      <w:kern w:val="0"/>
      <w:szCs w:val="21"/>
    </w:rPr>
  </w:style>
  <w:style w:type="table" w:customStyle="1" w:styleId="48">
    <w:name w:val="Table Normal"/>
    <w:unhideWhenUsed/>
    <w:qFormat/>
    <w:uiPriority w:val="0"/>
    <w:tblPr>
      <w:tblCellMar>
        <w:top w:w="0" w:type="dxa"/>
        <w:left w:w="0" w:type="dxa"/>
        <w:bottom w:w="0" w:type="dxa"/>
        <w:right w:w="0" w:type="dxa"/>
      </w:tblCellMar>
    </w:tblPr>
  </w:style>
  <w:style w:type="paragraph" w:customStyle="1" w:styleId="49">
    <w:name w:val="正文 32"/>
    <w:basedOn w:val="1"/>
    <w:qFormat/>
    <w:uiPriority w:val="0"/>
    <w:pPr>
      <w:autoSpaceDE w:val="0"/>
      <w:autoSpaceDN w:val="0"/>
      <w:adjustRightInd w:val="0"/>
      <w:spacing w:line="300" w:lineRule="auto"/>
      <w:ind w:firstLine="567"/>
    </w:pPr>
    <w:rPr>
      <w:rFonts w:eastAsia="楷体_GB2312"/>
      <w:kern w:val="0"/>
      <w:sz w:val="24"/>
    </w:rPr>
  </w:style>
  <w:style w:type="paragraph" w:customStyle="1" w:styleId="50">
    <w:name w:val="图表标题"/>
    <w:basedOn w:val="51"/>
    <w:next w:val="1"/>
    <w:qFormat/>
    <w:uiPriority w:val="0"/>
    <w:pPr>
      <w:spacing w:before="120" w:after="120"/>
      <w:jc w:val="center"/>
    </w:pPr>
    <w:rPr>
      <w:b/>
      <w:sz w:val="21"/>
      <w:szCs w:val="24"/>
    </w:rPr>
  </w:style>
  <w:style w:type="paragraph" w:customStyle="1" w:styleId="51">
    <w:name w:val="表-正文"/>
    <w:basedOn w:val="1"/>
    <w:qFormat/>
    <w:uiPriority w:val="0"/>
  </w:style>
  <w:style w:type="paragraph" w:customStyle="1" w:styleId="52">
    <w:name w:val="lh-表格文字-报告表"/>
    <w:basedOn w:val="1"/>
    <w:qFormat/>
    <w:uiPriority w:val="0"/>
    <w:pPr>
      <w:jc w:val="center"/>
    </w:pPr>
    <w:rPr>
      <w:rFonts w:ascii="Times New Roman" w:hAnsi="Times New Roman" w:eastAsia="宋体"/>
      <w:kern w:val="0"/>
    </w:rPr>
  </w:style>
  <w:style w:type="paragraph" w:customStyle="1" w:styleId="53">
    <w:name w:val="段落"/>
    <w:basedOn w:val="1"/>
    <w:qFormat/>
    <w:uiPriority w:val="0"/>
    <w:pPr>
      <w:tabs>
        <w:tab w:val="left" w:pos="1021"/>
      </w:tabs>
      <w:adjustRightInd w:val="0"/>
      <w:snapToGrid w:val="0"/>
      <w:spacing w:line="360" w:lineRule="auto"/>
    </w:pPr>
    <w:rPr>
      <w:rFonts w:ascii="宋体" w:hAnsi="宋体"/>
      <w:sz w:val="24"/>
    </w:rPr>
  </w:style>
  <w:style w:type="paragraph" w:customStyle="1" w:styleId="54">
    <w:name w:val="默认段落字体 Para Char Char Char Char Char Char Char"/>
    <w:basedOn w:val="1"/>
    <w:qFormat/>
    <w:uiPriority w:val="0"/>
    <w:rPr>
      <w:rFonts w:ascii="Calibri" w:hAnsi="Calibri"/>
      <w:szCs w:val="22"/>
    </w:rPr>
  </w:style>
  <w:style w:type="character" w:customStyle="1" w:styleId="55">
    <w:name w:val="标题 6 字符3"/>
    <w:qFormat/>
    <w:uiPriority w:val="99"/>
    <w:rPr>
      <w:rFonts w:ascii="Arial" w:hAnsi="Arial"/>
      <w:b/>
      <w:kern w:val="20"/>
      <w:sz w:val="24"/>
    </w:rPr>
  </w:style>
  <w:style w:type="paragraph" w:customStyle="1" w:styleId="56">
    <w:name w:val="表 图 内容"/>
    <w:basedOn w:val="57"/>
    <w:qFormat/>
    <w:uiPriority w:val="0"/>
    <w:pPr>
      <w:jc w:val="center"/>
    </w:pPr>
    <w:rPr>
      <w:color w:val="000000"/>
      <w:sz w:val="21"/>
    </w:rPr>
  </w:style>
  <w:style w:type="paragraph" w:customStyle="1" w:styleId="57">
    <w:name w:val="正  文"/>
    <w:basedOn w:val="1"/>
    <w:qFormat/>
    <w:uiPriority w:val="0"/>
    <w:pPr>
      <w:spacing w:line="360" w:lineRule="auto"/>
      <w:ind w:firstLine="560" w:firstLineChars="200"/>
    </w:pPr>
    <w:rPr>
      <w:rFonts w:eastAsia="仿宋_GB2312"/>
      <w:sz w:val="28"/>
      <w:szCs w:val="28"/>
    </w:rPr>
  </w:style>
  <w:style w:type="paragraph" w:customStyle="1" w:styleId="58">
    <w:name w:val="S表正文"/>
    <w:qFormat/>
    <w:uiPriority w:val="0"/>
    <w:pPr>
      <w:jc w:val="center"/>
    </w:pPr>
    <w:rPr>
      <w:rFonts w:ascii="Calibri" w:hAnsi="Calibri" w:eastAsia="宋体" w:cs="Times New Roman"/>
      <w:kern w:val="2"/>
      <w:sz w:val="21"/>
      <w:szCs w:val="32"/>
      <w:lang w:val="en-US" w:eastAsia="zh-CN" w:bidi="ar-SA"/>
    </w:rPr>
  </w:style>
  <w:style w:type="paragraph" w:styleId="59">
    <w:name w:val="List Paragraph"/>
    <w:basedOn w:val="1"/>
    <w:qFormat/>
    <w:uiPriority w:val="1"/>
    <w:pPr>
      <w:spacing w:before="160"/>
      <w:ind w:left="1701" w:hanging="601"/>
    </w:pPr>
    <w:rPr>
      <w:rFonts w:ascii="宋体" w:hAnsi="宋体" w:eastAsia="宋体" w:cs="宋体"/>
      <w:lang w:val="zh-CN" w:eastAsia="zh-CN" w:bidi="zh-CN"/>
    </w:rPr>
  </w:style>
  <w:style w:type="paragraph" w:customStyle="1" w:styleId="60">
    <w:name w:val="表 图 表头"/>
    <w:qFormat/>
    <w:uiPriority w:val="0"/>
    <w:pPr>
      <w:spacing w:line="480" w:lineRule="exact"/>
      <w:jc w:val="center"/>
    </w:pPr>
    <w:rPr>
      <w:rFonts w:ascii="Times New Roman" w:hAnsi="Times New Roman" w:eastAsia="宋体" w:cs="Times New Roman"/>
      <w:b/>
      <w:kern w:val="2"/>
      <w:sz w:val="24"/>
      <w:lang w:val="en-US" w:eastAsia="zh-CN" w:bidi="ar-SA"/>
    </w:rPr>
  </w:style>
  <w:style w:type="paragraph" w:customStyle="1" w:styleId="61">
    <w:name w:val="正文1"/>
    <w:basedOn w:val="1"/>
    <w:qFormat/>
    <w:uiPriority w:val="0"/>
    <w:pPr>
      <w:spacing w:line="560" w:lineRule="exact"/>
      <w:ind w:firstLine="200" w:firstLineChars="200"/>
    </w:pPr>
    <w:rPr>
      <w:rFonts w:cs="宋体"/>
      <w:color w:val="000000"/>
      <w:sz w:val="24"/>
      <w:szCs w:val="20"/>
    </w:rPr>
  </w:style>
  <w:style w:type="paragraph" w:customStyle="1" w:styleId="62">
    <w:name w:val="表格"/>
    <w:basedOn w:val="1"/>
    <w:next w:val="1"/>
    <w:qFormat/>
    <w:uiPriority w:val="0"/>
    <w:pPr>
      <w:adjustRightInd w:val="0"/>
      <w:snapToGrid w:val="0"/>
      <w:spacing w:beforeLines="10" w:afterLines="10" w:line="259" w:lineRule="auto"/>
      <w:jc w:val="center"/>
    </w:pPr>
    <w:rPr>
      <w:rFonts w:ascii="宋体"/>
      <w:kern w:val="0"/>
      <w:szCs w:val="20"/>
    </w:rPr>
  </w:style>
  <w:style w:type="paragraph" w:customStyle="1" w:styleId="63">
    <w:name w:val="1正文"/>
    <w:qFormat/>
    <w:uiPriority w:val="0"/>
    <w:pPr>
      <w:adjustRightInd w:val="0"/>
      <w:snapToGrid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64">
    <w:name w:val="表字体"/>
    <w:basedOn w:val="1"/>
    <w:next w:val="1"/>
    <w:qFormat/>
    <w:uiPriority w:val="0"/>
    <w:pPr>
      <w:spacing w:line="240" w:lineRule="auto"/>
      <w:jc w:val="center"/>
    </w:pPr>
    <w:rPr>
      <w:sz w:val="21"/>
    </w:rPr>
  </w:style>
  <w:style w:type="character" w:customStyle="1" w:styleId="65">
    <w:name w:val="04正文 Char"/>
    <w:link w:val="66"/>
    <w:qFormat/>
    <w:uiPriority w:val="0"/>
    <w:rPr>
      <w:sz w:val="24"/>
    </w:rPr>
  </w:style>
  <w:style w:type="paragraph" w:customStyle="1" w:styleId="66">
    <w:name w:val="04正文"/>
    <w:basedOn w:val="1"/>
    <w:link w:val="65"/>
    <w:qFormat/>
    <w:uiPriority w:val="0"/>
    <w:pPr>
      <w:spacing w:line="360" w:lineRule="auto"/>
      <w:ind w:firstLine="480" w:firstLineChars="200"/>
    </w:pPr>
    <w:rPr>
      <w:sz w:val="24"/>
    </w:rPr>
  </w:style>
  <w:style w:type="paragraph" w:customStyle="1" w:styleId="67">
    <w:name w:val="02表格正文小四"/>
    <w:qFormat/>
    <w:uiPriority w:val="0"/>
    <w:pPr>
      <w:overflowPunct w:val="0"/>
      <w:spacing w:line="360" w:lineRule="auto"/>
      <w:ind w:firstLine="1124" w:firstLineChars="200"/>
      <w:jc w:val="both"/>
      <w:textAlignment w:val="baseline"/>
    </w:pPr>
    <w:rPr>
      <w:rFonts w:ascii="Times New Roman" w:hAnsi="Times New Roman" w:eastAsia="宋体" w:cstheme="minorBidi"/>
      <w:sz w:val="24"/>
      <w:szCs w:val="24"/>
      <w:lang w:val="en-US" w:eastAsia="zh-CN" w:bidi="ar-SA"/>
    </w:rPr>
  </w:style>
  <w:style w:type="paragraph" w:customStyle="1" w:styleId="68">
    <w:name w:val="xl27"/>
    <w:basedOn w:val="1"/>
    <w:next w:val="15"/>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sz w:val="24"/>
      <w:szCs w:val="24"/>
    </w:rPr>
  </w:style>
  <w:style w:type="paragraph" w:customStyle="1" w:styleId="69">
    <w:name w:val="_Style 1"/>
    <w:qFormat/>
    <w:uiPriority w:val="1"/>
    <w:pPr>
      <w:adjustRightInd w:val="0"/>
      <w:snapToGrid w:val="0"/>
      <w:spacing w:line="480" w:lineRule="exact"/>
      <w:ind w:firstLine="480" w:firstLineChars="200"/>
    </w:pPr>
    <w:rPr>
      <w:rFonts w:ascii="Times New Roman" w:hAnsi="Times New Roman" w:eastAsia="宋体" w:cs="Times New Roman"/>
      <w:sz w:val="24"/>
      <w:szCs w:val="22"/>
      <w:lang w:val="en-US" w:eastAsia="zh-CN" w:bidi="ar-SA"/>
    </w:rPr>
  </w:style>
  <w:style w:type="paragraph" w:customStyle="1" w:styleId="70">
    <w:name w:val="6.1正文"/>
    <w:basedOn w:val="71"/>
    <w:next w:val="72"/>
    <w:qFormat/>
    <w:uiPriority w:val="0"/>
    <w:rPr>
      <w:rFonts w:cs="Arial"/>
    </w:rPr>
  </w:style>
  <w:style w:type="paragraph" w:customStyle="1" w:styleId="71">
    <w:name w:val="dxj正文"/>
    <w:qFormat/>
    <w:uiPriority w:val="0"/>
    <w:pPr>
      <w:spacing w:line="360" w:lineRule="auto"/>
      <w:ind w:firstLine="200" w:firstLineChars="200"/>
    </w:pPr>
    <w:rPr>
      <w:rFonts w:ascii="Times New Roman" w:hAnsi="Times New Roman" w:eastAsia="宋体" w:cs="Times New Roman"/>
      <w:kern w:val="2"/>
      <w:sz w:val="24"/>
      <w:szCs w:val="24"/>
      <w:lang w:val="en-US" w:eastAsia="zh-CN" w:bidi="ar-SA"/>
    </w:rPr>
  </w:style>
  <w:style w:type="paragraph" w:customStyle="1" w:styleId="72">
    <w:name w:val="11正文"/>
    <w:basedOn w:val="1"/>
    <w:qFormat/>
    <w:uiPriority w:val="99"/>
    <w:rPr>
      <w:rFonts w:hint="eastAsia" w:ascii="宋体"/>
    </w:rPr>
  </w:style>
  <w:style w:type="paragraph" w:customStyle="1" w:styleId="73">
    <w:name w:val="报告正文"/>
    <w:basedOn w:val="1"/>
    <w:qFormat/>
    <w:uiPriority w:val="0"/>
    <w:pPr>
      <w:adjustRightInd w:val="0"/>
      <w:spacing w:line="360" w:lineRule="auto"/>
      <w:ind w:firstLine="480" w:firstLineChars="200"/>
    </w:pPr>
    <w:rPr>
      <w:rFonts w:ascii="Calibri" w:hAnsi="Calibri" w:eastAsia="仿宋_GB2312"/>
      <w:sz w:val="24"/>
      <w:lang w:val="en-GB"/>
    </w:rPr>
  </w:style>
  <w:style w:type="paragraph" w:customStyle="1" w:styleId="74">
    <w:name w:val="正文 首行缩进"/>
    <w:basedOn w:val="1"/>
    <w:qFormat/>
    <w:uiPriority w:val="0"/>
    <w:pPr>
      <w:spacing w:line="360" w:lineRule="auto"/>
      <w:ind w:firstLine="200" w:firstLineChars="200"/>
    </w:pPr>
    <w:rPr>
      <w:rFonts w:cs="宋体"/>
      <w:kern w:val="0"/>
      <w:szCs w:val="20"/>
    </w:rPr>
  </w:style>
  <w:style w:type="paragraph" w:customStyle="1" w:styleId="75">
    <w:name w:val="表中文字"/>
    <w:basedOn w:val="1"/>
    <w:qFormat/>
    <w:uiPriority w:val="0"/>
    <w:pPr>
      <w:adjustRightInd w:val="0"/>
      <w:snapToGrid w:val="0"/>
      <w:jc w:val="center"/>
    </w:pPr>
    <w:rPr>
      <w:bCs/>
    </w:rPr>
  </w:style>
  <w:style w:type="character" w:customStyle="1" w:styleId="76">
    <w:name w:val="font21"/>
    <w:basedOn w:val="33"/>
    <w:qFormat/>
    <w:uiPriority w:val="0"/>
    <w:rPr>
      <w:rFonts w:hint="default" w:ascii="Times New Roman" w:hAnsi="Times New Roman" w:cs="Times New Roman"/>
      <w:color w:val="E54C5E"/>
      <w:sz w:val="21"/>
      <w:szCs w:val="21"/>
      <w:u w:val="none"/>
    </w:rPr>
  </w:style>
  <w:style w:type="character" w:customStyle="1" w:styleId="77">
    <w:name w:val="font11"/>
    <w:basedOn w:val="33"/>
    <w:qFormat/>
    <w:uiPriority w:val="0"/>
    <w:rPr>
      <w:rFonts w:hint="eastAsia" w:ascii="宋体" w:hAnsi="宋体" w:eastAsia="宋体" w:cs="宋体"/>
      <w:color w:val="E54C5E"/>
      <w:sz w:val="21"/>
      <w:szCs w:val="21"/>
      <w:u w:val="none"/>
    </w:rPr>
  </w:style>
  <w:style w:type="character" w:customStyle="1" w:styleId="78">
    <w:name w:val="font31"/>
    <w:basedOn w:val="33"/>
    <w:qFormat/>
    <w:uiPriority w:val="0"/>
    <w:rPr>
      <w:rFonts w:hint="default" w:ascii="Times New Roman" w:hAnsi="Times New Roman" w:cs="Times New Roman"/>
      <w:color w:val="000000"/>
      <w:sz w:val="21"/>
      <w:szCs w:val="21"/>
      <w:u w:val="none"/>
    </w:rPr>
  </w:style>
  <w:style w:type="character" w:customStyle="1" w:styleId="79">
    <w:name w:val="font41"/>
    <w:basedOn w:val="33"/>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pn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89</Pages>
  <Words>75699</Words>
  <Characters>88157</Characters>
  <Lines>0</Lines>
  <Paragraphs>0</Paragraphs>
  <TotalTime>5</TotalTime>
  <ScaleCrop>false</ScaleCrop>
  <LinksUpToDate>false</LinksUpToDate>
  <CharactersWithSpaces>90196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2025-05-15T06:21:00Z</dcterms:created>
  <dc:creator>猫</dc:creator>
  <cp:lastModifiedBy>猫</cp:lastModifiedBy>
  <cp:lastPrinted>2025-07-11T02:51:00Z</cp:lastPrinted>
  <dcterms:modified xsi:type="dcterms:W3CDTF">2025-07-28T00:35:24Z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60022C3CE27C40E7BA006D926DE3FE6F_13</vt:lpwstr>
  </property>
  <property fmtid="{D5CDD505-2E9C-101B-9397-08002B2CF9AE}" pid="4" name="KSOTemplateDocerSaveRecord">
    <vt:lpwstr>eyJoZGlkIjoiNmY4NDRkZWFhZjY2ZjUxYTI2N2Q1Njk2NjJmMjFhYTAiLCJ1c2VySWQiOiIxOTkzOTYzNzEifQ==</vt:lpwstr>
  </property>
</Properties>
</file>