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09EBE">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ascii="楷体" w:hAnsi="楷体" w:eastAsia="方正小标宋_GBK" w:cs="仿宋"/>
          <w:color w:val="auto"/>
          <w:sz w:val="32"/>
          <w:szCs w:val="32"/>
        </w:rPr>
      </w:pPr>
      <w:r>
        <w:rPr>
          <w:rFonts w:hint="eastAsia" w:ascii="方正小标宋_GBK" w:hAnsi="方正小标宋_GBK" w:eastAsia="方正小标宋_GBK" w:cs="方正小标宋_GBK"/>
          <w:color w:val="auto"/>
          <w:sz w:val="36"/>
          <w:szCs w:val="36"/>
        </w:rPr>
        <w:t>湘潭县人民政府行政复议决定书</w:t>
      </w:r>
    </w:p>
    <w:p w14:paraId="7BA1E857">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仿宋_GB2312" w:cs="仿宋"/>
          <w:color w:val="auto"/>
          <w:sz w:val="32"/>
          <w:szCs w:val="32"/>
          <w:lang w:eastAsia="zh-CN"/>
        </w:rPr>
      </w:pPr>
      <w:bookmarkStart w:id="16" w:name="_GoBack"/>
      <w:r>
        <w:rPr>
          <w:rFonts w:hint="eastAsia" w:ascii="仿宋_GB2312" w:hAnsi="仿宋_GB2312" w:eastAsia="仿宋_GB2312" w:cs="仿宋_GB2312"/>
          <w:color w:val="auto"/>
          <w:sz w:val="30"/>
          <w:szCs w:val="30"/>
        </w:rPr>
        <w:t>潭县复决</w:t>
      </w:r>
      <w:r>
        <w:rPr>
          <w:rFonts w:hint="eastAsia" w:ascii="仿宋_GB2312" w:hAnsi="仿宋_GB2312" w:eastAsia="仿宋_GB2312" w:cs="仿宋_GB2312"/>
          <w:color w:val="auto"/>
          <w:sz w:val="30"/>
          <w:szCs w:val="30"/>
          <w:lang w:eastAsia="zh-CN"/>
        </w:rPr>
        <w:t>〔2025〕</w:t>
      </w:r>
      <w:r>
        <w:rPr>
          <w:rFonts w:hint="eastAsia" w:ascii="仿宋_GB2312" w:hAnsi="仿宋_GB2312" w:eastAsia="仿宋_GB2312" w:cs="仿宋_GB2312"/>
          <w:color w:val="auto"/>
          <w:sz w:val="30"/>
          <w:szCs w:val="30"/>
          <w:lang w:val="en-US" w:eastAsia="zh-CN"/>
        </w:rPr>
        <w:t>68</w:t>
      </w:r>
      <w:r>
        <w:rPr>
          <w:rFonts w:hint="eastAsia" w:ascii="仿宋_GB2312" w:hAnsi="仿宋_GB2312" w:eastAsia="仿宋_GB2312" w:cs="仿宋_GB2312"/>
          <w:color w:val="auto"/>
          <w:sz w:val="30"/>
          <w:szCs w:val="30"/>
          <w:lang w:eastAsia="zh-CN"/>
        </w:rPr>
        <w:t>号</w:t>
      </w:r>
    </w:p>
    <w:bookmarkEnd w:id="16"/>
    <w:p w14:paraId="15FA5295">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杨*</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19**年*月*日</w:t>
      </w:r>
      <w:r>
        <w:rPr>
          <w:rFonts w:hint="eastAsia" w:ascii="仿宋_GB2312" w:hAnsi="仿宋_GB2312" w:eastAsia="仿宋_GB2312" w:cs="仿宋_GB2312"/>
          <w:color w:val="auto"/>
          <w:sz w:val="30"/>
          <w:szCs w:val="30"/>
        </w:rPr>
        <w:t>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湖北省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街道</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highlight w:val="none"/>
        </w:rPr>
        <w:t>。</w:t>
      </w:r>
    </w:p>
    <w:p w14:paraId="7C371E37">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0BC234D8">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法定代表人贺博</w:t>
      </w:r>
      <w:r>
        <w:rPr>
          <w:rFonts w:hint="eastAsia" w:ascii="仿宋_GB2312" w:hAnsi="仿宋_GB2312" w:eastAsia="仿宋_GB2312" w:cs="仿宋_GB2312"/>
          <w:color w:val="auto"/>
          <w:sz w:val="30"/>
          <w:szCs w:val="30"/>
        </w:rPr>
        <w:t>（局长）；</w:t>
      </w:r>
    </w:p>
    <w:p w14:paraId="5E99730E">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文杰</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综合行政执法大队副大队长，特别代理</w:t>
      </w:r>
      <w:r>
        <w:rPr>
          <w:rFonts w:hint="eastAsia" w:ascii="仿宋_GB2312" w:hAnsi="仿宋_GB2312" w:eastAsia="仿宋_GB2312" w:cs="仿宋_GB2312"/>
          <w:color w:val="auto"/>
          <w:sz w:val="30"/>
          <w:szCs w:val="30"/>
        </w:rPr>
        <w:t>。</w:t>
      </w:r>
    </w:p>
    <w:p w14:paraId="5D6835C7">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杨*</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2025年1月10日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举报</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lang w:eastAsia="zh-CN"/>
        </w:rPr>
        <w:t>〔2025〕第</w:t>
      </w:r>
      <w:r>
        <w:rPr>
          <w:rFonts w:hint="eastAsia" w:ascii="仿宋_GB2312" w:hAnsi="仿宋_GB2312" w:eastAsia="仿宋_GB2312" w:cs="仿宋_GB2312"/>
          <w:color w:val="auto"/>
          <w:sz w:val="30"/>
          <w:szCs w:val="30"/>
          <w:lang w:val="en-US" w:eastAsia="zh-CN"/>
        </w:rPr>
        <w:t>1-1号）</w:t>
      </w:r>
      <w:r>
        <w:rPr>
          <w:rFonts w:hint="eastAsia" w:ascii="仿宋_GB2312" w:hAnsi="仿宋_GB2312" w:eastAsia="仿宋_GB2312" w:cs="仿宋_GB2312"/>
          <w:color w:val="auto"/>
          <w:sz w:val="30"/>
          <w:szCs w:val="30"/>
        </w:rPr>
        <w:t>而申请行政复议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2B520A7B">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364FC948">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w:t>
      </w:r>
      <w:r>
        <w:rPr>
          <w:rFonts w:hint="eastAsia" w:ascii="仿宋_GB2312" w:hAnsi="仿宋_GB2312" w:eastAsia="仿宋_GB2312" w:cs="仿宋_GB2312"/>
          <w:color w:val="auto"/>
          <w:sz w:val="30"/>
          <w:szCs w:val="30"/>
          <w:lang w:eastAsia="zh-CN"/>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的《举报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w:t>
      </w:r>
    </w:p>
    <w:p w14:paraId="1DE45C84">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2.责令被申请人</w:t>
      </w:r>
      <w:r>
        <w:rPr>
          <w:rFonts w:hint="eastAsia" w:ascii="仿宋_GB2312" w:hAnsi="仿宋_GB2312" w:eastAsia="仿宋_GB2312" w:cs="仿宋_GB2312"/>
          <w:color w:val="auto"/>
          <w:sz w:val="30"/>
          <w:szCs w:val="30"/>
          <w:lang w:eastAsia="zh-CN"/>
        </w:rPr>
        <w:t>重作。</w:t>
      </w:r>
    </w:p>
    <w:p w14:paraId="20970A26">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7A05A00D">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pacing w:val="0"/>
          <w:sz w:val="30"/>
          <w:szCs w:val="30"/>
        </w:rPr>
        <w:t>申请人</w:t>
      </w:r>
      <w:r>
        <w:rPr>
          <w:rFonts w:hint="eastAsia" w:ascii="仿宋_GB2312" w:hAnsi="仿宋_GB2312" w:eastAsia="仿宋_GB2312" w:cs="仿宋_GB2312"/>
          <w:color w:val="auto"/>
          <w:spacing w:val="0"/>
          <w:sz w:val="30"/>
          <w:szCs w:val="30"/>
          <w:lang w:val="en-US" w:eastAsia="zh-CN"/>
        </w:rPr>
        <w:t>2025年1月16日</w:t>
      </w:r>
      <w:r>
        <w:rPr>
          <w:rFonts w:hint="eastAsia" w:ascii="仿宋_GB2312" w:hAnsi="仿宋_GB2312" w:eastAsia="仿宋_GB2312" w:cs="仿宋_GB2312"/>
          <w:color w:val="auto"/>
          <w:spacing w:val="0"/>
          <w:sz w:val="30"/>
          <w:szCs w:val="30"/>
        </w:rPr>
        <w:t>通过邮寄的方式</w:t>
      </w:r>
      <w:r>
        <w:rPr>
          <w:rFonts w:hint="eastAsia" w:ascii="仿宋_GB2312" w:hAnsi="仿宋_GB2312" w:eastAsia="仿宋_GB2312" w:cs="仿宋_GB2312"/>
          <w:color w:val="auto"/>
          <w:spacing w:val="0"/>
          <w:sz w:val="30"/>
          <w:szCs w:val="30"/>
          <w:lang w:eastAsia="zh-CN"/>
        </w:rPr>
        <w:t>得知</w:t>
      </w:r>
      <w:r>
        <w:rPr>
          <w:rFonts w:hint="eastAsia" w:ascii="仿宋_GB2312" w:hAnsi="仿宋_GB2312" w:eastAsia="仿宋_GB2312" w:cs="仿宋_GB2312"/>
          <w:color w:val="auto"/>
          <w:spacing w:val="0"/>
          <w:sz w:val="30"/>
          <w:szCs w:val="30"/>
        </w:rPr>
        <w:t>被申请人对举报作出不予立案决定</w:t>
      </w:r>
      <w:r>
        <w:rPr>
          <w:rFonts w:hint="eastAsia" w:ascii="仿宋_GB2312" w:hAnsi="仿宋_GB2312" w:eastAsia="仿宋_GB2312" w:cs="仿宋_GB2312"/>
          <w:color w:val="auto"/>
          <w:spacing w:val="0"/>
          <w:sz w:val="30"/>
          <w:szCs w:val="30"/>
          <w:lang w:eastAsia="zh-CN"/>
        </w:rPr>
        <w:t>，特申请行政复议，主要事实和理由如下</w:t>
      </w:r>
      <w:r>
        <w:rPr>
          <w:rFonts w:hint="eastAsia" w:ascii="仿宋_GB2312" w:hAnsi="仿宋_GB2312" w:eastAsia="仿宋_GB2312" w:cs="仿宋_GB2312"/>
          <w:color w:val="auto"/>
          <w:sz w:val="30"/>
          <w:szCs w:val="30"/>
        </w:rPr>
        <w:t>：</w:t>
      </w:r>
    </w:p>
    <w:p w14:paraId="3522EAF2">
      <w:pPr>
        <w:kinsoku/>
        <w:wordWrap w:val="0"/>
        <w:autoSpaceDE/>
        <w:autoSpaceDN/>
        <w:snapToGrid/>
        <w:spacing w:afterLines="0" w:line="560" w:lineRule="exact"/>
        <w:ind w:firstLine="600" w:firstLineChars="200"/>
        <w:jc w:val="both"/>
        <w:textAlignment w:val="auto"/>
        <w:rPr>
          <w:rFonts w:hint="eastAsia" w:ascii="仿宋_GB2312" w:hAnsi="仿宋_GB2312" w:eastAsia="仿宋_GB2312" w:cs="仿宋_GB2312"/>
          <w:snapToGrid/>
          <w:color w:val="auto"/>
          <w:kern w:val="2"/>
          <w:sz w:val="30"/>
          <w:szCs w:val="30"/>
          <w:lang w:val="en-US" w:eastAsia="en-US" w:bidi="ar-SA"/>
        </w:rPr>
      </w:pPr>
      <w:r>
        <w:rPr>
          <w:rFonts w:hint="eastAsia" w:ascii="仿宋_GB2312" w:hAnsi="仿宋_GB2312" w:eastAsia="仿宋_GB2312" w:cs="仿宋_GB2312"/>
          <w:snapToGrid/>
          <w:color w:val="auto"/>
          <w:spacing w:val="0"/>
          <w:kern w:val="2"/>
          <w:sz w:val="30"/>
          <w:szCs w:val="30"/>
          <w:lang w:val="en-US" w:eastAsia="en-US" w:bidi="ar-SA"/>
        </w:rPr>
        <w:t>1</w:t>
      </w:r>
      <w:r>
        <w:rPr>
          <w:rFonts w:hint="eastAsia" w:ascii="仿宋_GB2312" w:hAnsi="仿宋_GB2312" w:eastAsia="仿宋_GB2312" w:cs="仿宋_GB2312"/>
          <w:snapToGrid/>
          <w:color w:val="auto"/>
          <w:spacing w:val="0"/>
          <w:kern w:val="2"/>
          <w:sz w:val="30"/>
          <w:szCs w:val="30"/>
          <w:lang w:val="en-US" w:eastAsia="zh-CN" w:bidi="ar-SA"/>
        </w:rPr>
        <w:t>.被申请人认定事实错误。案涉食品以葵花籽作为食品原料，还添加了其他调味料食用盐，但取名“原味瓜子”。“原味”在华语词典中均为“食物原有的汤汁和味道”，是生活常识，属于“免证事实”。同时其钠含量高达61.8mg</w:t>
      </w:r>
      <w:r>
        <w:rPr>
          <w:rFonts w:hint="eastAsia" w:ascii="华文中宋" w:hAnsi="华文中宋" w:eastAsia="华文中宋" w:cs="华文中宋"/>
          <w:snapToGrid/>
          <w:color w:val="auto"/>
          <w:spacing w:val="0"/>
          <w:kern w:val="2"/>
          <w:sz w:val="30"/>
          <w:szCs w:val="30"/>
          <w:lang w:val="en-US" w:eastAsia="zh-CN" w:bidi="ar-SA"/>
        </w:rPr>
        <w:t>/</w:t>
      </w:r>
      <w:r>
        <w:rPr>
          <w:rFonts w:hint="eastAsia" w:ascii="仿宋_GB2312" w:hAnsi="仿宋_GB2312" w:eastAsia="仿宋_GB2312" w:cs="仿宋_GB2312"/>
          <w:snapToGrid/>
          <w:color w:val="auto"/>
          <w:spacing w:val="0"/>
          <w:kern w:val="2"/>
          <w:sz w:val="30"/>
          <w:szCs w:val="30"/>
          <w:lang w:val="en-US" w:eastAsia="zh-CN" w:bidi="ar-SA"/>
        </w:rPr>
        <w:t>100g，不符合GB1118规定的真实属性原则。</w:t>
      </w:r>
    </w:p>
    <w:p w14:paraId="376890D1">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pacing w:val="0"/>
          <w:sz w:val="30"/>
          <w:szCs w:val="30"/>
          <w:lang w:eastAsia="zh-CN"/>
        </w:rPr>
      </w:pPr>
      <w:r>
        <w:rPr>
          <w:rFonts w:hint="eastAsia" w:ascii="仿宋_GB2312" w:hAnsi="仿宋_GB2312" w:eastAsia="仿宋_GB2312" w:cs="仿宋_GB2312"/>
          <w:color w:val="auto"/>
          <w:spacing w:val="0"/>
          <w:sz w:val="30"/>
          <w:szCs w:val="30"/>
        </w:rPr>
        <w:t>2.</w:t>
      </w:r>
      <w:r>
        <w:rPr>
          <w:rFonts w:hint="eastAsia" w:ascii="仿宋_GB2312" w:hAnsi="仿宋_GB2312" w:eastAsia="仿宋_GB2312" w:cs="仿宋_GB2312"/>
          <w:color w:val="auto"/>
          <w:spacing w:val="0"/>
          <w:sz w:val="30"/>
          <w:szCs w:val="30"/>
          <w:lang w:eastAsia="zh-CN"/>
        </w:rPr>
        <w:t>被申请人未全面履责。本案包含生产者和经营者两个主体，而被申请人仅对被举报人生产经营场所进行核查，调查其生产工艺。不符合食品安全法、食品生产经营监督检查管理办法、市场监督管理行政处罚程序规定的相关规定，为全面调查履职，且没有对是否违反食品安全标准、食品安全法等问题进行回复。相对人有权利要求被申请人告知依据和理由，而不能怠于履职。</w:t>
      </w:r>
    </w:p>
    <w:p w14:paraId="781D0DE2">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pacing w:val="0"/>
          <w:sz w:val="30"/>
          <w:szCs w:val="30"/>
          <w:lang w:val="en-US" w:eastAsia="zh-CN"/>
        </w:rPr>
        <w:t>3.被申请人适用法律错误。本案完全符合《市场监督管理行政处罚程序规定》第十九条第一款关于初步违法应立案的条件，被申请人依据行政处罚法第四十条和市场监督管理行政处罚程序规定第二十条第一款第四项作出不予立案，适用法律错误。</w:t>
      </w:r>
    </w:p>
    <w:p w14:paraId="4F7B6E27">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3B6D33D8">
      <w:pPr>
        <w:kinsoku/>
        <w:wordWrap w:val="0"/>
        <w:autoSpaceDE/>
        <w:autoSpaceDN/>
        <w:snapToGrid/>
        <w:spacing w:afterLines="0" w:line="560" w:lineRule="exact"/>
        <w:ind w:firstLine="600" w:firstLineChars="200"/>
        <w:jc w:val="both"/>
        <w:textAlignment w:val="auto"/>
        <w:rPr>
          <w:rFonts w:hint="eastAsia" w:ascii="仿宋_GB2312" w:hAnsi="仿宋_GB2312" w:eastAsia="仿宋_GB2312" w:cs="仿宋_GB2312"/>
          <w:snapToGrid/>
          <w:color w:val="auto"/>
          <w:kern w:val="2"/>
          <w:sz w:val="30"/>
          <w:szCs w:val="30"/>
          <w:lang w:val="en-US" w:eastAsia="en-US" w:bidi="ar-SA"/>
        </w:rPr>
      </w:pPr>
      <w:r>
        <w:rPr>
          <w:rFonts w:hint="eastAsia" w:ascii="仿宋_GB2312" w:hAnsi="仿宋_GB2312" w:eastAsia="仿宋_GB2312" w:cs="仿宋_GB2312"/>
          <w:b w:val="0"/>
          <w:bCs w:val="0"/>
          <w:snapToGrid/>
          <w:color w:val="auto"/>
          <w:spacing w:val="0"/>
          <w:kern w:val="2"/>
          <w:sz w:val="30"/>
          <w:szCs w:val="30"/>
          <w:lang w:val="en-US" w:eastAsia="en-US" w:bidi="ar-SA"/>
        </w:rPr>
        <w:t>一</w:t>
      </w:r>
      <w:r>
        <w:rPr>
          <w:rFonts w:hint="eastAsia" w:ascii="仿宋_GB2312" w:hAnsi="仿宋_GB2312" w:eastAsia="仿宋_GB2312" w:cs="仿宋_GB2312"/>
          <w:snapToGrid/>
          <w:color w:val="auto"/>
          <w:spacing w:val="0"/>
          <w:kern w:val="2"/>
          <w:sz w:val="30"/>
          <w:szCs w:val="30"/>
          <w:lang w:val="en-US" w:eastAsia="en-US" w:bidi="ar-SA"/>
        </w:rPr>
        <w:t xml:space="preserve"> </w:t>
      </w:r>
      <w:r>
        <w:rPr>
          <w:rFonts w:hint="eastAsia" w:ascii="仿宋_GB2312" w:hAnsi="仿宋_GB2312" w:eastAsia="仿宋_GB2312" w:cs="仿宋_GB2312"/>
          <w:b w:val="0"/>
          <w:bCs w:val="0"/>
          <w:snapToGrid/>
          <w:color w:val="auto"/>
          <w:spacing w:val="0"/>
          <w:kern w:val="2"/>
          <w:sz w:val="30"/>
          <w:szCs w:val="30"/>
          <w:lang w:val="en-US" w:eastAsia="en-US" w:bidi="ar-SA"/>
        </w:rPr>
        <w:t>、本案调查事实</w:t>
      </w:r>
    </w:p>
    <w:p w14:paraId="1F32F9D2">
      <w:pPr>
        <w:kinsoku/>
        <w:wordWrap w:val="0"/>
        <w:autoSpaceDE/>
        <w:autoSpaceDN/>
        <w:snapToGrid/>
        <w:spacing w:afterLines="0" w:line="560" w:lineRule="exact"/>
        <w:ind w:firstLine="600" w:firstLineChars="200"/>
        <w:textAlignment w:val="auto"/>
        <w:rPr>
          <w:rFonts w:hint="eastAsia" w:ascii="仿宋_GB2312" w:hAnsi="仿宋_GB2312" w:eastAsia="仿宋_GB2312" w:cs="仿宋_GB2312"/>
          <w:snapToGrid/>
          <w:color w:val="auto"/>
          <w:kern w:val="2"/>
          <w:sz w:val="30"/>
          <w:szCs w:val="30"/>
          <w:lang w:val="en-US" w:eastAsia="en-US" w:bidi="ar-SA"/>
        </w:rPr>
      </w:pPr>
      <w:r>
        <w:rPr>
          <w:rFonts w:hint="eastAsia" w:ascii="仿宋_GB2312" w:hAnsi="仿宋_GB2312" w:eastAsia="仿宋_GB2312" w:cs="仿宋_GB2312"/>
          <w:snapToGrid/>
          <w:color w:val="auto"/>
          <w:spacing w:val="0"/>
          <w:kern w:val="2"/>
          <w:sz w:val="30"/>
          <w:szCs w:val="30"/>
          <w:lang w:val="en-US" w:eastAsia="en-US" w:bidi="ar-SA"/>
        </w:rPr>
        <w:t>我局2024年1</w:t>
      </w:r>
      <w:r>
        <w:rPr>
          <w:rFonts w:hint="eastAsia" w:ascii="仿宋_GB2312" w:hAnsi="仿宋_GB2312" w:eastAsia="仿宋_GB2312" w:cs="仿宋_GB2312"/>
          <w:snapToGrid/>
          <w:color w:val="auto"/>
          <w:spacing w:val="0"/>
          <w:kern w:val="2"/>
          <w:sz w:val="30"/>
          <w:szCs w:val="30"/>
          <w:lang w:val="en-US" w:eastAsia="zh-CN" w:bidi="ar-SA"/>
        </w:rPr>
        <w:t>2</w:t>
      </w:r>
      <w:r>
        <w:rPr>
          <w:rFonts w:hint="eastAsia" w:ascii="仿宋_GB2312" w:hAnsi="仿宋_GB2312" w:eastAsia="仿宋_GB2312" w:cs="仿宋_GB2312"/>
          <w:snapToGrid/>
          <w:color w:val="auto"/>
          <w:spacing w:val="0"/>
          <w:kern w:val="2"/>
          <w:sz w:val="30"/>
          <w:szCs w:val="30"/>
          <w:lang w:val="en-US" w:eastAsia="en-US" w:bidi="ar-SA"/>
        </w:rPr>
        <w:t>月2</w:t>
      </w:r>
      <w:r>
        <w:rPr>
          <w:rFonts w:hint="eastAsia" w:ascii="仿宋_GB2312" w:hAnsi="仿宋_GB2312" w:eastAsia="仿宋_GB2312" w:cs="仿宋_GB2312"/>
          <w:snapToGrid/>
          <w:color w:val="auto"/>
          <w:spacing w:val="0"/>
          <w:kern w:val="2"/>
          <w:sz w:val="30"/>
          <w:szCs w:val="30"/>
          <w:lang w:val="en-US" w:eastAsia="zh-CN" w:bidi="ar-SA"/>
        </w:rPr>
        <w:t>3</w:t>
      </w:r>
      <w:r>
        <w:rPr>
          <w:rFonts w:hint="eastAsia" w:ascii="仿宋_GB2312" w:hAnsi="仿宋_GB2312" w:eastAsia="仿宋_GB2312" w:cs="仿宋_GB2312"/>
          <w:snapToGrid/>
          <w:color w:val="auto"/>
          <w:spacing w:val="0"/>
          <w:kern w:val="2"/>
          <w:sz w:val="30"/>
          <w:szCs w:val="30"/>
          <w:lang w:val="en-US" w:eastAsia="en-US" w:bidi="ar-SA"/>
        </w:rPr>
        <w:t>日收到申请人投诉举报</w:t>
      </w:r>
      <w:r>
        <w:rPr>
          <w:rFonts w:hint="eastAsia" w:ascii="仿宋_GB2312" w:hAnsi="仿宋_GB2312" w:eastAsia="仿宋_GB2312" w:cs="仿宋_GB2312"/>
          <w:snapToGrid/>
          <w:color w:val="auto"/>
          <w:spacing w:val="0"/>
          <w:kern w:val="2"/>
          <w:sz w:val="30"/>
          <w:szCs w:val="30"/>
          <w:lang w:val="en-US" w:eastAsia="zh-CN" w:bidi="ar-SA"/>
        </w:rPr>
        <w:t>信</w:t>
      </w:r>
      <w:r>
        <w:rPr>
          <w:rFonts w:hint="eastAsia" w:ascii="仿宋_GB2312" w:hAnsi="仿宋_GB2312" w:eastAsia="仿宋_GB2312" w:cs="仿宋_GB2312"/>
          <w:snapToGrid/>
          <w:color w:val="auto"/>
          <w:spacing w:val="0"/>
          <w:kern w:val="2"/>
          <w:sz w:val="30"/>
          <w:szCs w:val="30"/>
          <w:lang w:val="en-US" w:eastAsia="en-US" w:bidi="ar-SA"/>
        </w:rPr>
        <w:t>，</w:t>
      </w:r>
      <w:r>
        <w:rPr>
          <w:rFonts w:hint="eastAsia" w:ascii="仿宋_GB2312" w:hAnsi="仿宋_GB2312" w:eastAsia="仿宋_GB2312" w:cs="仿宋_GB2312"/>
          <w:snapToGrid/>
          <w:color w:val="auto"/>
          <w:spacing w:val="0"/>
          <w:kern w:val="2"/>
          <w:sz w:val="30"/>
          <w:szCs w:val="30"/>
          <w:lang w:val="en-US" w:eastAsia="zh-CN" w:bidi="ar-SA"/>
        </w:rPr>
        <w:t>涉及湖南**食品有限公司。</w:t>
      </w:r>
      <w:r>
        <w:rPr>
          <w:rFonts w:hint="eastAsia" w:ascii="仿宋_GB2312" w:hAnsi="仿宋_GB2312" w:eastAsia="仿宋_GB2312" w:cs="仿宋_GB2312"/>
          <w:snapToGrid/>
          <w:color w:val="auto"/>
          <w:spacing w:val="0"/>
          <w:kern w:val="2"/>
          <w:sz w:val="30"/>
          <w:szCs w:val="30"/>
          <w:lang w:val="en-US" w:eastAsia="en-US" w:bidi="ar-SA"/>
        </w:rPr>
        <w:t>举报声称：</w:t>
      </w:r>
      <w:r>
        <w:rPr>
          <w:rFonts w:hint="eastAsia" w:ascii="仿宋_GB2312" w:hAnsi="仿宋_GB2312" w:eastAsia="仿宋_GB2312" w:cs="仿宋_GB2312"/>
          <w:snapToGrid/>
          <w:color w:val="auto"/>
          <w:spacing w:val="0"/>
          <w:kern w:val="2"/>
          <w:sz w:val="30"/>
          <w:szCs w:val="30"/>
          <w:lang w:val="en-US" w:eastAsia="zh-CN" w:bidi="ar-SA"/>
        </w:rPr>
        <w:t>“</w:t>
      </w:r>
      <w:r>
        <w:rPr>
          <w:rFonts w:hint="eastAsia" w:ascii="仿宋_GB2312" w:hAnsi="仿宋_GB2312" w:eastAsia="仿宋_GB2312" w:cs="仿宋_GB2312"/>
          <w:snapToGrid/>
          <w:color w:val="auto"/>
          <w:spacing w:val="0"/>
          <w:kern w:val="2"/>
          <w:sz w:val="30"/>
          <w:szCs w:val="30"/>
          <w:lang w:val="en-US" w:eastAsia="en-US" w:bidi="ar-SA"/>
        </w:rPr>
        <w:t>2024年</w:t>
      </w:r>
      <w:r>
        <w:rPr>
          <w:rFonts w:hint="eastAsia" w:ascii="仿宋_GB2312" w:hAnsi="仿宋_GB2312" w:eastAsia="仿宋_GB2312" w:cs="仿宋_GB2312"/>
          <w:snapToGrid/>
          <w:color w:val="auto"/>
          <w:spacing w:val="0"/>
          <w:kern w:val="2"/>
          <w:sz w:val="30"/>
          <w:szCs w:val="30"/>
          <w:lang w:val="en-US" w:eastAsia="zh-CN" w:bidi="ar-SA"/>
        </w:rPr>
        <w:t>11</w:t>
      </w:r>
      <w:r>
        <w:rPr>
          <w:rFonts w:hint="eastAsia" w:ascii="仿宋_GB2312" w:hAnsi="仿宋_GB2312" w:eastAsia="仿宋_GB2312" w:cs="仿宋_GB2312"/>
          <w:snapToGrid/>
          <w:color w:val="auto"/>
          <w:spacing w:val="0"/>
          <w:kern w:val="2"/>
          <w:sz w:val="30"/>
          <w:szCs w:val="30"/>
          <w:lang w:val="en-US" w:eastAsia="en-US" w:bidi="ar-SA"/>
        </w:rPr>
        <w:t>月</w:t>
      </w:r>
      <w:r>
        <w:rPr>
          <w:rFonts w:hint="eastAsia" w:ascii="仿宋_GB2312" w:hAnsi="仿宋_GB2312" w:eastAsia="仿宋_GB2312" w:cs="仿宋_GB2312"/>
          <w:snapToGrid/>
          <w:color w:val="auto"/>
          <w:spacing w:val="0"/>
          <w:kern w:val="2"/>
          <w:sz w:val="30"/>
          <w:szCs w:val="30"/>
          <w:lang w:val="en-US" w:eastAsia="zh-CN" w:bidi="ar-SA"/>
        </w:rPr>
        <w:t>21</w:t>
      </w:r>
      <w:r>
        <w:rPr>
          <w:rFonts w:hint="eastAsia" w:ascii="仿宋_GB2312" w:hAnsi="仿宋_GB2312" w:eastAsia="仿宋_GB2312" w:cs="仿宋_GB2312"/>
          <w:snapToGrid/>
          <w:color w:val="auto"/>
          <w:spacing w:val="0"/>
          <w:kern w:val="2"/>
          <w:sz w:val="30"/>
          <w:szCs w:val="30"/>
          <w:lang w:val="en-US" w:eastAsia="en-US" w:bidi="ar-SA"/>
        </w:rPr>
        <w:t>日</w:t>
      </w:r>
      <w:r>
        <w:rPr>
          <w:rFonts w:hint="eastAsia" w:ascii="仿宋_GB2312" w:hAnsi="仿宋_GB2312" w:eastAsia="仿宋_GB2312" w:cs="仿宋_GB2312"/>
          <w:snapToGrid/>
          <w:color w:val="auto"/>
          <w:spacing w:val="0"/>
          <w:kern w:val="2"/>
          <w:sz w:val="30"/>
          <w:szCs w:val="30"/>
          <w:lang w:val="en-US" w:eastAsia="zh-CN" w:bidi="ar-SA"/>
        </w:rPr>
        <w:t>在拼多多平台购买了**原味瓜子，配料表添加有食用盐，而不是食品本身含有的盐，但是名称为“原味瓜子”，系虚假宣传，违反了GB7718中3.4、反不正当竞争法第八条及消费者权益保护法的二十条等规定。</w:t>
      </w:r>
    </w:p>
    <w:p w14:paraId="51334DAD">
      <w:pPr>
        <w:kinsoku/>
        <w:wordWrap w:val="0"/>
        <w:autoSpaceDE/>
        <w:autoSpaceDN/>
        <w:snapToGrid/>
        <w:spacing w:afterLines="0" w:line="560" w:lineRule="exact"/>
        <w:ind w:firstLine="600" w:firstLineChars="200"/>
        <w:jc w:val="both"/>
        <w:textAlignment w:val="auto"/>
        <w:rPr>
          <w:rFonts w:hint="eastAsia" w:ascii="仿宋_GB2312" w:hAnsi="仿宋_GB2312" w:eastAsia="仿宋_GB2312" w:cs="仿宋_GB2312"/>
          <w:snapToGrid/>
          <w:color w:val="auto"/>
          <w:spacing w:val="0"/>
          <w:kern w:val="2"/>
          <w:sz w:val="30"/>
          <w:szCs w:val="30"/>
          <w:lang w:val="en-US" w:eastAsia="en-US" w:bidi="ar-SA"/>
        </w:rPr>
      </w:pPr>
      <w:r>
        <w:rPr>
          <w:rFonts w:hint="eastAsia" w:ascii="仿宋_GB2312" w:hAnsi="仿宋_GB2312" w:eastAsia="仿宋_GB2312" w:cs="仿宋_GB2312"/>
          <w:snapToGrid/>
          <w:color w:val="auto"/>
          <w:spacing w:val="0"/>
          <w:kern w:val="2"/>
          <w:sz w:val="30"/>
          <w:szCs w:val="30"/>
          <w:lang w:val="en-US" w:eastAsia="en-US" w:bidi="ar-SA"/>
        </w:rPr>
        <w:t>2024年1</w:t>
      </w:r>
      <w:r>
        <w:rPr>
          <w:rFonts w:hint="eastAsia" w:ascii="仿宋_GB2312" w:hAnsi="仿宋_GB2312" w:eastAsia="仿宋_GB2312" w:cs="仿宋_GB2312"/>
          <w:snapToGrid/>
          <w:color w:val="auto"/>
          <w:spacing w:val="0"/>
          <w:kern w:val="2"/>
          <w:sz w:val="30"/>
          <w:szCs w:val="30"/>
          <w:lang w:val="en-US" w:eastAsia="zh-CN" w:bidi="ar-SA"/>
        </w:rPr>
        <w:t>2</w:t>
      </w:r>
      <w:r>
        <w:rPr>
          <w:rFonts w:hint="eastAsia" w:ascii="仿宋_GB2312" w:hAnsi="仿宋_GB2312" w:eastAsia="仿宋_GB2312" w:cs="仿宋_GB2312"/>
          <w:snapToGrid/>
          <w:color w:val="auto"/>
          <w:spacing w:val="0"/>
          <w:kern w:val="2"/>
          <w:sz w:val="30"/>
          <w:szCs w:val="30"/>
          <w:lang w:val="en-US" w:eastAsia="en-US" w:bidi="ar-SA"/>
        </w:rPr>
        <w:t>月</w:t>
      </w:r>
      <w:r>
        <w:rPr>
          <w:rFonts w:hint="eastAsia" w:ascii="仿宋_GB2312" w:hAnsi="仿宋_GB2312" w:eastAsia="仿宋_GB2312" w:cs="仿宋_GB2312"/>
          <w:snapToGrid/>
          <w:color w:val="auto"/>
          <w:spacing w:val="0"/>
          <w:kern w:val="2"/>
          <w:sz w:val="30"/>
          <w:szCs w:val="30"/>
          <w:lang w:val="en-US" w:eastAsia="zh-CN" w:bidi="ar-SA"/>
        </w:rPr>
        <w:t>26</w:t>
      </w:r>
      <w:r>
        <w:rPr>
          <w:rFonts w:hint="eastAsia" w:ascii="仿宋_GB2312" w:hAnsi="仿宋_GB2312" w:eastAsia="仿宋_GB2312" w:cs="仿宋_GB2312"/>
          <w:snapToGrid/>
          <w:color w:val="auto"/>
          <w:spacing w:val="0"/>
          <w:kern w:val="2"/>
          <w:sz w:val="30"/>
          <w:szCs w:val="30"/>
          <w:lang w:val="en-US" w:eastAsia="en-US" w:bidi="ar-SA"/>
        </w:rPr>
        <w:t>日，我局根据举报线索对被举报人处实施现场核查。</w:t>
      </w:r>
      <w:r>
        <w:rPr>
          <w:rFonts w:hint="eastAsia" w:ascii="仿宋_GB2312" w:hAnsi="仿宋_GB2312" w:eastAsia="仿宋_GB2312" w:cs="仿宋_GB2312"/>
          <w:snapToGrid/>
          <w:color w:val="auto"/>
          <w:spacing w:val="0"/>
          <w:kern w:val="2"/>
          <w:sz w:val="30"/>
          <w:szCs w:val="30"/>
          <w:lang w:val="en-US" w:eastAsia="zh-CN" w:bidi="ar-SA"/>
        </w:rPr>
        <w:t>该公司位于湘潭县*镇*路*号，面积约2万平方米，当事人生产加工区生产原味瓜子的设备由原料斗、物料提升机、长筒炒锅、筛选机1、筛选机2、冷却器、Z型无破碎提升机、杂粮色选机、T型无破碎提升机组成，在长筒炒锅内有800斤食用盐、炒锅内温度为140摄氏度，在加工过程中不添加水，被举报人使用食用盐作为导热媒介进行炒制原味瓜子。</w:t>
      </w:r>
    </w:p>
    <w:p w14:paraId="12761405">
      <w:pPr>
        <w:kinsoku/>
        <w:wordWrap w:val="0"/>
        <w:autoSpaceDE/>
        <w:autoSpaceDN/>
        <w:snapToGrid/>
        <w:spacing w:afterLines="0" w:line="560" w:lineRule="exact"/>
        <w:ind w:firstLine="600" w:firstLineChars="200"/>
        <w:jc w:val="both"/>
        <w:textAlignment w:val="auto"/>
        <w:rPr>
          <w:rFonts w:hint="eastAsia" w:ascii="仿宋_GB2312" w:hAnsi="仿宋_GB2312" w:eastAsia="仿宋_GB2312" w:cs="仿宋_GB2312"/>
          <w:snapToGrid/>
          <w:color w:val="auto"/>
          <w:kern w:val="2"/>
          <w:sz w:val="30"/>
          <w:szCs w:val="30"/>
          <w:lang w:val="en-US" w:eastAsia="en-US" w:bidi="ar-SA"/>
        </w:rPr>
      </w:pPr>
      <w:r>
        <w:rPr>
          <w:rFonts w:hint="eastAsia" w:ascii="仿宋_GB2312" w:hAnsi="仿宋_GB2312" w:eastAsia="仿宋_GB2312" w:cs="仿宋_GB2312"/>
          <w:b w:val="0"/>
          <w:bCs w:val="0"/>
          <w:snapToGrid/>
          <w:color w:val="auto"/>
          <w:spacing w:val="0"/>
          <w:kern w:val="2"/>
          <w:sz w:val="30"/>
          <w:szCs w:val="30"/>
          <w:lang w:val="en-US" w:eastAsia="en-US" w:bidi="ar-SA"/>
        </w:rPr>
        <w:t>二</w:t>
      </w:r>
      <w:r>
        <w:rPr>
          <w:rFonts w:hint="eastAsia" w:ascii="仿宋_GB2312" w:hAnsi="仿宋_GB2312" w:eastAsia="仿宋_GB2312" w:cs="仿宋_GB2312"/>
          <w:snapToGrid/>
          <w:color w:val="auto"/>
          <w:spacing w:val="0"/>
          <w:kern w:val="2"/>
          <w:sz w:val="30"/>
          <w:szCs w:val="30"/>
          <w:lang w:val="en-US" w:eastAsia="en-US" w:bidi="ar-SA"/>
        </w:rPr>
        <w:t xml:space="preserve"> </w:t>
      </w:r>
      <w:r>
        <w:rPr>
          <w:rFonts w:hint="eastAsia" w:ascii="仿宋_GB2312" w:hAnsi="仿宋_GB2312" w:eastAsia="仿宋_GB2312" w:cs="仿宋_GB2312"/>
          <w:b w:val="0"/>
          <w:bCs w:val="0"/>
          <w:snapToGrid/>
          <w:color w:val="auto"/>
          <w:spacing w:val="0"/>
          <w:kern w:val="2"/>
          <w:sz w:val="30"/>
          <w:szCs w:val="30"/>
          <w:lang w:val="en-US" w:eastAsia="en-US" w:bidi="ar-SA"/>
        </w:rPr>
        <w:t>、复议申请人的请求不能成立。</w:t>
      </w:r>
    </w:p>
    <w:p w14:paraId="141FFECA">
      <w:pPr>
        <w:kinsoku/>
        <w:wordWrap w:val="0"/>
        <w:autoSpaceDE/>
        <w:autoSpaceDN/>
        <w:snapToGrid/>
        <w:spacing w:afterLines="0" w:line="560" w:lineRule="exact"/>
        <w:ind w:firstLine="600" w:firstLineChars="200"/>
        <w:jc w:val="both"/>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本案中，被举报人销售“**”原味瓜子包装标签标注为：产品名称：原味瓜子;产品类型：熟制坚果与籽类食品（烘炒类）;配料：葵花籽、食用盐;致敏原信息：葵花籽仁;产品执行标准：GB19300;生产许可证编号 **;生产日期：见包装喷码处;保质期60天。被举报人向本局执法人员提供了编号：2024-1239检验报告，样品名称：原味瓜子;委托单位：湖南**食品有限公司;检验类别：委托检验。检验结论：所检该样品项目符合GB19300-2014和GB2760-2014要求。</w:t>
      </w:r>
    </w:p>
    <w:p w14:paraId="0C439CCE">
      <w:pPr>
        <w:kinsoku/>
        <w:wordWrap w:val="0"/>
        <w:autoSpaceDE/>
        <w:autoSpaceDN/>
        <w:snapToGrid/>
        <w:spacing w:afterLines="0" w:line="560" w:lineRule="exact"/>
        <w:ind w:firstLine="600" w:firstLineChars="200"/>
        <w:jc w:val="both"/>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因食品安全国家标准坚果与籽类食品GB19300-2014 中未禁止原味瓜子使用食用盐。依据《食品标识管理规定》第五条第二款：“食品标识的内容应当真实准确、通俗易懂、科学合法”的规定，被举报人在产品包装标识配料中标注食用盐，符合食品安全国家标准预包装食品标签通则 GB7718-20113.4及《中华人民共和国食品安全法》第七十一条的规定。</w:t>
      </w:r>
    </w:p>
    <w:p w14:paraId="05523B34">
      <w:pPr>
        <w:kinsoku/>
        <w:wordWrap w:val="0"/>
        <w:autoSpaceDE/>
        <w:autoSpaceDN/>
        <w:snapToGrid/>
        <w:spacing w:afterLines="0" w:line="560" w:lineRule="exact"/>
        <w:ind w:firstLine="600" w:firstLineChars="200"/>
        <w:jc w:val="both"/>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2025年1月10日，本局根据《中华人民共和国行政处罚法》第四十条的规定，依据《市场监督管理行政处罚程序规定》第二十条第一款第（四）项的规定，作出不予立案调查的决定，不属于法律适用错误。</w:t>
      </w:r>
    </w:p>
    <w:p w14:paraId="00634D46">
      <w:pPr>
        <w:kinsoku/>
        <w:wordWrap w:val="0"/>
        <w:autoSpaceDE/>
        <w:autoSpaceDN/>
        <w:snapToGrid/>
        <w:spacing w:afterLines="0" w:line="560" w:lineRule="exact"/>
        <w:ind w:firstLine="600" w:firstLineChars="200"/>
        <w:jc w:val="both"/>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综上所述，答复人就申请人的举报履行法定职责，申请人的复议请求不应支持，恳请县人民政府维持答辩人所作的决定。</w:t>
      </w:r>
    </w:p>
    <w:p w14:paraId="3373BD12">
      <w:pPr>
        <w:keepNext w:val="0"/>
        <w:keepLines w:val="0"/>
        <w:pageBreakBefore w:val="0"/>
        <w:numPr>
          <w:ilvl w:val="255"/>
          <w:numId w:val="0"/>
        </w:numPr>
        <w:kinsoku/>
        <w:wordWrap w:val="0"/>
        <w:overflowPunct/>
        <w:topLinePunct w:val="0"/>
        <w:autoSpaceDE/>
        <w:autoSpaceDN/>
        <w:bidi w:val="0"/>
        <w:adjustRightInd w:val="0"/>
        <w:snapToGrid/>
        <w:spacing w:afterLines="0"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0DB4431F">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color w:val="auto"/>
          <w:sz w:val="30"/>
          <w:szCs w:val="30"/>
        </w:rPr>
        <w:t>2024年</w:t>
      </w: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21</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拼多多平台“</w:t>
      </w:r>
      <w:r>
        <w:rPr>
          <w:rFonts w:hint="eastAsia" w:ascii="仿宋_GB2312" w:hAnsi="仿宋_GB2312" w:eastAsia="仿宋_GB2312" w:cs="仿宋_GB2312"/>
          <w:color w:val="auto"/>
          <w:sz w:val="30"/>
          <w:szCs w:val="30"/>
          <w:lang w:val="en-US" w:eastAsia="zh-CN"/>
        </w:rPr>
        <w:t>**食品*店</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7.69</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由湖南**食品有限公司生产、湘潭县*镇**食品店销售的</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原味瓜子</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袋。涉案产品</w:t>
      </w:r>
      <w:r>
        <w:rPr>
          <w:rFonts w:hint="eastAsia" w:ascii="仿宋_GB2312" w:hAnsi="仿宋_GB2312" w:eastAsia="仿宋_GB2312" w:cs="仿宋_GB2312"/>
          <w:snapToGrid/>
          <w:color w:val="auto"/>
          <w:spacing w:val="0"/>
          <w:kern w:val="2"/>
          <w:sz w:val="30"/>
          <w:szCs w:val="30"/>
          <w:lang w:val="en-US" w:eastAsia="zh-CN" w:bidi="ar-SA"/>
        </w:rPr>
        <w:t>标签标注“产品名称：原味瓜子;产品类型：熟制坚果与籽类食品（烘炒类）;配料：葵花籽、食用盐;致敏原信息：葵花籽仁;产品执行标准：GB19300;生产许可证编号 **;生产日期：见包装喷码处;保质期60天”等内容。</w:t>
      </w:r>
    </w:p>
    <w:p w14:paraId="762A465B">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12月份，申请人向被申请人邮寄举报信，被举报人：湖南**食品有限公司和湘潭县*镇**食品店。举报内容：本人因快过年了于2024年11月21日在拼多多平台“**食品*店”购买了**原味瓜子。原味是食品原来的味道，没有人为添加的味道。配料表添加有食用盐，而不是食品本身拥有的盐。但是名称为原味瓜子，虚假宣传，违反了GB7718中3.4、《中华人民共和国反不正当竞争法》第八条、《中华人民共和国消费者权益保护法》第二十条等规定。特向贵局提起投诉举报。为维护自身的权益，请求行政机关处置加害人法律责任，收集民事权益救济的证据。请求：1.如果发现违法行为依法组织调解退赔维护投诉举报人合法权益;2.调查发现违法行为依法予以处罚;3.建议依据《企业信息公示暂行条例》《市场监督管理行政处罚信息公示规定》等法律、法规将湖南**食品有限公司和湘潭县*镇**食品店（个体工商户）违法行为在“国家企业信用信息公示系统”进行公示;4.书面通知我对此举报处理不服时的行政救济途径方法;5.结案后如果符合举报奖励情况对食品安全作出贡献请依法告知奖励情况。</w:t>
      </w:r>
    </w:p>
    <w:p w14:paraId="064BEF89">
      <w:pPr>
        <w:kinsoku/>
        <w:wordWrap w:val="0"/>
        <w:autoSpaceDE/>
        <w:autoSpaceDN/>
        <w:snapToGrid/>
        <w:spacing w:afterLines="0" w:line="560" w:lineRule="exact"/>
        <w:ind w:firstLine="600" w:firstLineChars="200"/>
        <w:jc w:val="both"/>
        <w:textAlignment w:val="auto"/>
        <w:rPr>
          <w:rFonts w:hint="default" w:ascii="仿宋_GB2312" w:hAnsi="仿宋_GB2312" w:eastAsia="仿宋_GB2312" w:cs="仿宋_GB2312"/>
          <w:snapToGrid/>
          <w:color w:val="auto"/>
          <w:spacing w:val="0"/>
          <w:kern w:val="2"/>
          <w:sz w:val="30"/>
          <w:szCs w:val="30"/>
          <w:lang w:val="en-US" w:eastAsia="en-US" w:bidi="ar-SA"/>
        </w:rPr>
      </w:pPr>
      <w:r>
        <w:rPr>
          <w:rFonts w:hint="eastAsia" w:ascii="仿宋_GB2312" w:hAnsi="仿宋_GB2312" w:eastAsia="仿宋_GB2312" w:cs="仿宋_GB2312"/>
          <w:color w:val="auto"/>
          <w:sz w:val="30"/>
          <w:szCs w:val="30"/>
          <w:lang w:eastAsia="zh-CN"/>
        </w:rPr>
        <w:t>2024年1</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23</w:t>
      </w:r>
      <w:r>
        <w:rPr>
          <w:rFonts w:hint="eastAsia" w:ascii="仿宋_GB2312" w:hAnsi="仿宋_GB2312" w:eastAsia="仿宋_GB2312" w:cs="仿宋_GB2312"/>
          <w:color w:val="auto"/>
          <w:sz w:val="30"/>
          <w:szCs w:val="30"/>
          <w:lang w:eastAsia="zh-CN"/>
        </w:rPr>
        <w:t>日，被申请人收到申请人举报</w:t>
      </w:r>
      <w:r>
        <w:rPr>
          <w:rFonts w:hint="eastAsia" w:ascii="仿宋_GB2312" w:hAnsi="仿宋_GB2312" w:eastAsia="仿宋_GB2312" w:cs="仿宋_GB2312"/>
          <w:color w:val="auto"/>
          <w:sz w:val="30"/>
          <w:szCs w:val="30"/>
          <w:lang w:val="en-US" w:eastAsia="zh-CN"/>
        </w:rPr>
        <w:t>信</w:t>
      </w:r>
      <w:r>
        <w:rPr>
          <w:rFonts w:hint="eastAsia" w:ascii="仿宋_GB2312" w:hAnsi="仿宋_GB2312" w:eastAsia="仿宋_GB2312" w:cs="仿宋_GB2312"/>
          <w:color w:val="auto"/>
          <w:sz w:val="30"/>
          <w:szCs w:val="30"/>
          <w:lang w:eastAsia="zh-CN"/>
        </w:rPr>
        <w:t>，同日办理案件登记。1</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lang w:eastAsia="zh-CN"/>
        </w:rPr>
        <w:t>日，被申请人对被举报人湘潭县**食品店经营场所现场核查。经核查，该食品店位于湘潭县*镇*路*号</w:t>
      </w:r>
      <w:r>
        <w:rPr>
          <w:rFonts w:hint="eastAsia" w:ascii="仿宋_GB2312" w:hAnsi="仿宋_GB2312" w:eastAsia="仿宋_GB2312" w:cs="仿宋_GB2312"/>
          <w:color w:val="auto"/>
          <w:sz w:val="30"/>
          <w:szCs w:val="30"/>
          <w:lang w:val="en-US" w:eastAsia="zh-CN"/>
        </w:rPr>
        <w:t>，系个体工商户，经营方式为网络销售，没有实体门店，商户负责人提供了生产商湖南**食品有限公司的食品生产许可证及销售出库单。同日，被申请人对被举报人湖南**食品有限公司生产场所进行现场核查。</w:t>
      </w:r>
      <w:r>
        <w:rPr>
          <w:rFonts w:hint="eastAsia" w:ascii="仿宋_GB2312" w:hAnsi="仿宋_GB2312" w:eastAsia="仿宋_GB2312" w:cs="仿宋_GB2312"/>
          <w:snapToGrid/>
          <w:color w:val="auto"/>
          <w:spacing w:val="0"/>
          <w:kern w:val="2"/>
          <w:sz w:val="30"/>
          <w:szCs w:val="30"/>
          <w:lang w:val="en-US" w:eastAsia="zh-CN" w:bidi="ar-SA"/>
        </w:rPr>
        <w:t>该公司位于湘潭县*镇*路*号，面积约2万平方米，当事人生产加工区生产原味瓜子的设备由原料斗、物料提升机、长筒炒锅、筛选机1、筛选机2、冷却器、Z型无破碎提升机、杂粮色选机、T型无破碎提升机组成。被举报人湖南**食品有限公司向被申请人提供了《关于产品配料投诉的情况说明》，载明：“行业内原味葵瓜子工艺流程的炒制环节基本上都需要加入食用盐作为导热媒介，加入的食用盐会包裹住瓜子在加热的滚筒中与原料瓜子一起旋转，其作用是使瓜子尽可能的均衡受热，最大限度地保障了产成品的火候以及口感一致。我公司炒制原味瓜子的滚筒长度大约14米，一次性加入食用盐400公斤，原料进入滚筒的极限重量为500公斤左右。由于原料含有12%左右的水分，原料瓜子在进入滚筒的初期会蒸发出少量水汽，会导致极其微量的食用盐融化，并渗入瓜子壳内。也就是说，炒制瓜子过程中会有极其微量的食用盐渗入到瓜子里面。而且众所周知，盐为百味之王，这样还能够起到增香增味的效果。”被举报人还向被申请人提供了东莞市华测检测认证有限公司出具的《检测报告》（编号：A2240576713101003C），检验结论为所检该样品项目符合GB19300-2014和GB2760-2014要求。</w:t>
      </w:r>
    </w:p>
    <w:p w14:paraId="40244D1D">
      <w:pPr>
        <w:pStyle w:val="2"/>
        <w:adjustRightInd/>
        <w:spacing w:after="0" w:line="560" w:lineRule="exact"/>
        <w:ind w:firstLine="600" w:firstLineChars="200"/>
        <w:rPr>
          <w:rFonts w:hint="eastAsia" w:ascii="仿宋_GB2312" w:hAnsi="仿宋_GB2312" w:eastAsia="仿宋_GB2312" w:cs="仿宋_GB2312"/>
          <w:color w:val="auto"/>
          <w:sz w:val="30"/>
          <w:szCs w:val="30"/>
          <w:lang w:val="en-US" w:eastAsia="en-US"/>
        </w:rPr>
      </w:pPr>
      <w:r>
        <w:rPr>
          <w:rFonts w:hint="eastAsia" w:ascii="仿宋_GB2312" w:hAnsi="仿宋_GB2312" w:eastAsia="仿宋_GB2312" w:cs="仿宋_GB2312"/>
          <w:color w:val="auto"/>
          <w:sz w:val="30"/>
          <w:szCs w:val="30"/>
          <w:lang w:eastAsia="en-US"/>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en-US"/>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en-US"/>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en-US"/>
        </w:rPr>
        <w:t>日，被申请人作出举报不予立案告知书，告知书载明：“</w:t>
      </w:r>
      <w:r>
        <w:rPr>
          <w:rFonts w:hint="eastAsia" w:ascii="仿宋_GB2312" w:hAnsi="仿宋_GB2312" w:eastAsia="仿宋_GB2312" w:cs="仿宋_GB2312"/>
          <w:snapToGrid/>
          <w:color w:val="auto"/>
          <w:spacing w:val="0"/>
          <w:kern w:val="2"/>
          <w:sz w:val="30"/>
          <w:szCs w:val="30"/>
          <w:lang w:eastAsia="en-US"/>
        </w:rPr>
        <w:t>我局执法人员于12月26日对</w:t>
      </w:r>
      <w:r>
        <w:rPr>
          <w:rFonts w:hint="eastAsia" w:ascii="仿宋_GB2312" w:hAnsi="仿宋_GB2312" w:eastAsia="仿宋_GB2312" w:cs="仿宋_GB2312"/>
          <w:snapToGrid/>
          <w:color w:val="auto"/>
          <w:spacing w:val="0"/>
          <w:kern w:val="2"/>
          <w:sz w:val="30"/>
          <w:szCs w:val="30"/>
          <w:lang w:eastAsia="zh-CN"/>
        </w:rPr>
        <w:t>湖南**食品有限公司</w:t>
      </w:r>
      <w:r>
        <w:rPr>
          <w:rFonts w:hint="eastAsia" w:ascii="仿宋_GB2312" w:hAnsi="仿宋_GB2312" w:eastAsia="仿宋_GB2312" w:cs="仿宋_GB2312"/>
          <w:snapToGrid/>
          <w:color w:val="auto"/>
          <w:spacing w:val="0"/>
          <w:kern w:val="2"/>
          <w:sz w:val="30"/>
          <w:szCs w:val="30"/>
          <w:lang w:eastAsia="en-US"/>
        </w:rPr>
        <w:t>生产经营场所进行核查，当事人生产销售的原味瓜子在炒制环节是使用食用盐作为导热媒介，其作用是使瓜子尽可能的均匀受热。当事人向执法人员提供了营养成分表检测报告其中钠含量为61.8mg/100g。当事人在产品配料表中标注食用盐符合《预包装食品标签通则》GB7718的规定。</w:t>
      </w:r>
      <w:r>
        <w:rPr>
          <w:rFonts w:hint="eastAsia" w:ascii="仿宋_GB2312" w:hAnsi="仿宋_GB2312" w:eastAsia="仿宋_GB2312" w:cs="仿宋_GB2312"/>
          <w:snapToGrid/>
          <w:color w:val="auto"/>
          <w:spacing w:val="0"/>
          <w:kern w:val="2"/>
          <w:sz w:val="30"/>
          <w:szCs w:val="30"/>
          <w:lang w:eastAsia="zh-CN"/>
        </w:rPr>
        <w:t>湘潭县*镇**食品店</w:t>
      </w:r>
      <w:r>
        <w:rPr>
          <w:rFonts w:hint="eastAsia" w:ascii="仿宋_GB2312" w:hAnsi="仿宋_GB2312" w:eastAsia="仿宋_GB2312" w:cs="仿宋_GB2312"/>
          <w:snapToGrid/>
          <w:color w:val="auto"/>
          <w:spacing w:val="0"/>
          <w:kern w:val="2"/>
          <w:sz w:val="30"/>
          <w:szCs w:val="30"/>
          <w:lang w:eastAsia="en-US"/>
        </w:rPr>
        <w:t>履行了《中华人民共和国食品安全法》第五十三条的规定。根据《中华人民共和国行政处罚法》第四十条的规定，依据《市场监督管理行政处罚程序规定》第二十条第一款第</w:t>
      </w:r>
      <w:r>
        <w:rPr>
          <w:rFonts w:hint="eastAsia" w:ascii="仿宋_GB2312" w:hAnsi="仿宋_GB2312" w:eastAsia="仿宋_GB2312" w:cs="仿宋_GB2312"/>
          <w:snapToGrid/>
          <w:color w:val="auto"/>
          <w:spacing w:val="0"/>
          <w:kern w:val="2"/>
          <w:sz w:val="30"/>
          <w:szCs w:val="30"/>
          <w:lang w:eastAsia="zh-CN"/>
        </w:rPr>
        <w:t>（</w:t>
      </w:r>
      <w:r>
        <w:rPr>
          <w:rFonts w:hint="eastAsia" w:ascii="仿宋_GB2312" w:hAnsi="仿宋_GB2312" w:eastAsia="仿宋_GB2312" w:cs="仿宋_GB2312"/>
          <w:snapToGrid/>
          <w:color w:val="auto"/>
          <w:spacing w:val="0"/>
          <w:kern w:val="2"/>
          <w:sz w:val="30"/>
          <w:szCs w:val="30"/>
          <w:lang w:eastAsia="en-US"/>
        </w:rPr>
        <w:t>四</w:t>
      </w:r>
      <w:r>
        <w:rPr>
          <w:rFonts w:hint="eastAsia" w:ascii="仿宋_GB2312" w:hAnsi="仿宋_GB2312" w:eastAsia="仿宋_GB2312" w:cs="仿宋_GB2312"/>
          <w:snapToGrid/>
          <w:color w:val="auto"/>
          <w:spacing w:val="0"/>
          <w:kern w:val="2"/>
          <w:sz w:val="30"/>
          <w:szCs w:val="30"/>
          <w:lang w:eastAsia="zh-CN"/>
        </w:rPr>
        <w:t>）</w:t>
      </w:r>
      <w:r>
        <w:rPr>
          <w:rFonts w:hint="eastAsia" w:ascii="仿宋_GB2312" w:hAnsi="仿宋_GB2312" w:eastAsia="仿宋_GB2312" w:cs="仿宋_GB2312"/>
          <w:snapToGrid/>
          <w:color w:val="auto"/>
          <w:spacing w:val="0"/>
          <w:kern w:val="2"/>
          <w:sz w:val="30"/>
          <w:szCs w:val="30"/>
          <w:lang w:eastAsia="en-US"/>
        </w:rPr>
        <w:t>项的规定。我局决定不予立案。</w:t>
      </w:r>
      <w:r>
        <w:rPr>
          <w:rFonts w:hint="eastAsia" w:ascii="仿宋_GB2312" w:hAnsi="仿宋_GB2312" w:eastAsia="仿宋_GB2312" w:cs="仿宋_GB2312"/>
          <w:color w:val="auto"/>
          <w:kern w:val="2"/>
          <w:sz w:val="30"/>
          <w:szCs w:val="30"/>
          <w:lang w:val="en-US" w:eastAsia="en-US" w:bidi="ar-SA"/>
        </w:rPr>
        <w:t>”同年</w:t>
      </w:r>
      <w:r>
        <w:rPr>
          <w:rFonts w:hint="eastAsia" w:ascii="仿宋_GB2312" w:hAnsi="仿宋_GB2312" w:eastAsia="仿宋_GB2312" w:cs="仿宋_GB2312"/>
          <w:color w:val="auto"/>
          <w:kern w:val="2"/>
          <w:sz w:val="30"/>
          <w:szCs w:val="30"/>
          <w:lang w:val="en-US" w:eastAsia="zh-CN" w:bidi="ar-SA"/>
        </w:rPr>
        <w:t>1</w:t>
      </w:r>
      <w:r>
        <w:rPr>
          <w:rFonts w:hint="eastAsia" w:ascii="仿宋_GB2312" w:hAnsi="仿宋_GB2312" w:eastAsia="仿宋_GB2312" w:cs="仿宋_GB2312"/>
          <w:color w:val="auto"/>
          <w:kern w:val="2"/>
          <w:sz w:val="30"/>
          <w:szCs w:val="30"/>
          <w:lang w:val="en-US" w:eastAsia="en-US" w:bidi="ar-SA"/>
        </w:rPr>
        <w:t>月</w:t>
      </w:r>
      <w:r>
        <w:rPr>
          <w:rFonts w:hint="eastAsia" w:ascii="仿宋_GB2312" w:hAnsi="仿宋_GB2312" w:eastAsia="仿宋_GB2312" w:cs="仿宋_GB2312"/>
          <w:color w:val="auto"/>
          <w:kern w:val="2"/>
          <w:sz w:val="30"/>
          <w:szCs w:val="30"/>
          <w:lang w:val="en-US" w:eastAsia="zh-CN" w:bidi="ar-SA"/>
        </w:rPr>
        <w:t>14</w:t>
      </w:r>
      <w:r>
        <w:rPr>
          <w:rFonts w:hint="eastAsia" w:ascii="仿宋_GB2312" w:hAnsi="仿宋_GB2312" w:eastAsia="仿宋_GB2312" w:cs="仿宋_GB2312"/>
          <w:color w:val="auto"/>
          <w:kern w:val="2"/>
          <w:sz w:val="30"/>
          <w:szCs w:val="30"/>
          <w:lang w:val="en-US" w:eastAsia="en-US" w:bidi="ar-SA"/>
        </w:rPr>
        <w:t>日被申请人将上述决定书</w:t>
      </w:r>
      <w:r>
        <w:rPr>
          <w:rFonts w:hint="eastAsia" w:ascii="仿宋_GB2312" w:hAnsi="仿宋_GB2312" w:eastAsia="仿宋_GB2312" w:cs="仿宋_GB2312"/>
          <w:color w:val="auto"/>
          <w:kern w:val="2"/>
          <w:sz w:val="30"/>
          <w:szCs w:val="30"/>
          <w:lang w:val="en-US" w:eastAsia="zh-CN" w:bidi="ar-SA"/>
        </w:rPr>
        <w:t>邮寄送达</w:t>
      </w:r>
      <w:r>
        <w:rPr>
          <w:rFonts w:hint="eastAsia" w:ascii="仿宋_GB2312" w:hAnsi="仿宋_GB2312" w:eastAsia="仿宋_GB2312" w:cs="仿宋_GB2312"/>
          <w:color w:val="auto"/>
          <w:kern w:val="2"/>
          <w:sz w:val="30"/>
          <w:szCs w:val="30"/>
          <w:lang w:val="en-US" w:eastAsia="en-US" w:bidi="ar-SA"/>
        </w:rPr>
        <w:t>申请人</w:t>
      </w:r>
      <w:r>
        <w:rPr>
          <w:rFonts w:hint="eastAsia" w:ascii="仿宋_GB2312" w:hAnsi="仿宋_GB2312" w:eastAsia="仿宋_GB2312" w:cs="仿宋_GB2312"/>
          <w:color w:val="auto"/>
          <w:kern w:val="2"/>
          <w:sz w:val="30"/>
          <w:szCs w:val="30"/>
          <w:lang w:val="en-US" w:eastAsia="zh-CN" w:bidi="ar-SA"/>
        </w:rPr>
        <w:t>，申请人1月16日签收</w:t>
      </w:r>
      <w:r>
        <w:rPr>
          <w:rFonts w:hint="eastAsia" w:ascii="仿宋_GB2312" w:hAnsi="仿宋_GB2312" w:eastAsia="仿宋_GB2312" w:cs="仿宋_GB2312"/>
          <w:color w:val="auto"/>
          <w:kern w:val="2"/>
          <w:sz w:val="30"/>
          <w:szCs w:val="30"/>
          <w:lang w:val="en-US" w:eastAsia="en-US" w:bidi="ar-SA"/>
        </w:rPr>
        <w:t>。</w:t>
      </w:r>
    </w:p>
    <w:p w14:paraId="36402905">
      <w:pPr>
        <w:spacing w:afterLines="0" w:line="560" w:lineRule="exact"/>
        <w:ind w:firstLine="600" w:firstLineChars="200"/>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en-US"/>
        </w:rPr>
        <w:t>申请人对被申请人202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en-US"/>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en-US"/>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en-US"/>
        </w:rPr>
        <w:t>日作出</w:t>
      </w:r>
      <w:r>
        <w:rPr>
          <w:rFonts w:hint="eastAsia" w:ascii="仿宋_GB2312" w:hAnsi="仿宋_GB2312" w:eastAsia="仿宋_GB2312" w:cs="仿宋_GB2312"/>
          <w:color w:val="auto"/>
          <w:sz w:val="30"/>
          <w:szCs w:val="30"/>
          <w:lang w:eastAsia="zh-CN"/>
        </w:rPr>
        <w:t>的</w:t>
      </w:r>
      <w:r>
        <w:rPr>
          <w:rFonts w:hint="eastAsia" w:ascii="仿宋_GB2312" w:hAnsi="仿宋_GB2312" w:eastAsia="仿宋_GB2312" w:cs="仿宋_GB2312"/>
          <w:color w:val="auto"/>
          <w:sz w:val="30"/>
          <w:szCs w:val="30"/>
          <w:lang w:eastAsia="en-US"/>
        </w:rPr>
        <w:t>举报不予立案决定不服，向本机关</w:t>
      </w:r>
      <w:r>
        <w:rPr>
          <w:rFonts w:hint="eastAsia" w:ascii="仿宋_GB2312" w:hAnsi="仿宋_GB2312" w:eastAsia="仿宋_GB2312" w:cs="仿宋_GB2312"/>
          <w:color w:val="auto"/>
          <w:sz w:val="30"/>
          <w:szCs w:val="30"/>
          <w:lang w:val="en-US" w:eastAsia="en-US"/>
        </w:rPr>
        <w:t>邮寄</w:t>
      </w:r>
      <w:r>
        <w:rPr>
          <w:rFonts w:hint="eastAsia" w:ascii="仿宋_GB2312" w:hAnsi="仿宋_GB2312" w:eastAsia="仿宋_GB2312" w:cs="仿宋_GB2312"/>
          <w:color w:val="auto"/>
          <w:sz w:val="30"/>
          <w:szCs w:val="30"/>
          <w:lang w:eastAsia="en-US"/>
        </w:rPr>
        <w:t>提交复议申请。</w:t>
      </w:r>
    </w:p>
    <w:p w14:paraId="22E6267C">
      <w:pPr>
        <w:keepNext w:val="0"/>
        <w:keepLines w:val="0"/>
        <w:pageBreakBefore w:val="0"/>
        <w:widowControl/>
        <w:kinsoku/>
        <w:wordWrap w:val="0"/>
        <w:overflowPunct/>
        <w:topLinePunct w:val="0"/>
        <w:autoSpaceDE/>
        <w:autoSpaceDN/>
        <w:bidi w:val="0"/>
        <w:adjustRightInd w:val="0"/>
        <w:snapToGrid/>
        <w:spacing w:afterLines="0"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和补充意见</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居民身份证复印件、拼多多平台交易商品快照、履职申请书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支付宝交易电子回单、案涉食品外包装及标签照片、举报不予立案告知书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履职申请书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案件来源登记表、营业执照、食品生产许可证、委托代理人身份证复印件、</w:t>
      </w:r>
      <w:r>
        <w:rPr>
          <w:rFonts w:hint="eastAsia" w:ascii="仿宋_GB2312" w:hAnsi="仿宋_GB2312" w:eastAsia="仿宋_GB2312" w:cs="仿宋_GB2312"/>
          <w:color w:val="auto"/>
          <w:sz w:val="30"/>
          <w:szCs w:val="30"/>
        </w:rPr>
        <w:t>现场笔录、</w:t>
      </w:r>
      <w:r>
        <w:rPr>
          <w:rFonts w:hint="eastAsia" w:ascii="仿宋_GB2312" w:hAnsi="仿宋_GB2312" w:eastAsia="仿宋_GB2312" w:cs="仿宋_GB2312"/>
          <w:color w:val="auto"/>
          <w:sz w:val="30"/>
          <w:szCs w:val="30"/>
          <w:lang w:eastAsia="zh-CN"/>
        </w:rPr>
        <w:t>询问笔录、现场照片、</w:t>
      </w:r>
      <w:r>
        <w:rPr>
          <w:rFonts w:hint="eastAsia" w:ascii="仿宋_GB2312" w:hAnsi="仿宋_GB2312" w:eastAsia="仿宋_GB2312" w:cs="仿宋_GB2312"/>
          <w:color w:val="auto"/>
          <w:sz w:val="30"/>
          <w:szCs w:val="30"/>
          <w:lang w:val="en-US" w:eastAsia="zh-CN"/>
        </w:rPr>
        <w:t>检测报告、</w:t>
      </w:r>
      <w:r>
        <w:rPr>
          <w:rFonts w:hint="eastAsia" w:ascii="仿宋_GB2312" w:hAnsi="仿宋_GB2312" w:eastAsia="仿宋_GB2312" w:cs="仿宋_GB2312"/>
          <w:color w:val="auto"/>
          <w:sz w:val="30"/>
          <w:szCs w:val="30"/>
          <w:lang w:eastAsia="zh-CN"/>
        </w:rPr>
        <w:t>销售出库单</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不予立案审批表、举报不予立案告知书</w:t>
      </w:r>
      <w:r>
        <w:rPr>
          <w:rFonts w:hint="eastAsia" w:ascii="仿宋_GB2312" w:hAnsi="仿宋_GB2312" w:eastAsia="仿宋_GB2312" w:cs="仿宋_GB2312"/>
          <w:color w:val="auto"/>
          <w:sz w:val="30"/>
          <w:szCs w:val="30"/>
          <w:lang w:val="en-US" w:eastAsia="zh-CN"/>
        </w:rPr>
        <w:t>、文书送达回证及物流截图</w:t>
      </w:r>
      <w:r>
        <w:rPr>
          <w:rFonts w:hint="eastAsia" w:ascii="仿宋_GB2312" w:hAnsi="仿宋_GB2312" w:eastAsia="仿宋_GB2312" w:cs="仿宋_GB2312"/>
          <w:color w:val="auto"/>
          <w:sz w:val="30"/>
          <w:szCs w:val="30"/>
        </w:rPr>
        <w:t>等证据证实。</w:t>
      </w:r>
    </w:p>
    <w:p w14:paraId="7C2E6A00">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2AA283F2">
      <w:pPr>
        <w:widowControl/>
        <w:numPr>
          <w:ilvl w:val="255"/>
          <w:numId w:val="0"/>
        </w:numPr>
        <w:adjustRightInd w:val="0"/>
        <w:spacing w:afterLines="0"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w:t>
      </w:r>
      <w:r>
        <w:rPr>
          <w:rFonts w:hint="eastAsia" w:ascii="仿宋_GB2312" w:hAnsi="仿宋_GB2312" w:eastAsia="仿宋_GB2312" w:cs="仿宋_GB2312"/>
          <w:color w:val="auto"/>
          <w:sz w:val="30"/>
          <w:szCs w:val="30"/>
        </w:rPr>
        <w:t>第二十五条规定，举报由被举报行为发生地的县级以上市场监督管理部门处理。本案被举报人位于湘潭</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镇，被申请人作为湘潭县市场监督管理部门，负责本行政区域内的投诉举报处理工作，被申请人</w:t>
      </w:r>
      <w:r>
        <w:rPr>
          <w:rFonts w:hint="eastAsia" w:ascii="仿宋_GB2312" w:hAnsi="仿宋_GB2312" w:eastAsia="仿宋_GB2312" w:cs="仿宋_GB2312"/>
          <w:color w:val="auto"/>
          <w:sz w:val="30"/>
          <w:szCs w:val="30"/>
          <w:lang w:val="en-US" w:eastAsia="zh-CN"/>
        </w:rPr>
        <w:t>复议</w:t>
      </w:r>
      <w:r>
        <w:rPr>
          <w:rFonts w:hint="eastAsia" w:ascii="仿宋_GB2312" w:hAnsi="仿宋_GB2312" w:eastAsia="仿宋_GB2312" w:cs="仿宋_GB2312"/>
          <w:color w:val="auto"/>
          <w:sz w:val="30"/>
          <w:szCs w:val="30"/>
        </w:rPr>
        <w:t>主体适格。</w:t>
      </w:r>
    </w:p>
    <w:p w14:paraId="4B7C5994">
      <w:pPr>
        <w:pStyle w:val="3"/>
        <w:pBdr>
          <w:top w:val="none" w:color="auto" w:sz="0" w:space="0"/>
          <w:left w:val="none" w:color="auto" w:sz="0" w:space="0"/>
          <w:bottom w:val="none" w:color="auto" w:sz="0" w:space="0"/>
          <w:right w:val="none" w:color="auto" w:sz="0" w:space="0"/>
        </w:pBdr>
        <w:shd w:val="clear" w:fill="FFFFFF"/>
        <w:spacing w:beforeAutospacing="0" w:afterLines="0" w:afterAutospacing="0" w:line="560" w:lineRule="exact"/>
        <w:ind w:firstLine="600" w:firstLineChars="200"/>
        <w:jc w:val="both"/>
        <w:rPr>
          <w:rFonts w:hint="eastAsia" w:ascii="仿宋_GB2312" w:hAnsi="仿宋_GB2312" w:eastAsia="仿宋_GB2312" w:cs="仿宋_GB2312"/>
          <w:snapToGrid/>
          <w:color w:val="auto"/>
          <w:spacing w:val="0"/>
          <w:kern w:val="2"/>
          <w:sz w:val="30"/>
          <w:szCs w:val="30"/>
          <w:lang w:eastAsia="zh-CN"/>
        </w:rPr>
      </w:pPr>
      <w:r>
        <w:rPr>
          <w:rFonts w:hint="eastAsia" w:ascii="仿宋_GB2312" w:hAnsi="仿宋_GB2312" w:eastAsia="仿宋_GB2312" w:cs="仿宋_GB2312"/>
          <w:i w:val="0"/>
          <w:iCs w:val="0"/>
          <w:caps w:val="0"/>
          <w:color w:val="auto"/>
          <w:spacing w:val="0"/>
          <w:kern w:val="2"/>
          <w:sz w:val="30"/>
          <w:szCs w:val="30"/>
          <w:shd w:val="clear"/>
          <w:lang w:val="en-US" w:eastAsia="zh-CN" w:bidi="ar-SA"/>
        </w:rPr>
        <w:t>《中华人民共和国食品安全法》第七十一条第一款规定，食品和食品添加剂的标签、说明书，不得含有虚假内容，不得涉及疾病预防、治疗功能。生产经营者对其提供的标签、说明书的内容负责。《国家食品安全标准预包装食品标签通则》3.4条规定，应真实、准确，不得以虚假、夸大、使消费者误解或欺骗性的文字、图形等方式介绍食品，也不得利用字号大小或色差误导消费者。《食品标识管理规定》第五条第二款规定，食品标识的内容应当真实准确、通俗易懂、科学合法。</w:t>
      </w:r>
      <w:bookmarkStart w:id="0" w:name="No197_Z4J2T50K1"/>
      <w:bookmarkEnd w:id="0"/>
      <w:bookmarkStart w:id="1" w:name="No198_Z4J2T50K2"/>
      <w:bookmarkEnd w:id="1"/>
      <w:r>
        <w:rPr>
          <w:rFonts w:hint="eastAsia" w:ascii="仿宋_GB2312" w:hAnsi="仿宋_GB2312" w:eastAsia="仿宋_GB2312" w:cs="仿宋_GB2312"/>
          <w:i w:val="0"/>
          <w:iCs w:val="0"/>
          <w:caps w:val="0"/>
          <w:color w:val="auto"/>
          <w:spacing w:val="0"/>
          <w:kern w:val="2"/>
          <w:sz w:val="30"/>
          <w:szCs w:val="30"/>
          <w:shd w:val="clear"/>
          <w:lang w:val="en-US" w:eastAsia="zh-CN" w:bidi="ar-SA"/>
        </w:rPr>
        <w:t>本案中，涉案产品类型为熟制坚果与籽类食品（烘烤类），产品执行标准为GB19300，该执行标准中未禁止炒制瓜子时使用食用盐。涉案产品</w:t>
      </w:r>
      <w:r>
        <w:rPr>
          <w:rFonts w:hint="eastAsia" w:ascii="仿宋_GB2312" w:hAnsi="仿宋_GB2312" w:eastAsia="仿宋_GB2312" w:cs="仿宋_GB2312"/>
          <w:snapToGrid/>
          <w:color w:val="auto"/>
          <w:spacing w:val="0"/>
          <w:kern w:val="2"/>
          <w:sz w:val="30"/>
          <w:szCs w:val="30"/>
          <w:lang w:eastAsia="zh-CN"/>
        </w:rPr>
        <w:t>在炒制环节是使用食用</w:t>
      </w:r>
      <w:r>
        <w:rPr>
          <w:rFonts w:hint="eastAsia" w:ascii="仿宋_GB2312" w:hAnsi="仿宋_GB2312" w:eastAsia="仿宋_GB2312" w:cs="仿宋_GB2312"/>
          <w:snapToGrid/>
          <w:color w:val="auto"/>
          <w:spacing w:val="0"/>
          <w:kern w:val="2"/>
          <w:sz w:val="30"/>
          <w:szCs w:val="30"/>
          <w:lang w:eastAsia="en-US"/>
        </w:rPr>
        <w:t>盐作为导热媒介，其作用是使瓜子尽可能</w:t>
      </w:r>
      <w:r>
        <w:rPr>
          <w:rFonts w:hint="eastAsia" w:ascii="仿宋_GB2312" w:hAnsi="仿宋_GB2312" w:eastAsia="仿宋_GB2312" w:cs="仿宋_GB2312"/>
          <w:snapToGrid/>
          <w:color w:val="auto"/>
          <w:spacing w:val="0"/>
          <w:kern w:val="2"/>
          <w:sz w:val="30"/>
          <w:szCs w:val="30"/>
          <w:lang w:eastAsia="zh-CN"/>
        </w:rPr>
        <w:t>地</w:t>
      </w:r>
      <w:r>
        <w:rPr>
          <w:rFonts w:hint="eastAsia" w:ascii="仿宋_GB2312" w:hAnsi="仿宋_GB2312" w:eastAsia="仿宋_GB2312" w:cs="仿宋_GB2312"/>
          <w:snapToGrid/>
          <w:color w:val="auto"/>
          <w:spacing w:val="0"/>
          <w:kern w:val="2"/>
          <w:sz w:val="30"/>
          <w:szCs w:val="30"/>
          <w:lang w:eastAsia="en-US"/>
        </w:rPr>
        <w:t>均匀受热。</w:t>
      </w:r>
      <w:r>
        <w:rPr>
          <w:rFonts w:hint="eastAsia" w:ascii="仿宋_GB2312" w:hAnsi="仿宋_GB2312" w:eastAsia="仿宋_GB2312" w:cs="仿宋_GB2312"/>
          <w:snapToGrid/>
          <w:color w:val="auto"/>
          <w:spacing w:val="0"/>
          <w:kern w:val="2"/>
          <w:sz w:val="30"/>
          <w:szCs w:val="30"/>
          <w:lang w:val="en-US" w:eastAsia="zh-CN"/>
        </w:rPr>
        <w:t>被举报人因案涉产品制作工艺需要在生产过程中添加食盐使得食品本身的味道偏离了“原味”这一概念，容易使消费者产生错误判断，</w:t>
      </w:r>
      <w:r>
        <w:rPr>
          <w:rFonts w:hint="eastAsia" w:ascii="仿宋_GB2312" w:hAnsi="仿宋_GB2312" w:eastAsia="仿宋_GB2312" w:cs="仿宋_GB2312"/>
          <w:snapToGrid/>
          <w:color w:val="auto"/>
          <w:spacing w:val="0"/>
          <w:kern w:val="2"/>
          <w:sz w:val="30"/>
          <w:szCs w:val="30"/>
          <w:lang w:eastAsia="zh-CN"/>
        </w:rPr>
        <w:t>被申请人认为被举报人湖南**食品有限公司</w:t>
      </w:r>
      <w:r>
        <w:rPr>
          <w:rFonts w:hint="eastAsia" w:ascii="仿宋_GB2312" w:hAnsi="仿宋_GB2312" w:eastAsia="仿宋_GB2312" w:cs="仿宋_GB2312"/>
          <w:snapToGrid/>
          <w:color w:val="auto"/>
          <w:spacing w:val="0"/>
          <w:kern w:val="2"/>
          <w:sz w:val="30"/>
          <w:szCs w:val="30"/>
          <w:lang w:eastAsia="en-US"/>
        </w:rPr>
        <w:t>在产品配料表中标注食用盐符合《</w:t>
      </w:r>
      <w:r>
        <w:rPr>
          <w:rFonts w:hint="eastAsia" w:ascii="仿宋_GB2312" w:hAnsi="仿宋_GB2312" w:eastAsia="仿宋_GB2312" w:cs="仿宋_GB2312"/>
          <w:i w:val="0"/>
          <w:iCs w:val="0"/>
          <w:caps w:val="0"/>
          <w:color w:val="auto"/>
          <w:spacing w:val="0"/>
          <w:kern w:val="2"/>
          <w:sz w:val="30"/>
          <w:szCs w:val="30"/>
          <w:shd w:val="clear"/>
          <w:lang w:val="en-US" w:eastAsia="zh-CN" w:bidi="ar"/>
        </w:rPr>
        <w:t>国家食品安全标准</w:t>
      </w:r>
      <w:r>
        <w:rPr>
          <w:rFonts w:hint="eastAsia" w:ascii="仿宋_GB2312" w:hAnsi="仿宋_GB2312" w:eastAsia="仿宋_GB2312" w:cs="仿宋_GB2312"/>
          <w:snapToGrid/>
          <w:color w:val="auto"/>
          <w:spacing w:val="0"/>
          <w:kern w:val="2"/>
          <w:sz w:val="30"/>
          <w:szCs w:val="30"/>
          <w:lang w:eastAsia="en-US"/>
        </w:rPr>
        <w:t>预包装食品标签通则》的规定</w:t>
      </w:r>
      <w:r>
        <w:rPr>
          <w:rFonts w:hint="eastAsia" w:ascii="仿宋_GB2312" w:hAnsi="仿宋_GB2312" w:eastAsia="仿宋_GB2312" w:cs="仿宋_GB2312"/>
          <w:snapToGrid/>
          <w:color w:val="auto"/>
          <w:spacing w:val="0"/>
          <w:kern w:val="2"/>
          <w:sz w:val="30"/>
          <w:szCs w:val="30"/>
          <w:lang w:eastAsia="zh-CN"/>
        </w:rPr>
        <w:t>，</w:t>
      </w:r>
      <w:r>
        <w:rPr>
          <w:rFonts w:hint="eastAsia" w:ascii="仿宋_GB2312" w:hAnsi="仿宋_GB2312" w:eastAsia="仿宋_GB2312" w:cs="仿宋_GB2312"/>
          <w:snapToGrid/>
          <w:color w:val="auto"/>
          <w:spacing w:val="0"/>
          <w:kern w:val="2"/>
          <w:sz w:val="30"/>
          <w:szCs w:val="30"/>
          <w:lang w:val="en-US" w:eastAsia="zh-CN"/>
        </w:rPr>
        <w:t>是对案涉产品营养标签标注的合法性进行评价，与申请人举报事项并无关联，属于主要事实不清，证据不足。被申请人根据</w:t>
      </w:r>
      <w:r>
        <w:rPr>
          <w:rFonts w:hint="eastAsia" w:ascii="仿宋_GB2312" w:hAnsi="仿宋_GB2312" w:eastAsia="仿宋_GB2312" w:cs="仿宋_GB2312"/>
          <w:snapToGrid/>
          <w:color w:val="auto"/>
          <w:spacing w:val="0"/>
          <w:kern w:val="2"/>
          <w:sz w:val="30"/>
          <w:szCs w:val="30"/>
          <w:lang w:val="en-US" w:eastAsia="zh-CN" w:bidi="ar-SA"/>
        </w:rPr>
        <w:t>《中华人民共和国行政处罚法》第四十条的规定，依据《市场监督管理行政处罚程序规定》第二十条第一款第（四）项的规定，作出不予立案调查的决定，属于适用依据错误。</w:t>
      </w:r>
    </w:p>
    <w:p w14:paraId="5373DC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Autospacing="0" w:afterLines="0" w:afterAutospacing="0" w:line="560" w:lineRule="exact"/>
        <w:ind w:firstLine="600" w:firstLineChars="200"/>
        <w:jc w:val="both"/>
        <w:rPr>
          <w:rFonts w:hint="eastAsia" w:ascii="仿宋_GB2312" w:hAnsi="仿宋_GB2312" w:eastAsia="仿宋_GB2312" w:cs="仿宋_GB2312"/>
          <w:snapToGrid/>
          <w:color w:val="auto"/>
          <w:spacing w:val="0"/>
          <w:kern w:val="2"/>
          <w:sz w:val="30"/>
          <w:szCs w:val="30"/>
          <w:lang w:val="en-US" w:eastAsia="zh-CN"/>
        </w:rPr>
      </w:pPr>
      <w:r>
        <w:rPr>
          <w:rFonts w:hint="eastAsia" w:ascii="仿宋_GB2312" w:hAnsi="仿宋_GB2312" w:eastAsia="仿宋_GB2312" w:cs="仿宋_GB2312"/>
          <w:i w:val="0"/>
          <w:iCs w:val="0"/>
          <w:caps w:val="0"/>
          <w:color w:val="auto"/>
          <w:spacing w:val="0"/>
          <w:kern w:val="2"/>
          <w:sz w:val="30"/>
          <w:szCs w:val="30"/>
          <w:shd w:val="clear"/>
          <w:lang w:val="en-US" w:eastAsia="zh-CN" w:bidi="ar-SA"/>
        </w:rPr>
        <w:t>《</w:t>
      </w:r>
      <w:r>
        <w:rPr>
          <w:rFonts w:hint="eastAsia" w:ascii="仿宋_GB2312" w:hAnsi="仿宋_GB2312" w:eastAsia="仿宋_GB2312" w:cs="仿宋_GB2312"/>
          <w:b w:val="0"/>
          <w:bCs w:val="0"/>
          <w:i w:val="0"/>
          <w:iCs w:val="0"/>
          <w:caps w:val="0"/>
          <w:color w:val="auto"/>
          <w:spacing w:val="0"/>
          <w:kern w:val="2"/>
          <w:sz w:val="30"/>
          <w:szCs w:val="30"/>
          <w:shd w:val="clear"/>
          <w:lang w:bidi="ar-SA"/>
        </w:rPr>
        <w:t>中华人民共和国食品安全法</w:t>
      </w:r>
      <w:r>
        <w:rPr>
          <w:rFonts w:hint="eastAsia" w:ascii="仿宋_GB2312" w:hAnsi="仿宋_GB2312" w:eastAsia="仿宋_GB2312" w:cs="仿宋_GB2312"/>
          <w:i w:val="0"/>
          <w:iCs w:val="0"/>
          <w:caps w:val="0"/>
          <w:color w:val="auto"/>
          <w:spacing w:val="0"/>
          <w:kern w:val="2"/>
          <w:sz w:val="30"/>
          <w:szCs w:val="30"/>
          <w:shd w:val="clear"/>
          <w:lang w:val="en-US" w:eastAsia="zh-CN" w:bidi="ar-SA"/>
        </w:rPr>
        <w:t>》</w:t>
      </w:r>
      <w:r>
        <w:rPr>
          <w:rFonts w:hint="eastAsia" w:ascii="仿宋_GB2312" w:hAnsi="仿宋_GB2312" w:eastAsia="仿宋_GB2312" w:cs="仿宋_GB2312"/>
          <w:b w:val="0"/>
          <w:bCs w:val="0"/>
          <w:i w:val="0"/>
          <w:iCs w:val="0"/>
          <w:caps w:val="0"/>
          <w:color w:val="auto"/>
          <w:spacing w:val="0"/>
          <w:kern w:val="2"/>
          <w:sz w:val="30"/>
          <w:szCs w:val="30"/>
          <w:shd w:val="clear"/>
          <w:lang w:bidi="ar-SA"/>
        </w:rPr>
        <w:t>第五十条</w:t>
      </w:r>
      <w:r>
        <w:rPr>
          <w:rFonts w:hint="eastAsia" w:ascii="仿宋_GB2312" w:hAnsi="仿宋_GB2312" w:eastAsia="仿宋_GB2312" w:cs="仿宋_GB2312"/>
          <w:b w:val="0"/>
          <w:bCs w:val="0"/>
          <w:i w:val="0"/>
          <w:iCs w:val="0"/>
          <w:caps w:val="0"/>
          <w:color w:val="auto"/>
          <w:spacing w:val="0"/>
          <w:kern w:val="2"/>
          <w:sz w:val="30"/>
          <w:szCs w:val="30"/>
          <w:shd w:val="clear"/>
          <w:lang w:val="en-US" w:eastAsia="zh-CN" w:bidi="ar-SA"/>
        </w:rPr>
        <w:t>规定，</w:t>
      </w:r>
      <w:r>
        <w:rPr>
          <w:rFonts w:hint="eastAsia" w:ascii="仿宋_GB2312" w:hAnsi="仿宋_GB2312" w:eastAsia="仿宋_GB2312" w:cs="仿宋_GB2312"/>
          <w:i w:val="0"/>
          <w:iCs w:val="0"/>
          <w:caps w:val="0"/>
          <w:color w:val="auto"/>
          <w:spacing w:val="0"/>
          <w:kern w:val="2"/>
          <w:sz w:val="30"/>
          <w:szCs w:val="30"/>
          <w:shd w:val="clear"/>
          <w:lang w:bidi="ar-SA"/>
        </w:rPr>
        <w:t>食品生产者采购食品原料、食品添加剂、食品相关产品，应当查验供货者的许可证和产品合格证明；对无法提供合格证明的食品原料，应当按照食品安全标准进行检验；不得采购或者使用不符合食品安全标准的食品原料、食品添加剂、食品相关产品。食品生产企业应当建立食品原料、食品添加剂、食品相关产品进货查验记录制度，如实记录食品原料、食品添加剂、食品相关产品的名称、规格、数量、生产日期或者生产批号、保质期、进货日期以及供货者名称、地址、联系方式等内容，并保存相关凭证。记录和凭证保存期限不得少于产品保质期满后六个月；没有明确保质期的，保存期限不得少于二年。</w:t>
      </w:r>
      <w:r>
        <w:rPr>
          <w:rFonts w:hint="eastAsia" w:ascii="仿宋_GB2312" w:hAnsi="仿宋_GB2312" w:eastAsia="仿宋_GB2312" w:cs="仿宋_GB2312"/>
          <w:snapToGrid/>
          <w:color w:val="auto"/>
          <w:spacing w:val="0"/>
          <w:kern w:val="2"/>
          <w:sz w:val="30"/>
          <w:szCs w:val="30"/>
          <w:lang w:val="en-US" w:eastAsia="zh-CN"/>
        </w:rPr>
        <w:t>经营者湘潭县*镇**食品店在被申请人对其进行现场核查时提供了进货凭证及生产商资质证明，</w:t>
      </w:r>
      <w:r>
        <w:rPr>
          <w:rFonts w:hint="eastAsia" w:ascii="仿宋_GB2312" w:hAnsi="仿宋_GB2312" w:eastAsia="仿宋_GB2312" w:cs="仿宋_GB2312"/>
          <w:snapToGrid/>
          <w:color w:val="auto"/>
          <w:spacing w:val="0"/>
          <w:kern w:val="2"/>
          <w:sz w:val="30"/>
          <w:szCs w:val="30"/>
          <w:lang w:eastAsia="zh-CN"/>
        </w:rPr>
        <w:t>认为</w:t>
      </w:r>
      <w:r>
        <w:rPr>
          <w:rFonts w:hint="eastAsia" w:ascii="仿宋_GB2312" w:hAnsi="仿宋_GB2312" w:eastAsia="仿宋_GB2312" w:cs="仿宋_GB2312"/>
          <w:snapToGrid/>
          <w:color w:val="auto"/>
          <w:spacing w:val="0"/>
          <w:kern w:val="2"/>
          <w:sz w:val="30"/>
          <w:szCs w:val="30"/>
          <w:lang w:val="en-US" w:eastAsia="zh-CN"/>
        </w:rPr>
        <w:t>其</w:t>
      </w:r>
      <w:r>
        <w:rPr>
          <w:rFonts w:hint="eastAsia" w:ascii="仿宋_GB2312" w:hAnsi="仿宋_GB2312" w:eastAsia="仿宋_GB2312" w:cs="仿宋_GB2312"/>
          <w:snapToGrid/>
          <w:color w:val="auto"/>
          <w:spacing w:val="0"/>
          <w:kern w:val="2"/>
          <w:sz w:val="30"/>
          <w:szCs w:val="30"/>
          <w:lang w:eastAsia="zh-CN"/>
        </w:rPr>
        <w:t>履行了食品安全法规定的进货查验义务，</w:t>
      </w:r>
      <w:r>
        <w:rPr>
          <w:rFonts w:hint="eastAsia" w:ascii="仿宋_GB2312" w:hAnsi="仿宋_GB2312" w:eastAsia="仿宋_GB2312" w:cs="仿宋_GB2312"/>
          <w:snapToGrid/>
          <w:color w:val="auto"/>
          <w:spacing w:val="0"/>
          <w:kern w:val="2"/>
          <w:sz w:val="30"/>
          <w:szCs w:val="30"/>
          <w:lang w:val="en-US" w:eastAsia="zh-CN"/>
        </w:rPr>
        <w:t>本机关予以认同。</w:t>
      </w:r>
    </w:p>
    <w:p w14:paraId="5D732A4E">
      <w:pPr>
        <w:widowControl/>
        <w:numPr>
          <w:ilvl w:val="255"/>
          <w:numId w:val="0"/>
        </w:numPr>
        <w:adjustRightInd w:val="0"/>
        <w:spacing w:afterLines="0" w:line="560" w:lineRule="exact"/>
        <w:ind w:firstLine="600" w:firstLineChars="200"/>
        <w:rPr>
          <w:rFonts w:hint="eastAsia" w:ascii="仿宋_GB2312" w:hAnsi="仿宋_GB2312" w:eastAsia="仿宋_GB2312" w:cs="仿宋_GB2312"/>
          <w:color w:val="auto"/>
          <w:sz w:val="30"/>
          <w:szCs w:val="30"/>
          <w:lang w:eastAsia="zh-CN"/>
        </w:rPr>
      </w:pPr>
      <w:bookmarkStart w:id="2" w:name="No133_Z5J1T40K1"/>
      <w:bookmarkEnd w:id="2"/>
      <w:bookmarkStart w:id="3" w:name="No61_Z3T20K1"/>
      <w:bookmarkEnd w:id="3"/>
      <w:bookmarkStart w:id="4" w:name="No62_Z3T20K1X1"/>
      <w:bookmarkEnd w:id="4"/>
      <w:bookmarkStart w:id="5" w:name="No63_Z3T20K1X2"/>
      <w:bookmarkEnd w:id="5"/>
      <w:bookmarkStart w:id="6" w:name="No64_Z3T20K1X3"/>
      <w:bookmarkEnd w:id="6"/>
      <w:bookmarkStart w:id="7" w:name="No65_Z3T20K1X4"/>
      <w:bookmarkEnd w:id="7"/>
      <w:bookmarkStart w:id="8" w:name="No66_Z3T20K2"/>
      <w:bookmarkEnd w:id="8"/>
      <w:r>
        <w:rPr>
          <w:rFonts w:hint="eastAsia" w:ascii="仿宋_GB2312" w:hAnsi="仿宋_GB2312" w:eastAsia="仿宋_GB2312" w:cs="仿宋_GB2312"/>
          <w:color w:val="auto"/>
          <w:sz w:val="30"/>
          <w:szCs w:val="30"/>
          <w:lang w:eastAsia="zh-CN"/>
        </w:rPr>
        <w:t>《市场监督管理行政处罚程序规定》第十八条</w:t>
      </w:r>
      <w:r>
        <w:rPr>
          <w:rFonts w:hint="eastAsia" w:ascii="仿宋_GB2312" w:hAnsi="仿宋_GB2312" w:eastAsia="仿宋_GB2312" w:cs="仿宋_GB2312"/>
          <w:color w:val="auto"/>
          <w:sz w:val="30"/>
          <w:szCs w:val="30"/>
          <w:u w:val="none"/>
          <w:lang w:eastAsia="zh-CN"/>
        </w:rPr>
        <w:t>规定</w:t>
      </w:r>
      <w:r>
        <w:rPr>
          <w:rFonts w:hint="eastAsia" w:ascii="仿宋_GB2312" w:hAnsi="仿宋_GB2312" w:eastAsia="仿宋_GB2312" w:cs="仿宋_GB2312"/>
          <w:i w:val="0"/>
          <w:iCs w:val="0"/>
          <w:caps w:val="0"/>
          <w:color w:val="auto"/>
          <w:spacing w:val="0"/>
          <w:sz w:val="30"/>
          <w:szCs w:val="30"/>
          <w:u w:val="none"/>
          <w:shd w:val="clear" w:fill="auto"/>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hAnsi="仿宋_GB2312" w:eastAsia="仿宋_GB2312" w:cs="仿宋_GB2312"/>
          <w:color w:val="auto"/>
          <w:sz w:val="30"/>
          <w:szCs w:val="30"/>
          <w:u w:val="none"/>
          <w:lang w:eastAsia="zh-CN"/>
        </w:rPr>
        <w:t>《市场监督管理投诉举报处理暂行办法》第三十一条</w:t>
      </w:r>
      <w:r>
        <w:rPr>
          <w:rFonts w:hint="eastAsia" w:ascii="仿宋_GB2312" w:hAnsi="仿宋_GB2312" w:eastAsia="仿宋_GB2312" w:cs="仿宋_GB2312"/>
          <w:color w:val="auto"/>
          <w:sz w:val="30"/>
          <w:szCs w:val="30"/>
          <w:u w:val="none"/>
          <w:lang w:val="en-US" w:eastAsia="zh-CN"/>
        </w:rPr>
        <w:t>规定，</w:t>
      </w:r>
      <w:r>
        <w:rPr>
          <w:rFonts w:hint="eastAsia" w:ascii="仿宋_GB2312" w:hAnsi="仿宋_GB2312" w:eastAsia="仿宋_GB2312" w:cs="仿宋_GB2312"/>
          <w:i w:val="0"/>
          <w:iCs w:val="0"/>
          <w:caps w:val="0"/>
          <w:color w:val="auto"/>
          <w:spacing w:val="0"/>
          <w:sz w:val="30"/>
          <w:szCs w:val="30"/>
          <w:u w:val="none"/>
          <w:shd w:val="clear" w:fill="auto"/>
        </w:rPr>
        <w:t>市场监督管理部门应当按照市场监督管理行政处罚等有关规定处理举报。</w:t>
      </w:r>
      <w:bookmarkStart w:id="9" w:name="No102_T31K2"/>
      <w:bookmarkEnd w:id="9"/>
      <w:r>
        <w:rPr>
          <w:rFonts w:hint="eastAsia" w:ascii="仿宋_GB2312" w:hAnsi="仿宋_GB2312" w:eastAsia="仿宋_GB2312" w:cs="仿宋_GB2312"/>
          <w:i w:val="0"/>
          <w:iCs w:val="0"/>
          <w:caps w:val="0"/>
          <w:color w:val="auto"/>
          <w:spacing w:val="0"/>
          <w:sz w:val="30"/>
          <w:szCs w:val="30"/>
          <w:u w:val="none"/>
          <w:shd w:val="clear" w:fill="auto"/>
        </w:rPr>
        <w:t>举报人实名举报的，有处理权限的市场监督管理部门还应当自作出是否立案决定之日起五个工作日内告知举报人。</w:t>
      </w:r>
      <w:r>
        <w:rPr>
          <w:rFonts w:hint="eastAsia" w:ascii="仿宋_GB2312" w:hAnsi="仿宋_GB2312" w:eastAsia="仿宋_GB2312" w:cs="仿宋_GB2312"/>
          <w:color w:val="auto"/>
          <w:sz w:val="30"/>
          <w:szCs w:val="30"/>
          <w:lang w:val="en-US" w:eastAsia="zh-CN"/>
        </w:rPr>
        <w:t>本案</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2024年</w:t>
      </w:r>
      <w:r>
        <w:rPr>
          <w:rFonts w:hint="eastAsia" w:ascii="仿宋_GB2312" w:hAnsi="仿宋_GB2312" w:eastAsia="仿宋_GB2312" w:cs="仿宋_GB2312"/>
          <w:color w:val="auto"/>
          <w:sz w:val="30"/>
          <w:szCs w:val="30"/>
          <w:lang w:val="en-US" w:eastAsia="zh-CN"/>
        </w:rPr>
        <w:t>12月23日收到申请人举报，12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到被举报人</w:t>
      </w:r>
      <w:r>
        <w:rPr>
          <w:rFonts w:hint="eastAsia" w:ascii="仿宋_GB2312" w:hAnsi="仿宋_GB2312" w:eastAsia="仿宋_GB2312" w:cs="仿宋_GB2312"/>
          <w:snapToGrid/>
          <w:color w:val="auto"/>
          <w:spacing w:val="0"/>
          <w:kern w:val="2"/>
          <w:sz w:val="30"/>
          <w:szCs w:val="30"/>
          <w:lang w:eastAsia="zh-CN"/>
        </w:rPr>
        <w:t>湘潭县*镇**食品店经营场所和被举报人湖南**食品有限公司</w:t>
      </w:r>
      <w:r>
        <w:rPr>
          <w:rFonts w:hint="eastAsia" w:ascii="仿宋_GB2312" w:hAnsi="仿宋_GB2312" w:eastAsia="仿宋_GB2312" w:cs="仿宋_GB2312"/>
          <w:color w:val="auto"/>
          <w:sz w:val="30"/>
          <w:szCs w:val="30"/>
          <w:lang w:eastAsia="zh-CN"/>
        </w:rPr>
        <w:t>生产经营场所实施现场核查</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2025年1月10日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决定不予立案</w:t>
      </w:r>
      <w:r>
        <w:rPr>
          <w:rFonts w:hint="eastAsia" w:ascii="仿宋_GB2312" w:hAnsi="仿宋_GB2312" w:eastAsia="仿宋_GB2312" w:cs="仿宋_GB2312"/>
          <w:color w:val="auto"/>
          <w:sz w:val="30"/>
          <w:szCs w:val="30"/>
          <w:lang w:eastAsia="zh-CN"/>
        </w:rPr>
        <w:t>并</w:t>
      </w:r>
      <w:r>
        <w:rPr>
          <w:rFonts w:hint="eastAsia" w:ascii="仿宋_GB2312" w:hAnsi="仿宋_GB2312" w:eastAsia="仿宋_GB2312" w:cs="仿宋_GB2312"/>
          <w:color w:val="auto"/>
          <w:sz w:val="30"/>
          <w:szCs w:val="30"/>
        </w:rPr>
        <w:t>作</w:t>
      </w:r>
      <w:r>
        <w:rPr>
          <w:rFonts w:hint="eastAsia" w:ascii="仿宋_GB2312" w:hAnsi="仿宋_GB2312" w:eastAsia="仿宋_GB2312" w:cs="仿宋_GB2312"/>
          <w:color w:val="auto"/>
          <w:sz w:val="30"/>
          <w:szCs w:val="30"/>
          <w:lang w:eastAsia="zh-CN"/>
        </w:rPr>
        <w:t>出</w:t>
      </w:r>
      <w:r>
        <w:rPr>
          <w:rFonts w:hint="eastAsia" w:ascii="仿宋_GB2312" w:hAnsi="仿宋_GB2312" w:eastAsia="仿宋_GB2312" w:cs="仿宋_GB2312"/>
          <w:color w:val="auto"/>
          <w:sz w:val="30"/>
          <w:szCs w:val="30"/>
        </w:rPr>
        <w:t>市场监管〔202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rPr>
        <w:t>号《举报不予立案告知书》</w:t>
      </w:r>
      <w:r>
        <w:rPr>
          <w:rFonts w:hint="eastAsia" w:ascii="仿宋_GB2312" w:hAnsi="仿宋_GB2312" w:eastAsia="仿宋_GB2312" w:cs="仿宋_GB2312"/>
          <w:color w:val="auto"/>
          <w:sz w:val="30"/>
          <w:szCs w:val="30"/>
          <w:lang w:val="en-US" w:eastAsia="zh-CN"/>
        </w:rPr>
        <w:t>，1月14</w:t>
      </w:r>
      <w:r>
        <w:rPr>
          <w:rFonts w:hint="eastAsia" w:ascii="仿宋_GB2312" w:hAnsi="仿宋_GB2312" w:eastAsia="仿宋_GB2312" w:cs="仿宋_GB2312"/>
          <w:color w:val="auto"/>
          <w:sz w:val="30"/>
          <w:szCs w:val="30"/>
          <w:lang w:eastAsia="zh-CN"/>
        </w:rPr>
        <w:t>日将上述</w:t>
      </w:r>
      <w:r>
        <w:rPr>
          <w:rFonts w:hint="eastAsia" w:ascii="仿宋_GB2312" w:hAnsi="仿宋_GB2312" w:eastAsia="仿宋_GB2312" w:cs="仿宋_GB2312"/>
          <w:color w:val="auto"/>
          <w:sz w:val="30"/>
          <w:szCs w:val="30"/>
        </w:rPr>
        <w:t>《举报不予立案告知书》</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lang w:eastAsia="zh-CN"/>
        </w:rPr>
        <w:t>送达申请人；被申请人</w:t>
      </w:r>
      <w:r>
        <w:rPr>
          <w:rFonts w:hint="eastAsia" w:ascii="仿宋_GB2312" w:hAnsi="仿宋_GB2312" w:eastAsia="仿宋_GB2312" w:cs="仿宋_GB2312"/>
          <w:color w:val="auto"/>
          <w:sz w:val="30"/>
          <w:szCs w:val="30"/>
          <w:lang w:val="en-US" w:eastAsia="zh-CN"/>
        </w:rPr>
        <w:t>举报处理程序合法。</w:t>
      </w:r>
    </w:p>
    <w:p w14:paraId="06A38B91">
      <w:pPr>
        <w:widowControl/>
        <w:spacing w:afterLines="0"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举报事项的主要</w:t>
      </w:r>
      <w:r>
        <w:rPr>
          <w:rFonts w:hint="eastAsia" w:ascii="仿宋_GB2312" w:hAnsi="仿宋_GB2312" w:eastAsia="仿宋_GB2312" w:cs="仿宋_GB2312"/>
          <w:color w:val="auto"/>
          <w:sz w:val="30"/>
          <w:szCs w:val="30"/>
        </w:rPr>
        <w:t>事实</w:t>
      </w:r>
      <w:r>
        <w:rPr>
          <w:rFonts w:hint="eastAsia" w:ascii="仿宋_GB2312" w:hAnsi="仿宋_GB2312" w:eastAsia="仿宋_GB2312" w:cs="仿宋_GB2312"/>
          <w:color w:val="auto"/>
          <w:sz w:val="30"/>
          <w:szCs w:val="30"/>
          <w:lang w:val="en-US" w:eastAsia="zh-CN"/>
        </w:rPr>
        <w:t>不清</w:t>
      </w:r>
      <w:r>
        <w:rPr>
          <w:rFonts w:hint="eastAsia" w:ascii="仿宋_GB2312" w:hAnsi="仿宋_GB2312" w:eastAsia="仿宋_GB2312" w:cs="仿宋_GB2312"/>
          <w:color w:val="auto"/>
          <w:sz w:val="30"/>
          <w:szCs w:val="30"/>
        </w:rPr>
        <w:t>，证据</w:t>
      </w:r>
      <w:r>
        <w:rPr>
          <w:rFonts w:hint="eastAsia" w:ascii="仿宋_GB2312" w:hAnsi="仿宋_GB2312" w:eastAsia="仿宋_GB2312" w:cs="仿宋_GB2312"/>
          <w:color w:val="auto"/>
          <w:sz w:val="30"/>
          <w:szCs w:val="30"/>
          <w:lang w:val="en-US" w:eastAsia="zh-CN"/>
        </w:rPr>
        <w:t>不足</w:t>
      </w:r>
      <w:r>
        <w:rPr>
          <w:rFonts w:hint="eastAsia" w:ascii="仿宋_GB2312" w:hAnsi="仿宋_GB2312" w:eastAsia="仿宋_GB2312" w:cs="仿宋_GB2312"/>
          <w:color w:val="auto"/>
          <w:sz w:val="30"/>
          <w:szCs w:val="30"/>
        </w:rPr>
        <w:t>，适用依据</w:t>
      </w:r>
      <w:r>
        <w:rPr>
          <w:rFonts w:hint="eastAsia" w:ascii="仿宋_GB2312" w:hAnsi="仿宋_GB2312" w:eastAsia="仿宋_GB2312" w:cs="仿宋_GB2312"/>
          <w:color w:val="auto"/>
          <w:sz w:val="30"/>
          <w:szCs w:val="30"/>
          <w:lang w:val="en-US" w:eastAsia="zh-CN"/>
        </w:rPr>
        <w:t>错误</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val="en-US" w:eastAsia="zh-CN" w:bidi="ar"/>
        </w:rPr>
        <w:t>四</w:t>
      </w:r>
      <w:r>
        <w:rPr>
          <w:rFonts w:hint="eastAsia" w:ascii="仿宋_GB2312" w:hAnsi="仿宋_GB2312" w:eastAsia="仿宋_GB2312" w:cs="仿宋_GB2312"/>
          <w:color w:val="auto"/>
          <w:sz w:val="30"/>
          <w:szCs w:val="30"/>
          <w:lang w:bidi="ar"/>
        </w:rPr>
        <w:t>条</w:t>
      </w:r>
      <w:r>
        <w:rPr>
          <w:rFonts w:hint="eastAsia" w:ascii="仿宋_GB2312" w:hAnsi="仿宋_GB2312" w:eastAsia="仿宋_GB2312" w:cs="仿宋_GB2312"/>
          <w:color w:val="auto"/>
          <w:sz w:val="30"/>
          <w:szCs w:val="30"/>
          <w:lang w:val="en-US" w:eastAsia="zh-CN" w:bidi="ar"/>
        </w:rPr>
        <w:t>第一款第（一）项、第（三）项</w:t>
      </w:r>
      <w:r>
        <w:rPr>
          <w:rFonts w:hint="eastAsia" w:ascii="仿宋_GB2312" w:hAnsi="仿宋_GB2312" w:eastAsia="仿宋_GB2312" w:cs="仿宋_GB2312"/>
          <w:color w:val="auto"/>
          <w:sz w:val="30"/>
          <w:szCs w:val="30"/>
          <w:lang w:bidi="ar"/>
        </w:rPr>
        <w:t>之规定，本机关决定：</w:t>
      </w:r>
    </w:p>
    <w:p w14:paraId="202A3CCB">
      <w:pPr>
        <w:widowControl/>
        <w:numPr>
          <w:ilvl w:val="255"/>
          <w:numId w:val="0"/>
        </w:numPr>
        <w:spacing w:afterLines="0"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1.撤销湘潭县市场监督管理局</w:t>
      </w:r>
      <w:r>
        <w:rPr>
          <w:rFonts w:hint="eastAsia" w:ascii="仿宋_GB2312" w:hAnsi="仿宋_GB2312" w:eastAsia="仿宋_GB2312" w:cs="仿宋_GB2312"/>
          <w:color w:val="auto"/>
          <w:sz w:val="30"/>
          <w:szCs w:val="30"/>
          <w:lang w:eastAsia="zh-CN"/>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〔2024〕</w:t>
      </w:r>
      <w:r>
        <w:rPr>
          <w:rFonts w:hint="eastAsia" w:ascii="仿宋_GB2312" w:hAnsi="仿宋_GB2312" w:eastAsia="仿宋_GB2312" w:cs="仿宋_GB2312"/>
          <w:color w:val="auto"/>
          <w:sz w:val="30"/>
          <w:szCs w:val="30"/>
          <w:lang w:val="en-US" w:eastAsia="zh-CN"/>
        </w:rPr>
        <w:t>第1-1</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w:t>
      </w:r>
    </w:p>
    <w:p w14:paraId="69C4E296">
      <w:pPr>
        <w:widowControl/>
        <w:numPr>
          <w:ilvl w:val="255"/>
          <w:numId w:val="0"/>
        </w:numPr>
        <w:spacing w:afterLines="0"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2.责令湘潭县市场监督管理局自收到本复议决定之日起</w:t>
      </w:r>
      <w:r>
        <w:rPr>
          <w:rFonts w:hint="eastAsia" w:ascii="仿宋_GB2312" w:hAnsi="仿宋_GB2312" w:eastAsia="仿宋_GB2312" w:cs="仿宋_GB2312"/>
          <w:i w:val="0"/>
          <w:iCs w:val="0"/>
          <w:caps w:val="0"/>
          <w:color w:val="auto"/>
          <w:spacing w:val="0"/>
          <w:sz w:val="30"/>
          <w:szCs w:val="30"/>
          <w:u w:val="none"/>
          <w:shd w:val="clear" w:fill="auto"/>
        </w:rPr>
        <w:t>十五个工作日</w:t>
      </w:r>
      <w:r>
        <w:rPr>
          <w:rFonts w:hint="eastAsia" w:ascii="仿宋_GB2312" w:hAnsi="仿宋_GB2312" w:eastAsia="仿宋_GB2312" w:cs="仿宋_GB2312"/>
          <w:color w:val="auto"/>
          <w:sz w:val="30"/>
          <w:szCs w:val="30"/>
          <w:lang w:val="en-US" w:eastAsia="zh-CN"/>
        </w:rPr>
        <w:t>内作出是否立案决定，自作出是否立案决定之日起</w:t>
      </w:r>
      <w:r>
        <w:rPr>
          <w:rFonts w:hint="eastAsia" w:ascii="仿宋_GB2312" w:hAnsi="仿宋_GB2312" w:eastAsia="仿宋_GB2312" w:cs="仿宋_GB2312"/>
          <w:i w:val="0"/>
          <w:iCs w:val="0"/>
          <w:caps w:val="0"/>
          <w:color w:val="auto"/>
          <w:spacing w:val="0"/>
          <w:sz w:val="30"/>
          <w:szCs w:val="30"/>
          <w:u w:val="none"/>
          <w:shd w:val="clear" w:fill="auto"/>
        </w:rPr>
        <w:t>五个工作日内告知举报人</w:t>
      </w:r>
      <w:r>
        <w:rPr>
          <w:rFonts w:hint="eastAsia" w:ascii="仿宋_GB2312" w:hAnsi="仿宋_GB2312" w:eastAsia="仿宋_GB2312" w:cs="仿宋_GB2312"/>
          <w:color w:val="auto"/>
          <w:sz w:val="30"/>
          <w:szCs w:val="30"/>
        </w:rPr>
        <w:t>。</w:t>
      </w:r>
    </w:p>
    <w:p w14:paraId="0C8FC1F7">
      <w:pPr>
        <w:widowControl/>
        <w:spacing w:afterLines="0"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杨*</w:t>
      </w:r>
      <w:r>
        <w:rPr>
          <w:rFonts w:hint="eastAsia" w:ascii="仿宋_GB2312" w:hAnsi="仿宋_GB2312" w:eastAsia="仿宋_GB2312" w:cs="仿宋_GB2312"/>
          <w:color w:val="auto"/>
          <w:sz w:val="30"/>
          <w:szCs w:val="30"/>
        </w:rPr>
        <w:t>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w:t>
      </w:r>
      <w:r>
        <w:rPr>
          <w:rFonts w:hint="eastAsia" w:ascii="仿宋_GB2312" w:hAnsi="仿宋_GB2312" w:eastAsia="仿宋_GB2312" w:cs="仿宋_GB2312"/>
          <w:color w:val="auto"/>
          <w:sz w:val="30"/>
          <w:szCs w:val="30"/>
          <w:lang w:val="en-US" w:eastAsia="zh-CN"/>
        </w:rPr>
        <w:t>中级</w:t>
      </w:r>
      <w:r>
        <w:rPr>
          <w:rFonts w:hint="eastAsia" w:ascii="仿宋_GB2312" w:hAnsi="仿宋_GB2312" w:eastAsia="仿宋_GB2312" w:cs="仿宋_GB2312"/>
          <w:color w:val="auto"/>
          <w:sz w:val="30"/>
          <w:szCs w:val="30"/>
        </w:rPr>
        <w:t>人民法院提起行政诉讼。</w:t>
      </w:r>
    </w:p>
    <w:p w14:paraId="0875743D">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方正仿宋_GB2312" w:hAnsi="方正仿宋_GB2312" w:eastAsia="方正仿宋_GB2312" w:cs="方正仿宋_GB2312"/>
          <w:color w:val="auto"/>
          <w:sz w:val="30"/>
          <w:szCs w:val="30"/>
        </w:rPr>
      </w:pPr>
    </w:p>
    <w:p w14:paraId="2B36A50C">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righ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496D151B">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二十</w:t>
      </w:r>
      <w:r>
        <w:rPr>
          <w:rFonts w:hint="eastAsia" w:ascii="仿宋_GB2312" w:hAnsi="仿宋_GB2312" w:eastAsia="仿宋_GB2312" w:cs="仿宋_GB2312"/>
          <w:color w:val="auto"/>
          <w:sz w:val="30"/>
          <w:szCs w:val="30"/>
        </w:rPr>
        <w:t>日</w:t>
      </w:r>
    </w:p>
    <w:p w14:paraId="7815E536">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76294F9D">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2026B2E2">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4CB5F3AF">
      <w:pPr>
        <w:keepNext w:val="0"/>
        <w:keepLines w:val="0"/>
        <w:pageBreakBefore w:val="0"/>
        <w:kinsoku/>
        <w:wordWrap w:val="0"/>
        <w:overflowPunct/>
        <w:topLinePunct w:val="0"/>
        <w:autoSpaceDE/>
        <w:autoSpaceDN/>
        <w:bidi w:val="0"/>
        <w:adjustRightInd w:val="0"/>
        <w:snapToGrid w:val="0"/>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4799C972">
      <w:pPr>
        <w:keepNext w:val="0"/>
        <w:keepLines w:val="0"/>
        <w:pageBreakBefore w:val="0"/>
        <w:widowControl/>
        <w:kinsoku/>
        <w:wordWrap w:val="0"/>
        <w:overflowPunct/>
        <w:topLinePunct w:val="0"/>
        <w:autoSpaceDE/>
        <w:autoSpaceDN/>
        <w:bidi w:val="0"/>
        <w:adjustRightInd w:val="0"/>
        <w:snapToGrid w:val="0"/>
        <w:spacing w:afterLines="0"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7BC955C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Lines="0" w:afterAutospacing="0" w:line="560" w:lineRule="exact"/>
        <w:ind w:left="0" w:right="0" w:firstLine="602" w:firstLineChars="200"/>
        <w:jc w:val="both"/>
        <w:rPr>
          <w:rFonts w:hint="eastAsia" w:ascii="仿宋_GB2312" w:hAnsi="仿宋_GB2312" w:eastAsia="仿宋_GB2312" w:cs="仿宋_GB2312"/>
          <w:i w:val="0"/>
          <w:iCs w:val="0"/>
          <w:caps w:val="0"/>
          <w:color w:val="232323"/>
          <w:spacing w:val="0"/>
          <w:sz w:val="30"/>
          <w:szCs w:val="30"/>
        </w:rPr>
      </w:pPr>
      <w:r>
        <w:rPr>
          <w:rFonts w:hint="eastAsia" w:ascii="仿宋_GB2312" w:hAnsi="仿宋_GB2312" w:eastAsia="仿宋_GB2312" w:cs="仿宋_GB2312"/>
          <w:b/>
          <w:bCs/>
          <w:i w:val="0"/>
          <w:iCs w:val="0"/>
          <w:caps w:val="0"/>
          <w:color w:val="232323"/>
          <w:spacing w:val="0"/>
          <w:sz w:val="30"/>
          <w:szCs w:val="30"/>
          <w:shd w:val="clear" w:fill="FFFFFF"/>
        </w:rPr>
        <w:t>第六十四条　</w:t>
      </w:r>
      <w:bookmarkStart w:id="10" w:name="No287_Z5T64K1"/>
      <w:bookmarkEnd w:id="10"/>
      <w:r>
        <w:rPr>
          <w:rFonts w:hint="eastAsia" w:ascii="仿宋_GB2312" w:hAnsi="仿宋_GB2312" w:eastAsia="仿宋_GB2312" w:cs="仿宋_GB2312"/>
          <w:i w:val="0"/>
          <w:iCs w:val="0"/>
          <w:caps w:val="0"/>
          <w:color w:val="232323"/>
          <w:spacing w:val="0"/>
          <w:sz w:val="30"/>
          <w:szCs w:val="30"/>
          <w:shd w:val="clear" w:fill="FFFFFF"/>
        </w:rPr>
        <w:t>行政行为有下列情形之一的，行政复议机关决定撤销或者部分撤销该行政行为，并可以责令被申请人在一定期限内重新作出行政行为：</w:t>
      </w:r>
    </w:p>
    <w:p w14:paraId="42A3CD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Lines="0" w:afterAutospacing="0" w:line="560" w:lineRule="exact"/>
        <w:ind w:left="0" w:right="0" w:firstLine="600" w:firstLineChars="200"/>
        <w:jc w:val="both"/>
        <w:rPr>
          <w:rFonts w:hint="eastAsia" w:ascii="仿宋_GB2312" w:hAnsi="仿宋_GB2312" w:eastAsia="仿宋_GB2312" w:cs="仿宋_GB2312"/>
          <w:i w:val="0"/>
          <w:iCs w:val="0"/>
          <w:caps w:val="0"/>
          <w:color w:val="232323"/>
          <w:spacing w:val="0"/>
          <w:sz w:val="30"/>
          <w:szCs w:val="30"/>
        </w:rPr>
      </w:pPr>
      <w:bookmarkStart w:id="11" w:name="No288_Z5T64K1X1"/>
      <w:bookmarkEnd w:id="11"/>
      <w:r>
        <w:rPr>
          <w:rFonts w:hint="eastAsia" w:ascii="仿宋_GB2312" w:hAnsi="仿宋_GB2312" w:eastAsia="仿宋_GB2312" w:cs="仿宋_GB2312"/>
          <w:i w:val="0"/>
          <w:iCs w:val="0"/>
          <w:caps w:val="0"/>
          <w:color w:val="232323"/>
          <w:spacing w:val="0"/>
          <w:sz w:val="30"/>
          <w:szCs w:val="30"/>
          <w:shd w:val="clear" w:fill="FFFFFF"/>
        </w:rPr>
        <w:t>（一）主要事实不清、证据不足；</w:t>
      </w:r>
    </w:p>
    <w:p w14:paraId="331A8D5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Lines="0" w:afterAutospacing="0" w:line="560" w:lineRule="exact"/>
        <w:ind w:left="0" w:right="0" w:firstLine="600" w:firstLineChars="200"/>
        <w:jc w:val="both"/>
        <w:rPr>
          <w:rFonts w:hint="eastAsia" w:ascii="仿宋_GB2312" w:hAnsi="仿宋_GB2312" w:eastAsia="仿宋_GB2312" w:cs="仿宋_GB2312"/>
          <w:i w:val="0"/>
          <w:iCs w:val="0"/>
          <w:caps w:val="0"/>
          <w:color w:val="232323"/>
          <w:spacing w:val="0"/>
          <w:sz w:val="30"/>
          <w:szCs w:val="30"/>
        </w:rPr>
      </w:pPr>
      <w:bookmarkStart w:id="12" w:name="No289_Z5T64K1X2"/>
      <w:bookmarkEnd w:id="12"/>
      <w:r>
        <w:rPr>
          <w:rFonts w:hint="eastAsia" w:ascii="仿宋_GB2312" w:hAnsi="仿宋_GB2312" w:eastAsia="仿宋_GB2312" w:cs="仿宋_GB2312"/>
          <w:i w:val="0"/>
          <w:iCs w:val="0"/>
          <w:caps w:val="0"/>
          <w:color w:val="232323"/>
          <w:spacing w:val="0"/>
          <w:sz w:val="30"/>
          <w:szCs w:val="30"/>
          <w:shd w:val="clear" w:fill="FFFFFF"/>
        </w:rPr>
        <w:t>（二）违反法定程序；</w:t>
      </w:r>
    </w:p>
    <w:p w14:paraId="34F16EA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Lines="0" w:afterAutospacing="0" w:line="560" w:lineRule="exact"/>
        <w:ind w:left="0" w:right="0" w:firstLine="600" w:firstLineChars="200"/>
        <w:jc w:val="both"/>
        <w:rPr>
          <w:rFonts w:hint="eastAsia" w:ascii="仿宋_GB2312" w:hAnsi="仿宋_GB2312" w:eastAsia="仿宋_GB2312" w:cs="仿宋_GB2312"/>
          <w:i w:val="0"/>
          <w:iCs w:val="0"/>
          <w:caps w:val="0"/>
          <w:color w:val="232323"/>
          <w:spacing w:val="0"/>
          <w:sz w:val="30"/>
          <w:szCs w:val="30"/>
        </w:rPr>
      </w:pPr>
      <w:bookmarkStart w:id="13" w:name="No290_Z5T64K1X3"/>
      <w:bookmarkEnd w:id="13"/>
      <w:r>
        <w:rPr>
          <w:rFonts w:hint="eastAsia" w:ascii="仿宋_GB2312" w:hAnsi="仿宋_GB2312" w:eastAsia="仿宋_GB2312" w:cs="仿宋_GB2312"/>
          <w:i w:val="0"/>
          <w:iCs w:val="0"/>
          <w:caps w:val="0"/>
          <w:color w:val="232323"/>
          <w:spacing w:val="0"/>
          <w:sz w:val="30"/>
          <w:szCs w:val="30"/>
          <w:shd w:val="clear" w:fill="FFFFFF"/>
        </w:rPr>
        <w:t>（三）适用的依据不合法；</w:t>
      </w:r>
    </w:p>
    <w:p w14:paraId="726B279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Lines="0" w:afterAutospacing="0" w:line="560" w:lineRule="exact"/>
        <w:ind w:left="0" w:right="0" w:firstLine="600" w:firstLineChars="200"/>
        <w:jc w:val="both"/>
        <w:rPr>
          <w:rFonts w:hint="eastAsia" w:ascii="仿宋_GB2312" w:hAnsi="仿宋_GB2312" w:eastAsia="仿宋_GB2312" w:cs="仿宋_GB2312"/>
          <w:i w:val="0"/>
          <w:iCs w:val="0"/>
          <w:caps w:val="0"/>
          <w:color w:val="232323"/>
          <w:spacing w:val="0"/>
          <w:sz w:val="30"/>
          <w:szCs w:val="30"/>
        </w:rPr>
      </w:pPr>
      <w:bookmarkStart w:id="14" w:name="No291_Z5T64K1X4"/>
      <w:bookmarkEnd w:id="14"/>
      <w:r>
        <w:rPr>
          <w:rFonts w:hint="eastAsia" w:ascii="仿宋_GB2312" w:hAnsi="仿宋_GB2312" w:eastAsia="仿宋_GB2312" w:cs="仿宋_GB2312"/>
          <w:i w:val="0"/>
          <w:iCs w:val="0"/>
          <w:caps w:val="0"/>
          <w:color w:val="232323"/>
          <w:spacing w:val="0"/>
          <w:sz w:val="30"/>
          <w:szCs w:val="30"/>
          <w:shd w:val="clear" w:fill="FFFFFF"/>
        </w:rPr>
        <w:t>（四）超越职权或者滥用职权。</w:t>
      </w:r>
    </w:p>
    <w:p w14:paraId="32005B07">
      <w:pPr>
        <w:pStyle w:val="3"/>
        <w:widowControl/>
        <w:pBdr>
          <w:top w:val="none" w:color="auto" w:sz="0" w:space="0"/>
          <w:left w:val="none" w:color="auto" w:sz="0" w:space="0"/>
          <w:bottom w:val="none" w:color="auto" w:sz="0" w:space="0"/>
          <w:right w:val="none" w:color="auto" w:sz="0" w:space="0"/>
        </w:pBdr>
        <w:shd w:val="clear" w:fill="FFFFFF"/>
        <w:wordWrap/>
        <w:adjustRightInd/>
        <w:spacing w:beforeAutospacing="0" w:afterAutospacing="0" w:line="560" w:lineRule="exact"/>
        <w:rPr>
          <w:rFonts w:hint="eastAsia" w:ascii="仿宋_GB2312" w:hAnsi="仿宋_GB2312" w:eastAsia="仿宋_GB2312" w:cs="仿宋_GB2312"/>
          <w:color w:val="232323"/>
          <w:sz w:val="30"/>
          <w:szCs w:val="30"/>
          <w:shd w:val="clear" w:fill="FFFFFF"/>
          <w:lang w:val="en-US" w:eastAsia="zh-CN"/>
        </w:rPr>
      </w:pPr>
      <w:bookmarkStart w:id="15" w:name="No292_Z5T64K2"/>
      <w:bookmarkEnd w:id="15"/>
    </w:p>
    <w:p w14:paraId="2965C2E0">
      <w:pPr>
        <w:pStyle w:val="3"/>
        <w:widowControl/>
        <w:pBdr>
          <w:top w:val="none" w:color="auto" w:sz="0" w:space="0"/>
          <w:left w:val="none" w:color="auto" w:sz="0" w:space="0"/>
          <w:bottom w:val="none" w:color="auto" w:sz="0" w:space="0"/>
          <w:right w:val="none" w:color="auto" w:sz="0" w:space="0"/>
        </w:pBdr>
        <w:shd w:val="clear" w:fill="FFFFFF"/>
        <w:spacing w:beforeAutospacing="0" w:afterAutospacing="0" w:line="560" w:lineRule="exact"/>
        <w:rPr>
          <w:rFonts w:hint="eastAsia" w:ascii="仿宋_GB2312" w:hAnsi="仿宋_GB2312" w:eastAsia="仿宋_GB2312" w:cs="仿宋_GB2312"/>
          <w:color w:val="232323"/>
          <w:sz w:val="30"/>
          <w:szCs w:val="30"/>
          <w:shd w:val="clear" w:fill="FFFFFF"/>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1FC7E20-762F-41A5-B7E3-07B0403CCF5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8AB9BB4-62B3-4CB1-8F9A-AA94DE99C2F7}"/>
  </w:font>
  <w:font w:name="楷体">
    <w:panose1 w:val="02010609060101010101"/>
    <w:charset w:val="86"/>
    <w:family w:val="modern"/>
    <w:pitch w:val="default"/>
    <w:sig w:usb0="800002BF" w:usb1="38CF7CFA" w:usb2="00000016" w:usb3="00000000" w:csb0="00040001" w:csb1="00000000"/>
    <w:embedRegular r:id="rId3" w:fontKey="{16333D21-BD89-497B-8BCC-0BFB7C42E280}"/>
  </w:font>
  <w:font w:name="方正小标宋_GBK">
    <w:panose1 w:val="03000509000000000000"/>
    <w:charset w:val="86"/>
    <w:family w:val="script"/>
    <w:pitch w:val="default"/>
    <w:sig w:usb0="00000001" w:usb1="080E0000" w:usb2="00000000" w:usb3="00000000" w:csb0="00040000" w:csb1="00000000"/>
    <w:embedRegular r:id="rId4" w:fontKey="{7C3397CC-DC01-4F3B-873F-6387209BB286}"/>
  </w:font>
  <w:font w:name="仿宋">
    <w:panose1 w:val="02010609060101010101"/>
    <w:charset w:val="86"/>
    <w:family w:val="modern"/>
    <w:pitch w:val="default"/>
    <w:sig w:usb0="800002BF" w:usb1="38CF7CFA" w:usb2="00000016" w:usb3="00000000" w:csb0="00040001" w:csb1="00000000"/>
    <w:embedRegular r:id="rId5" w:fontKey="{6168C850-4126-4BD7-B0C1-B18FD7FF78B9}"/>
  </w:font>
  <w:font w:name="仿宋_GB2312">
    <w:panose1 w:val="02010609030101010101"/>
    <w:charset w:val="86"/>
    <w:family w:val="modern"/>
    <w:pitch w:val="default"/>
    <w:sig w:usb0="00000001" w:usb1="080E0000" w:usb2="00000000" w:usb3="00000000" w:csb0="00040000" w:csb1="00000000"/>
    <w:embedRegular r:id="rId6" w:fontKey="{9931E0F6-B0A4-43FC-A42F-50208C81E956}"/>
  </w:font>
  <w:font w:name="华文中宋">
    <w:panose1 w:val="02010600040101010101"/>
    <w:charset w:val="86"/>
    <w:family w:val="auto"/>
    <w:pitch w:val="default"/>
    <w:sig w:usb0="00000287" w:usb1="080F0000" w:usb2="00000000" w:usb3="00000000" w:csb0="0004009F" w:csb1="DFD70000"/>
    <w:embedRegular r:id="rId7" w:fontKey="{4FCC7586-2180-4E02-BC18-C1863A14C827}"/>
  </w:font>
  <w:font w:name="方正仿宋_GB2312">
    <w:panose1 w:val="02000000000000000000"/>
    <w:charset w:val="86"/>
    <w:family w:val="auto"/>
    <w:pitch w:val="default"/>
    <w:sig w:usb0="A00002BF" w:usb1="184F6CFA" w:usb2="00000012" w:usb3="00000000" w:csb0="00040001" w:csb1="00000000"/>
    <w:embedRegular r:id="rId8" w:fontKey="{5F4C1D2A-18B7-4B8B-BF33-A810F329FF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Calibri" w:hAnsi="Calibri" w:eastAsia="宋体" w:cs="Times New Roman"/>
        <w:kern w:val="2"/>
        <w:sz w:val="21"/>
        <w:szCs w:val="24"/>
        <w:lang w:val="en-US" w:eastAsia="zh-CN" w:bidi="ar-SA"/>
      </w:rPr>
      <w:id w:val="4812039"/>
    </w:sdtPr>
    <w:sdtEndPr>
      <w:rPr>
        <w:rFonts w:ascii="Calibri" w:hAnsi="Calibri" w:eastAsia="宋体" w:cs="Times New Roman"/>
        <w:kern w:val="2"/>
        <w:sz w:val="18"/>
        <w:szCs w:val="18"/>
        <w:lang w:val="en-US" w:eastAsia="zh-CN" w:bidi="ar-SA"/>
      </w:rPr>
    </w:sdtEndPr>
    <w:sdtContent>
      <w:p w14:paraId="470D24A0">
        <w:pPr>
          <w:widowControl w:val="0"/>
          <w:tabs>
            <w:tab w:val="center" w:pos="4153"/>
            <w:tab w:val="right" w:pos="8306"/>
          </w:tabs>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zh-CN" w:eastAsia="zh-CN" w:bidi="ar-SA"/>
          </w:rPr>
          <w:t>1</w:t>
        </w:r>
        <w:r>
          <w:rPr>
            <w:rFonts w:ascii="Calibri" w:hAnsi="Calibri" w:eastAsia="宋体" w:cs="Times New Roman"/>
            <w:kern w:val="2"/>
            <w:sz w:val="18"/>
            <w:szCs w:val="18"/>
            <w:lang w:val="en-US" w:eastAsia="zh-CN" w:bidi="ar-SA"/>
          </w:rPr>
          <w:fldChar w:fldCharType="end"/>
        </w:r>
      </w:p>
    </w:sdtContent>
  </w:sdt>
  <w:p w14:paraId="491F0CAD">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4E1BF1"/>
    <w:rsid w:val="07FFE950"/>
    <w:rsid w:val="0D456686"/>
    <w:rsid w:val="11B77B72"/>
    <w:rsid w:val="15F34CB3"/>
    <w:rsid w:val="177F81A5"/>
    <w:rsid w:val="1DA94F6A"/>
    <w:rsid w:val="1E6BF7E3"/>
    <w:rsid w:val="1FC9443D"/>
    <w:rsid w:val="1FFFAF6A"/>
    <w:rsid w:val="23BA3996"/>
    <w:rsid w:val="240675BB"/>
    <w:rsid w:val="2C067104"/>
    <w:rsid w:val="2CFD529F"/>
    <w:rsid w:val="2FC5B2F8"/>
    <w:rsid w:val="2FCD8685"/>
    <w:rsid w:val="353837CE"/>
    <w:rsid w:val="3DFF74E5"/>
    <w:rsid w:val="3FB73E51"/>
    <w:rsid w:val="4130115C"/>
    <w:rsid w:val="495751DE"/>
    <w:rsid w:val="4BD05AB6"/>
    <w:rsid w:val="4BD37849"/>
    <w:rsid w:val="4BDE55F0"/>
    <w:rsid w:val="4DCE2E61"/>
    <w:rsid w:val="4F2C5B2B"/>
    <w:rsid w:val="517CF96E"/>
    <w:rsid w:val="5A0D5396"/>
    <w:rsid w:val="5B0972E9"/>
    <w:rsid w:val="5BDB61FE"/>
    <w:rsid w:val="5BDD347A"/>
    <w:rsid w:val="5DBDCB56"/>
    <w:rsid w:val="62612477"/>
    <w:rsid w:val="644E1BF1"/>
    <w:rsid w:val="68111F95"/>
    <w:rsid w:val="695152E5"/>
    <w:rsid w:val="6B3BE37B"/>
    <w:rsid w:val="6D6FB82B"/>
    <w:rsid w:val="6FFE2EDB"/>
    <w:rsid w:val="70A47FB4"/>
    <w:rsid w:val="70B14DA6"/>
    <w:rsid w:val="715D4BA0"/>
    <w:rsid w:val="728BD7D4"/>
    <w:rsid w:val="76517914"/>
    <w:rsid w:val="777264F1"/>
    <w:rsid w:val="77FF83A1"/>
    <w:rsid w:val="79ED11D7"/>
    <w:rsid w:val="7A370BA7"/>
    <w:rsid w:val="7BC1BE47"/>
    <w:rsid w:val="7BCBAF13"/>
    <w:rsid w:val="7E8F217B"/>
    <w:rsid w:val="7F67F695"/>
    <w:rsid w:val="7F7EAA98"/>
    <w:rsid w:val="7F7F68BD"/>
    <w:rsid w:val="7FAD29DD"/>
    <w:rsid w:val="7FF6D8C7"/>
    <w:rsid w:val="7FFF5678"/>
    <w:rsid w:val="8AF40A8B"/>
    <w:rsid w:val="97FBC621"/>
    <w:rsid w:val="9BEBB276"/>
    <w:rsid w:val="9D737C59"/>
    <w:rsid w:val="9FFF77BA"/>
    <w:rsid w:val="A3BF519D"/>
    <w:rsid w:val="AB37A940"/>
    <w:rsid w:val="AD97BE46"/>
    <w:rsid w:val="AF3724BB"/>
    <w:rsid w:val="AF3D74E8"/>
    <w:rsid w:val="B4D7FF7F"/>
    <w:rsid w:val="BFFF89AE"/>
    <w:rsid w:val="C5DEF085"/>
    <w:rsid w:val="CF8B7C15"/>
    <w:rsid w:val="D7FEB6F6"/>
    <w:rsid w:val="DB77E5DC"/>
    <w:rsid w:val="DEBBCB55"/>
    <w:rsid w:val="DF7F7B6D"/>
    <w:rsid w:val="F10E4124"/>
    <w:rsid w:val="F69DDA31"/>
    <w:rsid w:val="F6DB2D93"/>
    <w:rsid w:val="F7BB2D2A"/>
    <w:rsid w:val="F7DD4D98"/>
    <w:rsid w:val="F7E79FAB"/>
    <w:rsid w:val="F7FE98A2"/>
    <w:rsid w:val="F8A99FD7"/>
    <w:rsid w:val="F9C7404F"/>
    <w:rsid w:val="F9DF1AC1"/>
    <w:rsid w:val="FB768D35"/>
    <w:rsid w:val="FBCB4827"/>
    <w:rsid w:val="FBEFB606"/>
    <w:rsid w:val="FCF6AB61"/>
    <w:rsid w:val="FCFB0831"/>
    <w:rsid w:val="FDD71F2D"/>
    <w:rsid w:val="FF5BD0AB"/>
    <w:rsid w:val="FF6BBBCC"/>
    <w:rsid w:val="FF6F579F"/>
    <w:rsid w:val="FFA1E789"/>
    <w:rsid w:val="FFB177EC"/>
    <w:rsid w:val="FFBFD6EC"/>
    <w:rsid w:val="FFF75217"/>
    <w:rsid w:val="FFFBF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5294</Words>
  <Characters>5627</Characters>
  <Lines>0</Lines>
  <Paragraphs>0</Paragraphs>
  <TotalTime>36</TotalTime>
  <ScaleCrop>false</ScaleCrop>
  <LinksUpToDate>false</LinksUpToDate>
  <CharactersWithSpaces>5634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2025-04-13T10:55:00Z</dcterms:created>
  <dc:creator>凝</dc:creator>
  <cp:lastModifiedBy>Administrator</cp:lastModifiedBy>
  <cp:lastPrinted>2025-04-13T16:39:00Z</cp:lastPrinted>
  <dcterms:modified xsi:type="dcterms:W3CDTF">2025-07-30T01:59:22Z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7C11953EEB7841459B01CECC837A7220_13</vt:lpwstr>
  </property>
  <property fmtid="{D5CDD505-2E9C-101B-9397-08002B2CF9AE}" pid="4" name="KSOTemplateDocerSaveRecord">
    <vt:lpwstr>eyJoZGlkIjoiNTM4NDVlNmY2NmM5M2U0NzUwZjViYTNlODdkMDhlZjciLCJ1c2VySWQiOiIzNTE0OTY4MDEifQ==</vt:lpwstr>
  </property>
</Properties>
</file>