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5CC9EA">
      <w:pPr>
        <w:jc w:val="center"/>
        <w:rPr>
          <w:rFonts w:hint="eastAsia" w:ascii="方正小标宋简体" w:hAnsi="方正小标宋简体" w:eastAsia="方正小标宋简体" w:cs="方正小标宋简体"/>
          <w:b w:val="0"/>
          <w:bCs w:val="0"/>
          <w:i w:val="0"/>
          <w:iCs w:val="0"/>
          <w:caps w:val="0"/>
          <w:smallCaps w:val="0"/>
          <w:vanish w:val="0"/>
          <w:color w:val="auto"/>
          <w:sz w:val="44"/>
          <w:szCs w:val="44"/>
        </w:rPr>
      </w:pPr>
      <w:bookmarkStart w:id="0" w:name="_GoBack"/>
      <w:r>
        <w:rPr>
          <w:rFonts w:hint="eastAsia" w:ascii="方正小标宋简体" w:hAnsi="方正小标宋简体" w:eastAsia="方正小标宋简体" w:cs="方正小标宋简体"/>
          <w:b w:val="0"/>
          <w:bCs w:val="0"/>
          <w:i w:val="0"/>
          <w:iCs w:val="0"/>
          <w:caps w:val="0"/>
          <w:smallCaps w:val="0"/>
          <w:vanish w:val="0"/>
          <w:color w:val="auto"/>
          <w:sz w:val="44"/>
          <w:szCs w:val="44"/>
        </w:rPr>
        <w:t>湘潭县科技和工业信息化局2025年度涉企行政检查事项清单</w:t>
      </w:r>
    </w:p>
    <w:bookmarkEnd w:id="0"/>
    <w:tbl>
      <w:tblPr>
        <w:tblStyle w:val="6"/>
        <w:tblW w:w="148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080"/>
        <w:gridCol w:w="1401"/>
        <w:gridCol w:w="4769"/>
        <w:gridCol w:w="835"/>
        <w:gridCol w:w="835"/>
        <w:gridCol w:w="2561"/>
        <w:gridCol w:w="750"/>
        <w:gridCol w:w="2179"/>
      </w:tblGrid>
      <w:tr w14:paraId="5EB04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Align w:val="center"/>
          </w:tcPr>
          <w:p w14:paraId="14DC9977">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序号</w:t>
            </w:r>
          </w:p>
        </w:tc>
        <w:tc>
          <w:tcPr>
            <w:tcW w:w="1080" w:type="dxa"/>
            <w:vAlign w:val="center"/>
          </w:tcPr>
          <w:p w14:paraId="7BBF5338">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检查事项</w:t>
            </w:r>
          </w:p>
        </w:tc>
        <w:tc>
          <w:tcPr>
            <w:tcW w:w="1401" w:type="dxa"/>
            <w:vAlign w:val="center"/>
          </w:tcPr>
          <w:p w14:paraId="431F5B66">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检查主体</w:t>
            </w:r>
          </w:p>
          <w:p w14:paraId="0285771F">
            <w:pPr>
              <w:jc w:val="both"/>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（实施层级）</w:t>
            </w:r>
          </w:p>
        </w:tc>
        <w:tc>
          <w:tcPr>
            <w:tcW w:w="4769" w:type="dxa"/>
            <w:vAlign w:val="center"/>
          </w:tcPr>
          <w:p w14:paraId="73436055">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实施依据</w:t>
            </w:r>
          </w:p>
        </w:tc>
        <w:tc>
          <w:tcPr>
            <w:tcW w:w="835" w:type="dxa"/>
            <w:vAlign w:val="center"/>
          </w:tcPr>
          <w:p w14:paraId="7C67E0D5">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承办机构</w:t>
            </w:r>
          </w:p>
        </w:tc>
        <w:tc>
          <w:tcPr>
            <w:tcW w:w="835" w:type="dxa"/>
            <w:vAlign w:val="center"/>
          </w:tcPr>
          <w:p w14:paraId="0B1BB115">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检查对象</w:t>
            </w:r>
          </w:p>
        </w:tc>
        <w:tc>
          <w:tcPr>
            <w:tcW w:w="2561" w:type="dxa"/>
            <w:vAlign w:val="center"/>
          </w:tcPr>
          <w:p w14:paraId="2CAD72E5">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检查内容</w:t>
            </w:r>
          </w:p>
        </w:tc>
        <w:tc>
          <w:tcPr>
            <w:tcW w:w="750" w:type="dxa"/>
            <w:vAlign w:val="center"/>
          </w:tcPr>
          <w:p w14:paraId="250A2A57">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检查</w:t>
            </w:r>
          </w:p>
          <w:p w14:paraId="4C5D7BDE">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方式</w:t>
            </w:r>
          </w:p>
        </w:tc>
        <w:tc>
          <w:tcPr>
            <w:tcW w:w="2179" w:type="dxa"/>
            <w:vAlign w:val="center"/>
          </w:tcPr>
          <w:p w14:paraId="409D1AF7">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检查频次</w:t>
            </w:r>
          </w:p>
        </w:tc>
      </w:tr>
      <w:tr w14:paraId="45250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4" w:hRule="atLeast"/>
          <w:jc w:val="center"/>
        </w:trPr>
        <w:tc>
          <w:tcPr>
            <w:tcW w:w="456" w:type="dxa"/>
            <w:vAlign w:val="center"/>
          </w:tcPr>
          <w:p w14:paraId="604CDC52">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1</w:t>
            </w:r>
          </w:p>
        </w:tc>
        <w:tc>
          <w:tcPr>
            <w:tcW w:w="1080" w:type="dxa"/>
            <w:tcBorders>
              <w:left w:val="single" w:color="auto" w:sz="4" w:space="0"/>
            </w:tcBorders>
            <w:vAlign w:val="center"/>
          </w:tcPr>
          <w:p w14:paraId="10609B96">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对民用爆炸物品生产、销售企业安全生产监督管理的行政检查</w:t>
            </w:r>
          </w:p>
        </w:tc>
        <w:tc>
          <w:tcPr>
            <w:tcW w:w="1401" w:type="dxa"/>
            <w:tcBorders>
              <w:left w:val="single" w:color="auto" w:sz="4" w:space="0"/>
            </w:tcBorders>
            <w:vAlign w:val="center"/>
          </w:tcPr>
          <w:p w14:paraId="75274DEC">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县科工局</w:t>
            </w:r>
          </w:p>
        </w:tc>
        <w:tc>
          <w:tcPr>
            <w:tcW w:w="4769" w:type="dxa"/>
            <w:tcBorders>
              <w:left w:val="single" w:color="auto" w:sz="4" w:space="0"/>
            </w:tcBorders>
            <w:vAlign w:val="center"/>
          </w:tcPr>
          <w:p w14:paraId="57C128D7">
            <w:pPr>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《民用爆炸物品安全管理条例》（2006年5月10日中华人民共和国国务院令第466号公布。根据2014年7月29日《国务院关于修改部分行政法规的决定》修订）</w:t>
            </w:r>
          </w:p>
          <w:p w14:paraId="46D06952">
            <w:pPr>
              <w:jc w:val="left"/>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第四条第一款 民用爆炸物品行业主管部门负责民用爆炸物品生产、销售的安全监督管理；第四款  民用爆炸物品行业主管部门、公安机关、工商行政管理部门按照职责分工，负责组织查处非法生产、销售、购买、储存、运输、邮寄、使用民用爆炸物品的行为。</w:t>
            </w:r>
          </w:p>
        </w:tc>
        <w:tc>
          <w:tcPr>
            <w:tcW w:w="835" w:type="dxa"/>
            <w:tcBorders>
              <w:left w:val="single" w:color="auto" w:sz="4" w:space="0"/>
            </w:tcBorders>
            <w:vAlign w:val="center"/>
          </w:tcPr>
          <w:p w14:paraId="651DF85C">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u w:color="000000"/>
              </w:rPr>
              <w:t>原材料和节能综合利用股</w:t>
            </w:r>
          </w:p>
        </w:tc>
        <w:tc>
          <w:tcPr>
            <w:tcW w:w="835" w:type="dxa"/>
            <w:tcBorders>
              <w:left w:val="single" w:color="auto" w:sz="4" w:space="0"/>
            </w:tcBorders>
            <w:vAlign w:val="center"/>
          </w:tcPr>
          <w:p w14:paraId="33E4BDC6">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民用爆炸物品销售企业</w:t>
            </w:r>
          </w:p>
        </w:tc>
        <w:tc>
          <w:tcPr>
            <w:tcW w:w="2561" w:type="dxa"/>
            <w:tcBorders>
              <w:left w:val="single" w:color="auto" w:sz="4" w:space="0"/>
            </w:tcBorders>
            <w:vAlign w:val="center"/>
          </w:tcPr>
          <w:p w14:paraId="69689D07">
            <w:pPr>
              <w:jc w:val="left"/>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1.许可情况监督检查</w:t>
            </w:r>
            <w:r>
              <w:rPr>
                <w:rFonts w:hint="eastAsia" w:ascii="仿宋_GB2312" w:hAnsi="仿宋_GB2312" w:eastAsia="仿宋_GB2312" w:cs="仿宋_GB2312"/>
                <w:color w:val="auto"/>
                <w:sz w:val="21"/>
                <w:szCs w:val="21"/>
                <w:lang w:eastAsia="zh-CN"/>
              </w:rPr>
              <w:t>；</w:t>
            </w:r>
          </w:p>
          <w:p w14:paraId="7AA7497E">
            <w:pPr>
              <w:jc w:val="left"/>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2.仓储管理监督检查</w:t>
            </w:r>
            <w:r>
              <w:rPr>
                <w:rFonts w:hint="eastAsia" w:ascii="仿宋_GB2312" w:hAnsi="仿宋_GB2312" w:eastAsia="仿宋_GB2312" w:cs="仿宋_GB2312"/>
                <w:color w:val="auto"/>
                <w:sz w:val="21"/>
                <w:szCs w:val="21"/>
                <w:lang w:eastAsia="zh-CN"/>
              </w:rPr>
              <w:t>；</w:t>
            </w:r>
          </w:p>
          <w:p w14:paraId="7D26C788">
            <w:pPr>
              <w:jc w:val="left"/>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3.人员管理监督检查</w:t>
            </w:r>
            <w:r>
              <w:rPr>
                <w:rFonts w:hint="eastAsia" w:ascii="仿宋_GB2312" w:hAnsi="仿宋_GB2312" w:eastAsia="仿宋_GB2312" w:cs="仿宋_GB2312"/>
                <w:color w:val="auto"/>
                <w:sz w:val="21"/>
                <w:szCs w:val="21"/>
                <w:lang w:eastAsia="zh-CN"/>
              </w:rPr>
              <w:t>；</w:t>
            </w:r>
          </w:p>
          <w:p w14:paraId="72A6B914">
            <w:pPr>
              <w:jc w:val="left"/>
              <w:rPr>
                <w:rFonts w:hint="eastAsia" w:ascii="仿宋_GB2312" w:hAnsi="仿宋_GB2312" w:eastAsia="仿宋_GB2312" w:cs="仿宋_GB2312"/>
                <w:b w:val="0"/>
                <w:bCs w:val="0"/>
                <w:i w:val="0"/>
                <w:iCs w:val="0"/>
                <w:caps w:val="0"/>
                <w:smallCaps w:val="0"/>
                <w:vanish w:val="0"/>
                <w:color w:val="auto"/>
                <w:sz w:val="21"/>
                <w:szCs w:val="21"/>
                <w:lang w:eastAsia="zh-CN"/>
              </w:rPr>
            </w:pPr>
            <w:r>
              <w:rPr>
                <w:rFonts w:hint="eastAsia" w:ascii="仿宋_GB2312" w:hAnsi="仿宋_GB2312" w:eastAsia="仿宋_GB2312" w:cs="仿宋_GB2312"/>
                <w:color w:val="auto"/>
                <w:sz w:val="21"/>
                <w:szCs w:val="21"/>
              </w:rPr>
              <w:t>4.应急管理监督检查</w:t>
            </w:r>
            <w:r>
              <w:rPr>
                <w:rFonts w:hint="eastAsia" w:ascii="仿宋_GB2312" w:hAnsi="仿宋_GB2312" w:eastAsia="仿宋_GB2312" w:cs="仿宋_GB2312"/>
                <w:color w:val="auto"/>
                <w:sz w:val="21"/>
                <w:szCs w:val="21"/>
                <w:lang w:eastAsia="zh-CN"/>
              </w:rPr>
              <w:t>。</w:t>
            </w:r>
          </w:p>
        </w:tc>
        <w:tc>
          <w:tcPr>
            <w:tcW w:w="750" w:type="dxa"/>
            <w:tcBorders>
              <w:left w:val="single" w:color="auto" w:sz="4" w:space="0"/>
            </w:tcBorders>
            <w:vAlign w:val="center"/>
          </w:tcPr>
          <w:p w14:paraId="73A0F988">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现场检查</w:t>
            </w:r>
          </w:p>
        </w:tc>
        <w:tc>
          <w:tcPr>
            <w:tcW w:w="2179" w:type="dxa"/>
            <w:tcBorders>
              <w:left w:val="single" w:color="auto" w:sz="4" w:space="0"/>
            </w:tcBorders>
            <w:vAlign w:val="center"/>
          </w:tcPr>
          <w:p w14:paraId="7788C770">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按本单位每年3月底前报经同级司法行政部门备案审查的涉企年度行政检查计划执行</w:t>
            </w:r>
          </w:p>
        </w:tc>
      </w:tr>
      <w:tr w14:paraId="4D953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Align w:val="center"/>
          </w:tcPr>
          <w:p w14:paraId="60477A9C">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2</w:t>
            </w:r>
          </w:p>
        </w:tc>
        <w:tc>
          <w:tcPr>
            <w:tcW w:w="1080" w:type="dxa"/>
            <w:tcBorders>
              <w:left w:val="single" w:color="auto" w:sz="4" w:space="0"/>
            </w:tcBorders>
            <w:vAlign w:val="center"/>
          </w:tcPr>
          <w:p w14:paraId="58FC5C13">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对民用船舶制造业安全生产的行政检查</w:t>
            </w:r>
          </w:p>
        </w:tc>
        <w:tc>
          <w:tcPr>
            <w:tcW w:w="1401" w:type="dxa"/>
            <w:tcBorders>
              <w:left w:val="single" w:color="auto" w:sz="4" w:space="0"/>
            </w:tcBorders>
            <w:vAlign w:val="center"/>
          </w:tcPr>
          <w:p w14:paraId="41ED3C8B">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县科工局</w:t>
            </w:r>
          </w:p>
        </w:tc>
        <w:tc>
          <w:tcPr>
            <w:tcW w:w="4769" w:type="dxa"/>
            <w:tcBorders>
              <w:left w:val="single" w:color="auto" w:sz="4" w:space="0"/>
            </w:tcBorders>
            <w:vAlign w:val="center"/>
          </w:tcPr>
          <w:p w14:paraId="79DBAC43">
            <w:pPr>
              <w:jc w:val="left"/>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u w:color="000000"/>
              </w:rPr>
              <w:t>1.《湖南省安全生产委员会成员单位安全生产工作任务分工》（湘安发﹝2024﹞15号）第八条  省工业和信息化厅（三）负责指导民用飞机制造业、民用船舶制造业安全管理，配合组织实施国家制定的相关企业安全生产规章制度、标准规范和诚信体系建设。</w:t>
            </w:r>
            <w:r>
              <w:rPr>
                <w:rFonts w:hint="eastAsia" w:ascii="仿宋_GB2312" w:hAnsi="仿宋_GB2312" w:eastAsia="仿宋_GB2312" w:cs="仿宋_GB2312"/>
                <w:color w:val="auto"/>
                <w:sz w:val="21"/>
                <w:szCs w:val="21"/>
                <w:u w:color="000000"/>
              </w:rPr>
              <w:br w:type="textWrapping"/>
            </w:r>
            <w:r>
              <w:rPr>
                <w:rFonts w:hint="eastAsia" w:ascii="仿宋_GB2312" w:hAnsi="仿宋_GB2312" w:eastAsia="仿宋_GB2312" w:cs="仿宋_GB2312"/>
                <w:color w:val="auto"/>
                <w:sz w:val="21"/>
                <w:szCs w:val="21"/>
                <w:u w:color="000000"/>
              </w:rPr>
              <w:t>2.《湖南省安全生产委员会办公室关于印发〈湖南省安全生产治本攻坚三年行动方案（2024-2026年）〉子方案的通知》（湘安办函﹝2024﹞96号）附件2（二）工业和信息化厅每季度至少开展一次民机民船制造业安全生产管理指导，为民机民船制造业企业提供安全生产专家指导服务，督促企业开展隐患排查治理，落实落细安全生产管理措施。</w:t>
            </w:r>
          </w:p>
        </w:tc>
        <w:tc>
          <w:tcPr>
            <w:tcW w:w="835" w:type="dxa"/>
            <w:tcBorders>
              <w:left w:val="single" w:color="auto" w:sz="4" w:space="0"/>
            </w:tcBorders>
            <w:vAlign w:val="center"/>
          </w:tcPr>
          <w:p w14:paraId="6093DD07">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投资规划和产业结构管理股（审批服务股）</w:t>
            </w:r>
          </w:p>
        </w:tc>
        <w:tc>
          <w:tcPr>
            <w:tcW w:w="835" w:type="dxa"/>
            <w:tcBorders>
              <w:left w:val="single" w:color="auto" w:sz="4" w:space="0"/>
            </w:tcBorders>
            <w:vAlign w:val="center"/>
          </w:tcPr>
          <w:p w14:paraId="3E3ACCFF">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民用船舶制造企业</w:t>
            </w:r>
          </w:p>
        </w:tc>
        <w:tc>
          <w:tcPr>
            <w:tcW w:w="2561" w:type="dxa"/>
            <w:tcBorders>
              <w:left w:val="single" w:color="auto" w:sz="4" w:space="0"/>
            </w:tcBorders>
            <w:vAlign w:val="center"/>
          </w:tcPr>
          <w:p w14:paraId="16FB9DAE">
            <w:pPr>
              <w:jc w:val="left"/>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1.全员安全生产责任制建立和落实情况</w:t>
            </w:r>
            <w:r>
              <w:rPr>
                <w:rFonts w:hint="eastAsia" w:ascii="仿宋_GB2312" w:hAnsi="仿宋_GB2312" w:eastAsia="仿宋_GB2312" w:cs="仿宋_GB2312"/>
                <w:color w:val="auto"/>
                <w:sz w:val="21"/>
                <w:szCs w:val="21"/>
                <w:lang w:eastAsia="zh-CN"/>
              </w:rPr>
              <w:t>；</w:t>
            </w:r>
          </w:p>
          <w:p w14:paraId="7B6DA24C">
            <w:pPr>
              <w:jc w:val="left"/>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2.安全生产规章制度和操作规程制定和实施情况</w:t>
            </w:r>
            <w:r>
              <w:rPr>
                <w:rFonts w:hint="eastAsia" w:ascii="仿宋_GB2312" w:hAnsi="仿宋_GB2312" w:eastAsia="仿宋_GB2312" w:cs="仿宋_GB2312"/>
                <w:color w:val="auto"/>
                <w:sz w:val="21"/>
                <w:szCs w:val="21"/>
                <w:lang w:eastAsia="zh-CN"/>
              </w:rPr>
              <w:t>；</w:t>
            </w:r>
          </w:p>
          <w:p w14:paraId="52F1893A">
            <w:pPr>
              <w:jc w:val="left"/>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3.安全生产教育和培训计划制定和实施情况</w:t>
            </w:r>
            <w:r>
              <w:rPr>
                <w:rFonts w:hint="eastAsia" w:ascii="仿宋_GB2312" w:hAnsi="仿宋_GB2312" w:eastAsia="仿宋_GB2312" w:cs="仿宋_GB2312"/>
                <w:color w:val="auto"/>
                <w:sz w:val="21"/>
                <w:szCs w:val="21"/>
                <w:lang w:eastAsia="zh-CN"/>
              </w:rPr>
              <w:t>；</w:t>
            </w:r>
          </w:p>
          <w:p w14:paraId="038A8270">
            <w:pPr>
              <w:jc w:val="left"/>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4.安全生产投入情况</w:t>
            </w:r>
            <w:r>
              <w:rPr>
                <w:rFonts w:hint="eastAsia" w:ascii="仿宋_GB2312" w:hAnsi="仿宋_GB2312" w:eastAsia="仿宋_GB2312" w:cs="仿宋_GB2312"/>
                <w:color w:val="auto"/>
                <w:sz w:val="21"/>
                <w:szCs w:val="21"/>
                <w:lang w:eastAsia="zh-CN"/>
              </w:rPr>
              <w:t>；</w:t>
            </w:r>
          </w:p>
          <w:p w14:paraId="0978C887">
            <w:pPr>
              <w:jc w:val="left"/>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5.安全风险分级管控和隐患排查治理双重预防工作建立和实施情况</w:t>
            </w:r>
            <w:r>
              <w:rPr>
                <w:rFonts w:hint="eastAsia" w:ascii="仿宋_GB2312" w:hAnsi="仿宋_GB2312" w:eastAsia="仿宋_GB2312" w:cs="仿宋_GB2312"/>
                <w:color w:val="auto"/>
                <w:sz w:val="21"/>
                <w:szCs w:val="21"/>
                <w:lang w:eastAsia="zh-CN"/>
              </w:rPr>
              <w:t>；</w:t>
            </w:r>
          </w:p>
          <w:p w14:paraId="37FFAB5A">
            <w:pPr>
              <w:jc w:val="left"/>
              <w:rPr>
                <w:rFonts w:hint="eastAsia" w:ascii="仿宋_GB2312" w:hAnsi="仿宋_GB2312" w:eastAsia="仿宋_GB2312" w:cs="仿宋_GB2312"/>
                <w:b w:val="0"/>
                <w:bCs w:val="0"/>
                <w:i w:val="0"/>
                <w:iCs w:val="0"/>
                <w:caps w:val="0"/>
                <w:smallCaps w:val="0"/>
                <w:vanish w:val="0"/>
                <w:color w:val="auto"/>
                <w:sz w:val="21"/>
                <w:szCs w:val="21"/>
                <w:lang w:eastAsia="zh-CN"/>
              </w:rPr>
            </w:pPr>
            <w:r>
              <w:rPr>
                <w:rFonts w:hint="eastAsia" w:ascii="仿宋_GB2312" w:hAnsi="仿宋_GB2312" w:eastAsia="仿宋_GB2312" w:cs="仿宋_GB2312"/>
                <w:color w:val="auto"/>
                <w:sz w:val="21"/>
                <w:szCs w:val="21"/>
              </w:rPr>
              <w:t>6.生产安全事故应急救援预案制定和演练情况</w:t>
            </w:r>
            <w:r>
              <w:rPr>
                <w:rFonts w:hint="eastAsia" w:ascii="仿宋_GB2312" w:hAnsi="仿宋_GB2312" w:eastAsia="仿宋_GB2312" w:cs="仿宋_GB2312"/>
                <w:color w:val="auto"/>
                <w:sz w:val="21"/>
                <w:szCs w:val="21"/>
                <w:lang w:eastAsia="zh-CN"/>
              </w:rPr>
              <w:t>。</w:t>
            </w:r>
          </w:p>
        </w:tc>
        <w:tc>
          <w:tcPr>
            <w:tcW w:w="750" w:type="dxa"/>
            <w:tcBorders>
              <w:left w:val="single" w:color="auto" w:sz="4" w:space="0"/>
            </w:tcBorders>
            <w:vAlign w:val="center"/>
          </w:tcPr>
          <w:p w14:paraId="5D5E9ACE">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rPr>
              <w:t>现场检查</w:t>
            </w:r>
          </w:p>
        </w:tc>
        <w:tc>
          <w:tcPr>
            <w:tcW w:w="2179" w:type="dxa"/>
            <w:tcBorders>
              <w:left w:val="single" w:color="auto" w:sz="4" w:space="0"/>
            </w:tcBorders>
            <w:vAlign w:val="center"/>
          </w:tcPr>
          <w:p w14:paraId="1085F5A9">
            <w:pPr>
              <w:jc w:val="center"/>
              <w:rPr>
                <w:rFonts w:hint="eastAsia" w:ascii="仿宋_GB2312" w:hAnsi="仿宋_GB2312" w:eastAsia="仿宋_GB2312" w:cs="仿宋_GB2312"/>
                <w:b w:val="0"/>
                <w:bCs w:val="0"/>
                <w:i w:val="0"/>
                <w:iCs w:val="0"/>
                <w:caps w:val="0"/>
                <w:smallCaps w:val="0"/>
                <w:vanish w:val="0"/>
                <w:color w:val="auto"/>
                <w:sz w:val="21"/>
                <w:szCs w:val="21"/>
              </w:rPr>
            </w:pPr>
            <w:r>
              <w:rPr>
                <w:rFonts w:hint="eastAsia" w:ascii="仿宋_GB2312" w:hAnsi="仿宋_GB2312" w:eastAsia="仿宋_GB2312" w:cs="仿宋_GB2312"/>
                <w:color w:val="auto"/>
                <w:sz w:val="21"/>
                <w:szCs w:val="21"/>
                <w:u w:color="000000"/>
              </w:rPr>
              <w:t>按本单位每年3月底前报经同级司法行政部门备案审查的涉企年度行政检查计划执行</w:t>
            </w:r>
          </w:p>
        </w:tc>
      </w:tr>
    </w:tbl>
    <w:p w14:paraId="5EED80C5">
      <w:pPr>
        <w:ind w:left="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说明：</w:t>
      </w:r>
    </w:p>
    <w:p w14:paraId="277DDC41">
      <w:pPr>
        <w:ind w:left="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1.本清单根据有关法律法规规章立改废情况进行动态调整。</w:t>
      </w:r>
    </w:p>
    <w:p w14:paraId="423A36D2">
      <w:pPr>
        <w:ind w:left="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2.严禁行政执法机关（含所属法律法规授权组织）对同一检查对象进行重复行政检查。</w:t>
      </w:r>
    </w:p>
    <w:p w14:paraId="5BFBCD7B">
      <w:pPr>
        <w:ind w:left="0"/>
        <w:rPr>
          <w:rFonts w:hint="eastAsia" w:ascii="CESI仿宋-GB2312" w:hAnsi="CESI仿宋-GB2312" w:eastAsia="CESI仿宋-GB2312" w:cs="CESI仿宋-GB2312"/>
          <w:color w:val="auto"/>
          <w:sz w:val="15"/>
          <w:szCs w:val="15"/>
        </w:rPr>
      </w:pPr>
      <w:r>
        <w:rPr>
          <w:rFonts w:hint="eastAsia" w:ascii="仿宋_GB2312" w:hAnsi="仿宋_GB2312" w:eastAsia="仿宋_GB2312" w:cs="仿宋_GB2312"/>
          <w:color w:val="auto"/>
          <w:sz w:val="21"/>
          <w:szCs w:val="21"/>
        </w:rPr>
        <w:t>3.本机关对于未列入清单的涉企行政检查事项一律不得实施行政检查；违规实施的，企业有权拒绝接受检查，并可以向县科工局（本机关行政执法监督机构，联系电话：0731-57882059；和县司法局（联系电话：0731-57882002）</w:t>
      </w:r>
    </w:p>
    <w:sectPr>
      <w:pgSz w:w="16839" w:h="11907" w:orient="landscape"/>
      <w:pgMar w:top="1134" w:right="1134" w:bottom="1134" w:left="1134" w:header="851" w:footer="992" w:gutter="0"/>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Lucida Sans">
    <w:altName w:val="Lucida Sans Unicode"/>
    <w:panose1 w:val="020B0602030504020204"/>
    <w:charset w:val="00"/>
    <w:family w:val="auto"/>
    <w:pitch w:val="default"/>
    <w:sig w:usb0="00000000"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ESI仿宋-GB2312">
    <w:altName w:val="仿宋"/>
    <w:panose1 w:val="02000500000000000000"/>
    <w:charset w:val="86"/>
    <w:family w:val="script"/>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displayBackgroundShape w:val="1"/>
  <w:bordersDoNotSurroundHeader w:val="0"/>
  <w:bordersDoNotSurroundFooter w:val="0"/>
  <w:documentProtection w:enforcement="0"/>
  <w:defaultTabStop w:val="420"/>
  <w:drawingGridHorizontalSpacing w:val="105"/>
  <w:drawingGridVerticalSpacing w:val="158"/>
  <w:displayHorizontalDrawingGridEvery w:val="1"/>
  <w:displayVerticalDrawingGridEvery w:val="2"/>
  <w:noPunctuationKerning w:val="1"/>
  <w:characterSpacingControl w:val="compressPunctuation"/>
  <w:footnotePr>
    <w:footnote w:id="0"/>
    <w:footnote w:id="1"/>
  </w:footnotePr>
  <w:endnotePr>
    <w:endnote w:id="0"/>
    <w:endnote w:id="1"/>
  </w:endnotePr>
  <w:compat>
    <w:spaceForUL/>
    <w:balanceSingleByteDoubleByteWidth/>
    <w:ulTrailSpace/>
    <w:doNotExpandShiftReturn/>
    <w:adjustLineHeightInTable/>
    <w:doNotWrapTextWithPunct/>
    <w:doNotUseEastAsianBreakRules/>
    <w:useFELayout/>
    <w:compatSetting w:name="compatibilityMode" w:uri="http://schemas.microsoft.com/office/word" w:val="15"/>
  </w:compat>
  <w:rsids>
    <w:rsidRoot w:val="00000000"/>
    <w:rsid w:val="0AA67C51"/>
    <w:rsid w:val="134C6C19"/>
    <w:rsid w:val="345D41F5"/>
    <w:rsid w:val="503D39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Lucida Sans"/>
      <w:kern w:val="2"/>
      <w:sz w:val="21"/>
      <w:szCs w:val="21"/>
      <w:lang w:val="en-US" w:eastAsia="zh-CN" w:bidi="ar-SA"/>
    </w:rPr>
  </w:style>
  <w:style w:type="paragraph" w:styleId="2">
    <w:name w:val="heading 1"/>
    <w:basedOn w:val="1"/>
    <w:next w:val="1"/>
    <w:link w:val="8"/>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
    <w:qFormat/>
    <w:uiPriority w:val="0"/>
    <w:pPr>
      <w:keepNext/>
      <w:keepLines/>
      <w:spacing w:before="260" w:after="260" w:line="415" w:lineRule="auto"/>
      <w:outlineLvl w:val="1"/>
    </w:pPr>
    <w:rPr>
      <w:rFonts w:ascii="Times New Roman" w:hAnsi="Times New Roman" w:eastAsia="黑体"/>
      <w:b/>
      <w:bCs/>
      <w:sz w:val="32"/>
      <w:szCs w:val="32"/>
    </w:rPr>
  </w:style>
  <w:style w:type="paragraph" w:styleId="4">
    <w:name w:val="heading 3"/>
    <w:basedOn w:val="1"/>
    <w:next w:val="1"/>
    <w:link w:val="10"/>
    <w:qFormat/>
    <w:uiPriority w:val="0"/>
    <w:pPr>
      <w:keepNext/>
      <w:keepLines/>
      <w:spacing w:before="260" w:after="260" w:line="415" w:lineRule="auto"/>
      <w:outlineLvl w:val="2"/>
    </w:pPr>
    <w:rPr>
      <w:b/>
      <w:bCs/>
      <w:sz w:val="32"/>
      <w:szCs w:val="32"/>
    </w:rPr>
  </w:style>
  <w:style w:type="character" w:default="1" w:styleId="7">
    <w:name w:val="Default Paragraph Font"/>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table of figures"/>
    <w:basedOn w:val="1"/>
    <w:next w:val="1"/>
    <w:qFormat/>
    <w:uiPriority w:val="0"/>
    <w:pPr>
      <w:ind w:left="400" w:leftChars="200" w:hanging="200" w:hangingChars="200"/>
    </w:pPr>
  </w:style>
  <w:style w:type="character" w:customStyle="1" w:styleId="8">
    <w:name w:val="heading 1 Char"/>
    <w:basedOn w:val="7"/>
    <w:link w:val="2"/>
    <w:qFormat/>
    <w:uiPriority w:val="0"/>
    <w:rPr>
      <w:rFonts w:ascii="Times New Roman" w:hAnsi="Times New Roman" w:eastAsia="宋体" w:cs="Lucida Sans"/>
      <w:b/>
      <w:bCs/>
      <w:kern w:val="44"/>
      <w:sz w:val="44"/>
      <w:szCs w:val="44"/>
      <w:lang w:val="en-US" w:eastAsia="zh-CN" w:bidi="ar-SA"/>
    </w:rPr>
  </w:style>
  <w:style w:type="character" w:customStyle="1" w:styleId="9">
    <w:name w:val="heading 2 Char"/>
    <w:basedOn w:val="7"/>
    <w:link w:val="3"/>
    <w:qFormat/>
    <w:uiPriority w:val="0"/>
    <w:rPr>
      <w:rFonts w:ascii="Times New Roman" w:hAnsi="Times New Roman" w:eastAsia="黑体" w:cs="Lucida Sans"/>
      <w:b/>
      <w:bCs/>
      <w:kern w:val="2"/>
      <w:sz w:val="32"/>
      <w:szCs w:val="32"/>
      <w:lang w:val="en-US" w:eastAsia="zh-CN" w:bidi="ar-SA"/>
    </w:rPr>
  </w:style>
  <w:style w:type="character" w:customStyle="1" w:styleId="10">
    <w:name w:val="heading 3 Char"/>
    <w:basedOn w:val="7"/>
    <w:link w:val="4"/>
    <w:qFormat/>
    <w:uiPriority w:val="0"/>
    <w:rPr>
      <w:rFonts w:ascii="Times New Roman" w:hAnsi="Times New Roman" w:eastAsia="宋体" w:cs="Lucida Sans"/>
      <w:b/>
      <w:bCs/>
      <w:kern w:val="2"/>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
        <a:ea typeface=""/>
        <a:cs typeface=""/>
      </a:majorFont>
      <a:minorFont>
        <a:latin typeface=""/>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1"/>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1"/>
        </a:gradFill>
      </a:fillStyleLst>
      <a:lnStyleLst>
        <a:ln w="6350" cap="flat" cmpd="sng">
          <a:solidFill>
            <a:schemeClr val="phClr"/>
          </a:solidFill>
          <a:prstDash val="solid"/>
          <a:miter/>
        </a:ln>
        <a:ln w="12700" cap="flat" cmpd="sng">
          <a:solidFill>
            <a:schemeClr val="phClr"/>
          </a:solidFill>
          <a:prstDash val="solid"/>
          <a:miter/>
        </a:ln>
        <a:ln w="19050" cap="flat" cmpd="sng">
          <a:solidFill>
            <a:schemeClr val="phClr"/>
          </a:solidFill>
          <a:prstDash val="solid"/>
          <a:miter/>
        </a:ln>
      </a:lnStyleLst>
      <a:effectStyleLst>
        <a:effectStyle>
          <a:effectLst/>
        </a:effectStyle>
        <a:effectStyle>
          <a:effectLst/>
        </a:effectStyle>
        <a:effectStyle>
          <a:effectLst>
            <a:outerShdw blurRad="57150" dist="19050" dir="5400000" rotWithShape="0">
              <a:srgbClr val="000000">
                <a:alpha val="62745"/>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26645 1 1 1 1 1"/>
    <sectPr/>
  </customProps>
</customData>
</file>

<file path=customXml/itemProps1.xml><?xml version="1.0" encoding="utf-8"?>
<ds:datastoreItem xmlns:ds="http://schemas.openxmlformats.org/officeDocument/2006/customXml" ds:itemID="{2F72D7A0-14CF-4B51-AD52-C266F4654543}">
  <ds:schemaRefs/>
</ds:datastoreItem>
</file>

<file path=docProps/app.xml><?xml version="1.0" encoding="utf-8"?>
<Properties xmlns="http://schemas.openxmlformats.org/officeDocument/2006/extended-properties" xmlns:vt="http://schemas.openxmlformats.org/officeDocument/2006/docPropsVTypes">
  <Template>Normal.eit</Template>
  <Pages>1</Pages>
  <Words>1264</Words>
  <Characters>1357</Characters>
  <Lines>0</Lines>
  <Paragraphs>11</Paragraphs>
  <TotalTime>1</TotalTime>
  <ScaleCrop>false</ScaleCrop>
  <LinksUpToDate>false</LinksUpToDate>
  <CharactersWithSpaces>1417</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2025-07-07T03:29:00Z</dcterms:created>
  <dc:creator>kg14</dc:creator>
  <cp:lastModifiedBy>相濡以沫</cp:lastModifiedBy>
  <cp:lastPrinted>2025-07-08T03:39:00Z</cp:lastPrinted>
  <dcterms:modified xsi:type="dcterms:W3CDTF">2025-07-11T02:19:17Z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eyJoZGlkIjoiYTNjNjlkZWFmNzVhOWUzODg5ZDVlNjNlYmQxNzFhMzIiLCJ1c2VySWQiOiIyNTAzNTkxNDQifQ==</vt:lpwstr>
  </property>
  <property fmtid="{D5CDD505-2E9C-101B-9397-08002B2CF9AE}" pid="3" name="KSOProductBuildVer">
    <vt:lpwstr>2052-12.1.0.21915</vt:lpwstr>
  </property>
  <property fmtid="{D5CDD505-2E9C-101B-9397-08002B2CF9AE}" pid="4" name="ICV">
    <vt:lpwstr>1A5F2DF9546048CE96873C07DD907719_12</vt:lpwstr>
  </property>
</Properties>
</file>