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52F239">
      <w:pPr>
        <w:spacing w:line="560" w:lineRule="exact"/>
        <w:rPr>
          <w:rFonts w:ascii="黑体" w:hAnsi="黑体" w:eastAsia="黑体" w:cs="黑体"/>
          <w:color w:val="000000"/>
          <w:sz w:val="32"/>
          <w:szCs w:val="32"/>
        </w:rPr>
      </w:pPr>
      <w:r>
        <w:rPr>
          <w:rFonts w:hint="eastAsia" w:ascii="黑体" w:hAnsi="黑体" w:eastAsia="黑体" w:cs="黑体"/>
          <w:color w:val="000000"/>
          <w:sz w:val="32"/>
          <w:szCs w:val="32"/>
        </w:rPr>
        <w:t>附件</w:t>
      </w:r>
    </w:p>
    <w:p w14:paraId="14C21FD8">
      <w:pPr>
        <w:spacing w:line="520" w:lineRule="exact"/>
        <w:jc w:val="center"/>
        <w:rPr>
          <w:rFonts w:hint="eastAsia" w:ascii="宋体" w:hAnsi="宋体" w:eastAsia="宋体" w:cs="仿宋"/>
          <w:b/>
          <w:bCs/>
          <w:color w:val="000000"/>
          <w:kern w:val="0"/>
          <w:sz w:val="36"/>
          <w:szCs w:val="36"/>
          <w:lang w:eastAsia="zh-CN"/>
        </w:rPr>
      </w:pPr>
      <w:r>
        <w:rPr>
          <w:rFonts w:hint="eastAsia" w:ascii="宋体" w:hAnsi="宋体" w:cs="仿宋"/>
          <w:b/>
          <w:bCs/>
          <w:color w:val="000000"/>
          <w:kern w:val="0"/>
          <w:sz w:val="36"/>
          <w:szCs w:val="36"/>
        </w:rPr>
        <w:t>部门整体支出绩效评价自评报告公开</w:t>
      </w:r>
      <w:r>
        <w:rPr>
          <w:rFonts w:hint="eastAsia" w:ascii="宋体" w:hAnsi="宋体" w:cs="仿宋"/>
          <w:b/>
          <w:bCs/>
          <w:color w:val="000000"/>
          <w:kern w:val="0"/>
          <w:sz w:val="36"/>
          <w:szCs w:val="36"/>
          <w:lang w:eastAsia="zh-CN"/>
        </w:rPr>
        <w:t>表</w:t>
      </w:r>
    </w:p>
    <w:tbl>
      <w:tblPr>
        <w:tblStyle w:val="7"/>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599"/>
        <w:gridCol w:w="6056"/>
      </w:tblGrid>
      <w:tr w14:paraId="0C8CA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1384" w:type="dxa"/>
            <w:vMerge w:val="restart"/>
            <w:vAlign w:val="center"/>
          </w:tcPr>
          <w:p w14:paraId="3500B2A9">
            <w:pPr>
              <w:spacing w:line="300" w:lineRule="exact"/>
              <w:jc w:val="center"/>
              <w:rPr>
                <w:rFonts w:ascii="仿宋_GB2312" w:hAnsi="宋体" w:eastAsia="仿宋_GB2312" w:cs="宋体"/>
                <w:szCs w:val="21"/>
              </w:rPr>
            </w:pPr>
            <w:r>
              <w:rPr>
                <w:rFonts w:hint="eastAsia" w:ascii="仿宋_GB2312" w:hAnsi="宋体" w:eastAsia="仿宋_GB2312" w:cs="宋体"/>
                <w:szCs w:val="21"/>
              </w:rPr>
              <w:t>部门概况</w:t>
            </w:r>
          </w:p>
        </w:tc>
        <w:tc>
          <w:tcPr>
            <w:tcW w:w="1599" w:type="dxa"/>
            <w:vAlign w:val="center"/>
          </w:tcPr>
          <w:p w14:paraId="19CCDEA1">
            <w:pPr>
              <w:spacing w:line="300" w:lineRule="exact"/>
              <w:jc w:val="center"/>
              <w:rPr>
                <w:rFonts w:ascii="仿宋_GB2312" w:hAnsi="宋体" w:eastAsia="仿宋_GB2312" w:cs="宋体"/>
                <w:szCs w:val="21"/>
              </w:rPr>
            </w:pPr>
            <w:r>
              <w:rPr>
                <w:rFonts w:hint="eastAsia" w:ascii="仿宋_GB2312" w:hAnsi="宋体" w:eastAsia="仿宋_GB2312" w:cs="宋体"/>
                <w:szCs w:val="21"/>
              </w:rPr>
              <w:t>单位名称</w:t>
            </w:r>
          </w:p>
        </w:tc>
        <w:tc>
          <w:tcPr>
            <w:tcW w:w="6056" w:type="dxa"/>
            <w:vAlign w:val="center"/>
          </w:tcPr>
          <w:p w14:paraId="2F1C09C3">
            <w:pPr>
              <w:spacing w:line="300" w:lineRule="exact"/>
              <w:ind w:right="880" w:rightChars="419"/>
              <w:jc w:val="center"/>
              <w:rPr>
                <w:rFonts w:hint="eastAsia" w:ascii="仿宋_GB2312" w:hAnsi="宋体" w:eastAsia="仿宋_GB2312" w:cs="宋体"/>
                <w:szCs w:val="21"/>
                <w:lang w:val="en-US" w:eastAsia="zh-CN"/>
              </w:rPr>
            </w:pPr>
            <w:r>
              <w:rPr>
                <w:rFonts w:hint="eastAsia" w:ascii="仿宋_GB2312" w:hAnsi="宋体" w:eastAsia="仿宋_GB2312" w:cs="宋体"/>
                <w:szCs w:val="21"/>
                <w:lang w:val="en-US" w:eastAsia="zh-CN"/>
              </w:rPr>
              <w:t>湘潭县农业农村局</w:t>
            </w:r>
          </w:p>
        </w:tc>
      </w:tr>
      <w:tr w14:paraId="069656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1384" w:type="dxa"/>
            <w:vMerge w:val="continue"/>
          </w:tcPr>
          <w:p w14:paraId="13A3D8F4">
            <w:pPr>
              <w:spacing w:line="300" w:lineRule="exact"/>
              <w:jc w:val="center"/>
              <w:rPr>
                <w:rFonts w:ascii="仿宋_GB2312" w:hAnsi="宋体" w:eastAsia="仿宋_GB2312" w:cs="宋体"/>
                <w:szCs w:val="21"/>
              </w:rPr>
            </w:pPr>
          </w:p>
        </w:tc>
        <w:tc>
          <w:tcPr>
            <w:tcW w:w="1599" w:type="dxa"/>
            <w:vAlign w:val="center"/>
          </w:tcPr>
          <w:p w14:paraId="0F9E2580">
            <w:pPr>
              <w:spacing w:line="300" w:lineRule="exact"/>
              <w:jc w:val="center"/>
              <w:rPr>
                <w:rFonts w:ascii="仿宋_GB2312" w:hAnsi="宋体" w:eastAsia="仿宋_GB2312" w:cs="宋体"/>
                <w:szCs w:val="21"/>
              </w:rPr>
            </w:pPr>
            <w:r>
              <w:rPr>
                <w:rFonts w:hint="eastAsia" w:ascii="仿宋_GB2312" w:hAnsi="宋体" w:eastAsia="仿宋_GB2312" w:cs="宋体"/>
                <w:szCs w:val="21"/>
              </w:rPr>
              <w:t>年度预算金额</w:t>
            </w:r>
          </w:p>
        </w:tc>
        <w:tc>
          <w:tcPr>
            <w:tcW w:w="6056" w:type="dxa"/>
            <w:vAlign w:val="center"/>
          </w:tcPr>
          <w:p w14:paraId="6E1347AE">
            <w:pPr>
              <w:spacing w:line="300" w:lineRule="exact"/>
              <w:ind w:right="880" w:rightChars="419"/>
              <w:jc w:val="center"/>
              <w:rPr>
                <w:rFonts w:hint="default" w:ascii="仿宋_GB2312" w:hAnsi="宋体" w:eastAsia="仿宋_GB2312" w:cs="宋体"/>
                <w:szCs w:val="21"/>
                <w:lang w:val="en-US" w:eastAsia="zh-CN"/>
              </w:rPr>
            </w:pPr>
            <w:r>
              <w:rPr>
                <w:rFonts w:hint="eastAsia" w:ascii="仿宋_GB2312" w:hAnsi="宋体" w:eastAsia="仿宋_GB2312" w:cs="宋体"/>
                <w:szCs w:val="21"/>
                <w:lang w:val="en-US" w:eastAsia="zh-CN"/>
              </w:rPr>
              <w:t>25786.264</w:t>
            </w:r>
            <w:bookmarkStart w:id="0" w:name="_GoBack"/>
            <w:bookmarkEnd w:id="0"/>
            <w:r>
              <w:rPr>
                <w:rFonts w:hint="eastAsia" w:ascii="仿宋_GB2312" w:hAnsi="宋体" w:eastAsia="仿宋_GB2312" w:cs="宋体"/>
                <w:szCs w:val="21"/>
                <w:lang w:val="en-US" w:eastAsia="zh-CN"/>
              </w:rPr>
              <w:t>万元</w:t>
            </w:r>
          </w:p>
        </w:tc>
      </w:tr>
      <w:tr w14:paraId="225B5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continue"/>
          </w:tcPr>
          <w:p w14:paraId="7C3E4A02">
            <w:pPr>
              <w:spacing w:line="300" w:lineRule="exact"/>
              <w:jc w:val="center"/>
              <w:rPr>
                <w:rFonts w:ascii="仿宋_GB2312" w:hAnsi="宋体" w:eastAsia="仿宋_GB2312" w:cs="宋体"/>
                <w:szCs w:val="21"/>
              </w:rPr>
            </w:pPr>
          </w:p>
        </w:tc>
        <w:tc>
          <w:tcPr>
            <w:tcW w:w="1599" w:type="dxa"/>
            <w:vAlign w:val="center"/>
          </w:tcPr>
          <w:p w14:paraId="6780CA79">
            <w:pPr>
              <w:spacing w:line="300" w:lineRule="exact"/>
              <w:jc w:val="center"/>
              <w:rPr>
                <w:rFonts w:ascii="仿宋_GB2312" w:hAnsi="宋体" w:eastAsia="仿宋_GB2312" w:cs="宋体"/>
                <w:szCs w:val="21"/>
              </w:rPr>
            </w:pPr>
            <w:r>
              <w:rPr>
                <w:rFonts w:hint="eastAsia" w:ascii="仿宋_GB2312" w:hAnsi="宋体" w:eastAsia="仿宋_GB2312" w:cs="宋体"/>
                <w:szCs w:val="21"/>
              </w:rPr>
              <w:t>单位基本职能</w:t>
            </w:r>
          </w:p>
        </w:tc>
        <w:tc>
          <w:tcPr>
            <w:tcW w:w="6056" w:type="dxa"/>
            <w:vAlign w:val="center"/>
          </w:tcPr>
          <w:p w14:paraId="59E97F1C">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1、拟订全县农业农村工作的发展中长期规划并指导实施。负责全县农业综合执法，推进农业依法行政。提出有关农产品，农业财政补贴及农业产业保护的政策建议，参与制定相关政策。</w:t>
            </w:r>
          </w:p>
          <w:p w14:paraId="47EB837C">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2、统筹推动发展农村社会事业、农村公共服务、农村文化、农村基础设施和乡村治理。牵头组织改善农村人居环境。指导农村精神文明和优秀农耕文化建设。</w:t>
            </w:r>
          </w:p>
          <w:p w14:paraId="380A932F">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3、贯彻执行党和国家扶贫开发工作方针、政策，负责拟定全县扶贫开发工作的政策和发展规划；负责组织、协调、指导全县精准扶贫工作，协调安排扶贫资金，并检查、监督使用情况。</w:t>
            </w:r>
          </w:p>
          <w:p w14:paraId="01C055BC">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4、研究提出深化农村经济体制改革和巩固完善农村基本经营制度的建议。负责农村宅基地改革和管理有关工作。指导农民合作经济组织、农业社会化服务体系、新型农业经营主体建设与发展。</w:t>
            </w:r>
          </w:p>
          <w:p w14:paraId="2DCBB7F8">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5、指导乡村特色产业、农产品加工业、休闲农业发展工作。提出促进大宗农产品流通的政策建议，培育、保护和发展农产品品牌。指导农产品出口基地建设。管理农业经济信息，监测分析农业经济运行。承担农业统计和农业农村信息化有关工作。</w:t>
            </w:r>
          </w:p>
          <w:p w14:paraId="0EBC3C5D">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6、负责全县种植业、畜牧业、渔业、农业机械化等农业各产业的监督管理。指导粮食等农产品生产。组织构建现代农业产业体系、生产体系、经营体系，指导农业标准化生产。负责渔政渔港监督管理。</w:t>
            </w:r>
          </w:p>
          <w:p w14:paraId="5A15A799">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7、负责农产品质量安全监管工作。依法开展农产品质量安全监测、追溯、风险评估。参与制定农产品质量安全地方标准并会同有关部门组织实施。指导农业检验检测体系建设，依法实施符合安全标准的农产品认证和监督管理。对农产品产地安全实行分类管理。</w:t>
            </w:r>
          </w:p>
          <w:p w14:paraId="1211776A">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8、组织农业资源区划工作。指导农用地、渔业水域以及农业生物物种资源的保护和管理。负责水生野生动植物保护、耕地及永久基本农田质量保护工作。指导农产品产地环境管理和农业清洁生产。指导设施农业、生态循环农业的发展以及农村可再生能源开发利用、农业生物质产业发展。牵头管理外来物种。</w:t>
            </w:r>
          </w:p>
          <w:p w14:paraId="535B2D46">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9、负责有关农业生产资料和农业投入品监督管理和农业行业安全生产工作。组织农业生产资料市场体系建设。贯彻执行农业生产资料、兽药质量、兽药残留限量和残留检测方法国家标准并监督实施。组织兽医医政、兽药药政药检工作，负责执业兽医和畜禽屠宰行业监督管理。负责农业机械培训机构的监督管理。</w:t>
            </w:r>
          </w:p>
          <w:p w14:paraId="10B1FB00">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10、负责农业防灾减灾、农作物重大病虫害防治工作。指导动植物防疫检疫体系建设，组织、监督县内动植物防疫检疫工作，并组织疫情扑灭。</w:t>
            </w:r>
          </w:p>
          <w:p w14:paraId="5E85120B">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11、负责农业投资管理。拟订农业开发规划，组织实施有关农业项目，提出农业固定资产投资规模、投资项目和县级财政资金安排的建议，负责协调安排及监督检查有关涉农、惠农项目资金，编报部门预算并组织执行。</w:t>
            </w:r>
          </w:p>
          <w:p w14:paraId="447FBE08">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12、负责全县科教兴农的指导协调。负责农业科技培训和新型职业农民培育。指导农业教育和农业职业技能开发工作，参与实施农村实用人才培训工程。组织全县农业科技创新体系和农业产业技术体系建设，组织实施农业科研重大专项及农业科技成果转化和技术推广。负责农业转基因生物安全监督管理和农业植物新品种保护。指导农业相关学会、协会规范运行。负责全县农业劳动模范的管理。</w:t>
            </w:r>
          </w:p>
          <w:p w14:paraId="2932F682">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13、统一领导和管理所属的湘潭县贫困帮扶中心、湘潭县农业发展服务中心。</w:t>
            </w:r>
          </w:p>
          <w:p w14:paraId="36587196">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14、完成县委、县政府交办的其他任务。</w:t>
            </w:r>
          </w:p>
          <w:p w14:paraId="3914DF49">
            <w:pPr>
              <w:spacing w:line="300" w:lineRule="exact"/>
              <w:jc w:val="left"/>
              <w:rPr>
                <w:rFonts w:hint="eastAsia" w:ascii="仿宋_GB2312" w:hAnsi="宋体" w:eastAsia="仿宋_GB2312" w:cs="宋体"/>
                <w:szCs w:val="21"/>
                <w:lang w:eastAsia="zh-CN"/>
              </w:rPr>
            </w:pPr>
            <w:r>
              <w:rPr>
                <w:rFonts w:hint="eastAsia" w:ascii="仿宋_GB2312" w:hAnsi="宋体" w:eastAsia="仿宋_GB2312" w:cs="宋体"/>
                <w:szCs w:val="21"/>
                <w:lang w:eastAsia="zh-CN"/>
              </w:rPr>
              <w:t>15、职能转变。</w:t>
            </w:r>
          </w:p>
          <w:p w14:paraId="77855EB9">
            <w:pPr>
              <w:spacing w:line="300" w:lineRule="exact"/>
              <w:jc w:val="left"/>
              <w:rPr>
                <w:rFonts w:ascii="仿宋_GB2312" w:hAnsi="宋体" w:eastAsia="仿宋_GB2312" w:cs="宋体"/>
                <w:szCs w:val="21"/>
              </w:rPr>
            </w:pPr>
            <w:r>
              <w:rPr>
                <w:rFonts w:hint="eastAsia" w:ascii="仿宋_GB2312" w:hAnsi="宋体" w:eastAsia="仿宋_GB2312" w:cs="宋体"/>
                <w:szCs w:val="21"/>
                <w:lang w:eastAsia="zh-CN"/>
              </w:rPr>
              <w:t>（1）统筹实施乡村振兴战略，深化农业供给侧结构性改革，提升农业发展质量，扎实推进美丽乡村建设，推动农业全面升级、农村全面进步、农民全面发展，加快实现农业农村现代化。（2）加强农产品质量安全和相关农业生产资料、农业投入品的监督管理，严防、严管、严控质量安全风险，让人民群众吃得放心、安心。（3）加强对行业内交叉重复以及性质相同、用途相近的农业投资项目的统筹整合，加强事中事后监管，切实提升支农政策效果和资金使用效益。</w:t>
            </w:r>
          </w:p>
        </w:tc>
      </w:tr>
      <w:tr w14:paraId="645F01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vMerge w:val="restart"/>
            <w:vAlign w:val="center"/>
          </w:tcPr>
          <w:p w14:paraId="6E07980D">
            <w:pPr>
              <w:spacing w:line="300" w:lineRule="exact"/>
              <w:jc w:val="center"/>
              <w:rPr>
                <w:rFonts w:ascii="仿宋_GB2312" w:hAnsi="宋体" w:eastAsia="仿宋_GB2312" w:cs="宋体"/>
                <w:szCs w:val="21"/>
              </w:rPr>
            </w:pPr>
            <w:r>
              <w:rPr>
                <w:rFonts w:hint="eastAsia" w:ascii="仿宋_GB2312" w:hAnsi="宋体" w:eastAsia="仿宋_GB2312" w:cs="宋体"/>
                <w:szCs w:val="21"/>
              </w:rPr>
              <w:t>绩效完成情况</w:t>
            </w:r>
          </w:p>
        </w:tc>
        <w:tc>
          <w:tcPr>
            <w:tcW w:w="1599" w:type="dxa"/>
            <w:vAlign w:val="center"/>
          </w:tcPr>
          <w:p w14:paraId="6CCD144C">
            <w:pPr>
              <w:spacing w:line="300" w:lineRule="exact"/>
              <w:jc w:val="center"/>
              <w:rPr>
                <w:rFonts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6056" w:type="dxa"/>
            <w:vAlign w:val="center"/>
          </w:tcPr>
          <w:p w14:paraId="4977AB4A">
            <w:pPr>
              <w:widowControl/>
              <w:ind w:firstLine="422" w:firstLineChars="200"/>
              <w:jc w:val="left"/>
              <w:rPr>
                <w:rFonts w:hint="eastAsia" w:ascii="仿宋" w:hAnsi="仿宋" w:eastAsia="仿宋" w:cs="仿宋"/>
                <w:b w:val="0"/>
                <w:bCs w:val="0"/>
                <w:color w:val="000000"/>
                <w:kern w:val="0"/>
                <w:sz w:val="21"/>
                <w:szCs w:val="21"/>
                <w:lang w:val="en-US" w:eastAsia="zh-CN"/>
              </w:rPr>
            </w:pPr>
            <w:r>
              <w:rPr>
                <w:rFonts w:hint="eastAsia" w:ascii="仿宋" w:hAnsi="仿宋" w:eastAsia="仿宋" w:cs="仿宋"/>
                <w:b/>
                <w:bCs/>
                <w:color w:val="000000"/>
                <w:kern w:val="0"/>
                <w:sz w:val="21"/>
                <w:szCs w:val="21"/>
              </w:rPr>
              <w:t>一、收入情况。</w:t>
            </w:r>
            <w:r>
              <w:rPr>
                <w:rFonts w:hint="eastAsia" w:ascii="仿宋" w:hAnsi="仿宋" w:eastAsia="仿宋" w:cs="仿宋"/>
                <w:b w:val="0"/>
                <w:bCs w:val="0"/>
                <w:color w:val="000000"/>
                <w:kern w:val="0"/>
                <w:sz w:val="21"/>
                <w:szCs w:val="21"/>
              </w:rPr>
              <w:t>202</w:t>
            </w:r>
            <w:r>
              <w:rPr>
                <w:rFonts w:hint="eastAsia" w:ascii="仿宋" w:hAnsi="仿宋" w:eastAsia="仿宋" w:cs="仿宋"/>
                <w:b w:val="0"/>
                <w:bCs w:val="0"/>
                <w:color w:val="000000"/>
                <w:kern w:val="0"/>
                <w:sz w:val="21"/>
                <w:szCs w:val="21"/>
                <w:lang w:val="en-US" w:eastAsia="zh-CN"/>
              </w:rPr>
              <w:t>4</w:t>
            </w:r>
            <w:r>
              <w:rPr>
                <w:rFonts w:hint="eastAsia" w:ascii="仿宋" w:hAnsi="仿宋" w:eastAsia="仿宋" w:cs="仿宋"/>
                <w:b w:val="0"/>
                <w:bCs w:val="0"/>
                <w:color w:val="000000"/>
                <w:kern w:val="0"/>
                <w:sz w:val="21"/>
                <w:szCs w:val="21"/>
              </w:rPr>
              <w:t>年我局县级年初部门预算资金</w:t>
            </w:r>
            <w:r>
              <w:rPr>
                <w:rFonts w:hint="eastAsia" w:ascii="仿宋" w:hAnsi="仿宋" w:eastAsia="仿宋" w:cs="仿宋"/>
                <w:b w:val="0"/>
                <w:bCs w:val="0"/>
                <w:color w:val="000000"/>
                <w:kern w:val="0"/>
                <w:sz w:val="21"/>
                <w:szCs w:val="21"/>
                <w:lang w:val="en-US" w:eastAsia="zh-CN"/>
              </w:rPr>
              <w:t>25786.264</w:t>
            </w:r>
            <w:r>
              <w:rPr>
                <w:rFonts w:hint="eastAsia" w:ascii="仿宋" w:hAnsi="仿宋" w:eastAsia="仿宋" w:cs="仿宋"/>
                <w:b w:val="0"/>
                <w:bCs w:val="0"/>
                <w:color w:val="000000"/>
                <w:kern w:val="0"/>
                <w:sz w:val="21"/>
                <w:szCs w:val="21"/>
              </w:rPr>
              <w:t>万元，其中基本</w:t>
            </w:r>
            <w:r>
              <w:rPr>
                <w:rFonts w:hint="eastAsia" w:ascii="仿宋" w:hAnsi="仿宋" w:eastAsia="仿宋" w:cs="仿宋"/>
                <w:b w:val="0"/>
                <w:bCs w:val="0"/>
                <w:color w:val="000000"/>
                <w:kern w:val="0"/>
                <w:sz w:val="21"/>
                <w:szCs w:val="21"/>
                <w:lang w:eastAsia="zh-CN"/>
              </w:rPr>
              <w:t>支出年初</w:t>
            </w:r>
            <w:r>
              <w:rPr>
                <w:rFonts w:hint="eastAsia" w:ascii="仿宋" w:hAnsi="仿宋" w:eastAsia="仿宋" w:cs="仿宋"/>
                <w:b w:val="0"/>
                <w:bCs w:val="0"/>
                <w:color w:val="000000"/>
                <w:kern w:val="0"/>
                <w:sz w:val="21"/>
                <w:szCs w:val="21"/>
              </w:rPr>
              <w:t>预算</w:t>
            </w:r>
            <w:r>
              <w:rPr>
                <w:rFonts w:hint="eastAsia" w:ascii="仿宋" w:hAnsi="仿宋" w:eastAsia="仿宋" w:cs="仿宋"/>
                <w:b w:val="0"/>
                <w:bCs w:val="0"/>
                <w:color w:val="000000"/>
                <w:kern w:val="0"/>
                <w:sz w:val="21"/>
                <w:szCs w:val="21"/>
                <w:lang w:val="en-US" w:eastAsia="zh-CN"/>
              </w:rPr>
              <w:t>2820.964</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较上年增加</w:t>
            </w:r>
            <w:r>
              <w:rPr>
                <w:rFonts w:hint="eastAsia" w:ascii="仿宋" w:hAnsi="仿宋" w:eastAsia="仿宋" w:cs="仿宋"/>
                <w:b w:val="0"/>
                <w:bCs w:val="0"/>
                <w:color w:val="000000"/>
                <w:kern w:val="0"/>
                <w:sz w:val="21"/>
                <w:szCs w:val="21"/>
                <w:lang w:val="en-US" w:eastAsia="zh-CN"/>
              </w:rPr>
              <w:t>111.84万元，主要是工资福利预算支出增加；</w:t>
            </w:r>
            <w:r>
              <w:rPr>
                <w:rFonts w:hint="eastAsia" w:ascii="仿宋" w:hAnsi="仿宋" w:eastAsia="仿宋" w:cs="仿宋"/>
                <w:b w:val="0"/>
                <w:bCs w:val="0"/>
                <w:color w:val="000000"/>
                <w:kern w:val="0"/>
                <w:sz w:val="21"/>
                <w:szCs w:val="21"/>
                <w:lang w:eastAsia="zh-CN"/>
              </w:rPr>
              <w:t>县级预算项目支出</w:t>
            </w:r>
            <w:r>
              <w:rPr>
                <w:rFonts w:hint="eastAsia" w:ascii="仿宋" w:hAnsi="仿宋" w:eastAsia="仿宋" w:cs="仿宋"/>
                <w:b w:val="0"/>
                <w:bCs w:val="0"/>
                <w:color w:val="000000"/>
                <w:kern w:val="0"/>
                <w:sz w:val="21"/>
                <w:szCs w:val="21"/>
                <w:lang w:val="en-US" w:eastAsia="zh-CN"/>
              </w:rPr>
              <w:t>645.30万元，较上年预算增加381.97万元；上级补助项目（预估）支出22320万元，较上年预算减少4105.98万元</w:t>
            </w:r>
            <w:r>
              <w:rPr>
                <w:rFonts w:hint="eastAsia" w:ascii="仿宋" w:hAnsi="仿宋" w:eastAsia="仿宋" w:cs="仿宋"/>
                <w:b w:val="0"/>
                <w:bCs w:val="0"/>
                <w:color w:val="000000"/>
                <w:kern w:val="0"/>
                <w:sz w:val="21"/>
                <w:szCs w:val="21"/>
              </w:rPr>
              <w:t>。年中追加</w:t>
            </w:r>
            <w:r>
              <w:rPr>
                <w:rFonts w:hint="eastAsia" w:ascii="仿宋" w:hAnsi="仿宋" w:eastAsia="仿宋" w:cs="仿宋"/>
                <w:b w:val="0"/>
                <w:bCs w:val="0"/>
                <w:color w:val="000000"/>
                <w:kern w:val="0"/>
                <w:sz w:val="21"/>
                <w:szCs w:val="21"/>
                <w:lang w:eastAsia="zh-CN"/>
              </w:rPr>
              <w:t>县级指标</w:t>
            </w:r>
            <w:r>
              <w:rPr>
                <w:rFonts w:hint="eastAsia" w:ascii="仿宋" w:hAnsi="仿宋" w:eastAsia="仿宋" w:cs="仿宋"/>
                <w:b w:val="0"/>
                <w:bCs w:val="0"/>
                <w:color w:val="000000"/>
                <w:kern w:val="0"/>
                <w:sz w:val="21"/>
                <w:szCs w:val="21"/>
                <w:lang w:val="en-US" w:eastAsia="zh-CN"/>
              </w:rPr>
              <w:t>1047.292</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新增上级指标</w:t>
            </w:r>
            <w:r>
              <w:rPr>
                <w:rFonts w:hint="eastAsia" w:ascii="仿宋" w:hAnsi="仿宋" w:eastAsia="仿宋" w:cs="仿宋"/>
                <w:b w:val="0"/>
                <w:bCs w:val="0"/>
                <w:color w:val="000000"/>
                <w:kern w:val="0"/>
                <w:sz w:val="21"/>
                <w:szCs w:val="21"/>
                <w:lang w:val="en-US" w:eastAsia="zh-CN"/>
              </w:rPr>
              <w:t>6380.7155万元，本年预算可用指标共计34371.88万元</w:t>
            </w:r>
            <w:r>
              <w:rPr>
                <w:rFonts w:hint="eastAsia" w:ascii="仿宋" w:hAnsi="仿宋" w:eastAsia="仿宋" w:cs="仿宋"/>
                <w:b w:val="0"/>
                <w:bCs w:val="0"/>
                <w:color w:val="000000"/>
                <w:kern w:val="0"/>
                <w:sz w:val="21"/>
                <w:szCs w:val="21"/>
              </w:rPr>
              <w:t>。</w:t>
            </w:r>
          </w:p>
          <w:p w14:paraId="16A96FA8">
            <w:pPr>
              <w:spacing w:line="300" w:lineRule="exact"/>
              <w:ind w:firstLine="422" w:firstLineChars="200"/>
              <w:outlineLvl w:val="0"/>
              <w:rPr>
                <w:rFonts w:hint="eastAsia" w:ascii="仿宋" w:hAnsi="仿宋" w:eastAsia="仿宋" w:cs="仿宋"/>
                <w:b w:val="0"/>
                <w:bCs w:val="0"/>
                <w:color w:val="000000"/>
                <w:kern w:val="0"/>
                <w:sz w:val="21"/>
                <w:szCs w:val="21"/>
                <w:lang w:eastAsia="zh-CN"/>
              </w:rPr>
            </w:pPr>
            <w:r>
              <w:rPr>
                <w:rFonts w:hint="eastAsia" w:ascii="仿宋" w:hAnsi="仿宋" w:eastAsia="仿宋" w:cs="仿宋"/>
                <w:b/>
                <w:bCs/>
                <w:color w:val="000000"/>
                <w:kern w:val="0"/>
                <w:sz w:val="21"/>
                <w:szCs w:val="21"/>
              </w:rPr>
              <w:t>二、支出情况。</w:t>
            </w:r>
            <w:r>
              <w:rPr>
                <w:rFonts w:hint="eastAsia" w:ascii="仿宋" w:hAnsi="仿宋" w:eastAsia="仿宋" w:cs="仿宋"/>
                <w:b w:val="0"/>
                <w:bCs w:val="0"/>
                <w:color w:val="000000"/>
                <w:kern w:val="0"/>
                <w:sz w:val="21"/>
                <w:szCs w:val="21"/>
              </w:rPr>
              <w:t>202</w:t>
            </w:r>
            <w:r>
              <w:rPr>
                <w:rFonts w:hint="eastAsia" w:ascii="仿宋" w:hAnsi="仿宋" w:eastAsia="仿宋" w:cs="仿宋"/>
                <w:b w:val="0"/>
                <w:bCs w:val="0"/>
                <w:color w:val="000000"/>
                <w:kern w:val="0"/>
                <w:sz w:val="21"/>
                <w:szCs w:val="21"/>
                <w:lang w:val="en-US" w:eastAsia="zh-CN"/>
              </w:rPr>
              <w:t>4</w:t>
            </w:r>
            <w:r>
              <w:rPr>
                <w:rFonts w:hint="eastAsia" w:ascii="仿宋" w:hAnsi="仿宋" w:eastAsia="仿宋" w:cs="仿宋"/>
                <w:b w:val="0"/>
                <w:bCs w:val="0"/>
                <w:color w:val="000000"/>
                <w:kern w:val="0"/>
                <w:sz w:val="21"/>
                <w:szCs w:val="21"/>
              </w:rPr>
              <w:t>年预算可用指标金额</w:t>
            </w:r>
            <w:r>
              <w:rPr>
                <w:rFonts w:hint="eastAsia" w:ascii="仿宋" w:hAnsi="仿宋" w:eastAsia="仿宋" w:cs="仿宋"/>
                <w:b w:val="0"/>
                <w:bCs w:val="0"/>
                <w:color w:val="000000"/>
                <w:kern w:val="0"/>
                <w:sz w:val="21"/>
                <w:szCs w:val="21"/>
                <w:lang w:eastAsia="zh-CN"/>
              </w:rPr>
              <w:t>合计</w:t>
            </w:r>
            <w:r>
              <w:rPr>
                <w:rFonts w:hint="eastAsia" w:ascii="仿宋" w:hAnsi="仿宋" w:eastAsia="仿宋" w:cs="仿宋"/>
                <w:b w:val="0"/>
                <w:bCs w:val="0"/>
                <w:color w:val="000000"/>
                <w:kern w:val="0"/>
                <w:sz w:val="21"/>
                <w:szCs w:val="21"/>
                <w:lang w:val="en-US" w:eastAsia="zh-CN"/>
              </w:rPr>
              <w:t>34371.88</w:t>
            </w:r>
            <w:r>
              <w:rPr>
                <w:rFonts w:hint="eastAsia" w:ascii="仿宋" w:hAnsi="仿宋" w:eastAsia="仿宋" w:cs="仿宋"/>
                <w:b w:val="0"/>
                <w:bCs w:val="0"/>
                <w:color w:val="000000"/>
                <w:kern w:val="0"/>
                <w:sz w:val="21"/>
                <w:szCs w:val="21"/>
              </w:rPr>
              <w:t>万元，本年</w:t>
            </w:r>
            <w:r>
              <w:rPr>
                <w:rFonts w:hint="eastAsia" w:ascii="仿宋" w:hAnsi="仿宋" w:eastAsia="仿宋" w:cs="仿宋"/>
                <w:b w:val="0"/>
                <w:bCs w:val="0"/>
                <w:color w:val="000000"/>
                <w:kern w:val="0"/>
                <w:sz w:val="21"/>
                <w:szCs w:val="21"/>
                <w:lang w:eastAsia="zh-CN"/>
              </w:rPr>
              <w:t>决算支出</w:t>
            </w:r>
            <w:r>
              <w:rPr>
                <w:rFonts w:hint="eastAsia" w:ascii="仿宋" w:hAnsi="仿宋" w:eastAsia="仿宋" w:cs="仿宋"/>
                <w:b w:val="0"/>
                <w:bCs w:val="0"/>
                <w:color w:val="000000"/>
                <w:kern w:val="0"/>
                <w:sz w:val="21"/>
                <w:szCs w:val="21"/>
              </w:rPr>
              <w:t>金额</w:t>
            </w:r>
            <w:r>
              <w:rPr>
                <w:rFonts w:hint="eastAsia" w:ascii="仿宋" w:hAnsi="仿宋" w:eastAsia="仿宋" w:cs="仿宋"/>
                <w:b w:val="0"/>
                <w:bCs w:val="0"/>
                <w:color w:val="000000"/>
                <w:kern w:val="0"/>
                <w:sz w:val="21"/>
                <w:szCs w:val="21"/>
                <w:lang w:eastAsia="zh-CN"/>
              </w:rPr>
              <w:t>合计</w:t>
            </w:r>
            <w:r>
              <w:rPr>
                <w:rFonts w:hint="eastAsia" w:ascii="仿宋" w:hAnsi="仿宋" w:eastAsia="仿宋" w:cs="仿宋"/>
                <w:b w:val="0"/>
                <w:bCs w:val="0"/>
                <w:color w:val="000000"/>
                <w:kern w:val="0"/>
                <w:sz w:val="21"/>
                <w:szCs w:val="21"/>
                <w:lang w:val="en-US" w:eastAsia="zh-CN"/>
              </w:rPr>
              <w:t>35317.25</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全年预算执行率</w:t>
            </w:r>
            <w:r>
              <w:rPr>
                <w:rFonts w:hint="eastAsia" w:ascii="仿宋" w:hAnsi="仿宋" w:eastAsia="仿宋" w:cs="仿宋"/>
                <w:b w:val="0"/>
                <w:bCs w:val="0"/>
                <w:color w:val="000000"/>
                <w:kern w:val="0"/>
                <w:sz w:val="21"/>
                <w:szCs w:val="21"/>
                <w:lang w:val="en-US" w:eastAsia="zh-CN"/>
              </w:rPr>
              <w:t>103%。</w:t>
            </w:r>
            <w:r>
              <w:rPr>
                <w:rFonts w:hint="eastAsia" w:ascii="仿宋" w:hAnsi="仿宋" w:eastAsia="仿宋" w:cs="仿宋"/>
                <w:b w:val="0"/>
                <w:bCs w:val="0"/>
                <w:color w:val="000000"/>
                <w:kern w:val="0"/>
                <w:sz w:val="21"/>
                <w:szCs w:val="21"/>
                <w:lang w:eastAsia="zh-CN"/>
              </w:rPr>
              <w:t>其中：</w:t>
            </w:r>
            <w:r>
              <w:rPr>
                <w:rFonts w:hint="eastAsia" w:ascii="仿宋" w:hAnsi="仿宋" w:eastAsia="仿宋" w:cs="仿宋"/>
                <w:b w:val="0"/>
                <w:bCs w:val="0"/>
                <w:color w:val="000000"/>
                <w:kern w:val="0"/>
                <w:sz w:val="21"/>
                <w:szCs w:val="21"/>
              </w:rPr>
              <w:t>基本支出</w:t>
            </w:r>
            <w:r>
              <w:rPr>
                <w:rFonts w:hint="eastAsia" w:ascii="仿宋" w:hAnsi="仿宋" w:eastAsia="仿宋" w:cs="仿宋"/>
                <w:b w:val="0"/>
                <w:bCs w:val="0"/>
                <w:color w:val="000000"/>
                <w:kern w:val="0"/>
                <w:sz w:val="21"/>
                <w:szCs w:val="21"/>
                <w:lang w:val="en-US" w:eastAsia="zh-CN"/>
              </w:rPr>
              <w:t>可用指标共3978.58万元，本年</w:t>
            </w:r>
            <w:r>
              <w:rPr>
                <w:rFonts w:hint="eastAsia" w:ascii="仿宋" w:hAnsi="仿宋" w:eastAsia="仿宋" w:cs="仿宋"/>
                <w:b w:val="0"/>
                <w:bCs w:val="0"/>
                <w:color w:val="000000"/>
                <w:kern w:val="0"/>
                <w:sz w:val="21"/>
                <w:szCs w:val="21"/>
                <w:lang w:eastAsia="zh-CN"/>
              </w:rPr>
              <w:t>基本</w:t>
            </w:r>
            <w:r>
              <w:rPr>
                <w:rFonts w:hint="eastAsia" w:ascii="仿宋" w:hAnsi="仿宋" w:eastAsia="仿宋" w:cs="仿宋"/>
                <w:b w:val="0"/>
                <w:bCs w:val="0"/>
                <w:color w:val="000000"/>
                <w:kern w:val="0"/>
                <w:sz w:val="21"/>
                <w:szCs w:val="21"/>
                <w:lang w:val="en-US" w:eastAsia="zh-CN"/>
              </w:rPr>
              <w:t>支出</w:t>
            </w:r>
            <w:r>
              <w:rPr>
                <w:rFonts w:hint="eastAsia" w:ascii="仿宋" w:hAnsi="仿宋" w:eastAsia="仿宋" w:cs="仿宋"/>
                <w:b w:val="0"/>
                <w:bCs w:val="0"/>
                <w:color w:val="000000"/>
                <w:kern w:val="0"/>
                <w:sz w:val="21"/>
                <w:szCs w:val="21"/>
                <w:lang w:eastAsia="zh-CN"/>
              </w:rPr>
              <w:t>金额共</w:t>
            </w:r>
            <w:r>
              <w:rPr>
                <w:rFonts w:hint="eastAsia" w:ascii="仿宋" w:hAnsi="仿宋" w:eastAsia="仿宋" w:cs="仿宋"/>
                <w:b w:val="0"/>
                <w:bCs w:val="0"/>
                <w:color w:val="000000"/>
                <w:kern w:val="0"/>
                <w:sz w:val="21"/>
                <w:szCs w:val="21"/>
                <w:lang w:val="en-US" w:eastAsia="zh-CN"/>
              </w:rPr>
              <w:t>4228.69万元，</w:t>
            </w:r>
            <w:r>
              <w:rPr>
                <w:rFonts w:hint="eastAsia" w:ascii="仿宋" w:hAnsi="仿宋" w:eastAsia="仿宋" w:cs="仿宋"/>
                <w:b w:val="0"/>
                <w:bCs w:val="0"/>
                <w:color w:val="000000"/>
                <w:kern w:val="0"/>
                <w:sz w:val="21"/>
                <w:szCs w:val="21"/>
                <w:lang w:eastAsia="zh-CN"/>
              </w:rPr>
              <w:t>基本支出</w:t>
            </w:r>
            <w:r>
              <w:rPr>
                <w:rFonts w:hint="eastAsia" w:ascii="仿宋" w:hAnsi="仿宋" w:eastAsia="仿宋" w:cs="仿宋"/>
                <w:b w:val="0"/>
                <w:bCs w:val="0"/>
                <w:color w:val="000000"/>
                <w:kern w:val="0"/>
                <w:sz w:val="21"/>
                <w:szCs w:val="21"/>
              </w:rPr>
              <w:t>预算执行率1</w:t>
            </w:r>
            <w:r>
              <w:rPr>
                <w:rFonts w:hint="eastAsia" w:ascii="仿宋" w:hAnsi="仿宋" w:eastAsia="仿宋" w:cs="仿宋"/>
                <w:b w:val="0"/>
                <w:bCs w:val="0"/>
                <w:color w:val="000000"/>
                <w:kern w:val="0"/>
                <w:sz w:val="21"/>
                <w:szCs w:val="21"/>
                <w:lang w:val="en-US" w:eastAsia="zh-CN"/>
              </w:rPr>
              <w:t>06</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eastAsia="zh-CN"/>
              </w:rPr>
              <w:t>；</w:t>
            </w:r>
          </w:p>
          <w:p w14:paraId="44448CD7">
            <w:pPr>
              <w:spacing w:line="300" w:lineRule="exact"/>
              <w:ind w:firstLine="420" w:firstLineChars="200"/>
              <w:outlineLvl w:val="0"/>
              <w:rPr>
                <w:rFonts w:ascii="仿宋_GB2312" w:eastAsia="仿宋_GB2312"/>
                <w:szCs w:val="21"/>
              </w:rPr>
            </w:pPr>
            <w:r>
              <w:rPr>
                <w:rFonts w:hint="eastAsia" w:ascii="仿宋" w:hAnsi="仿宋" w:eastAsia="仿宋" w:cs="仿宋"/>
                <w:b w:val="0"/>
                <w:bCs w:val="0"/>
                <w:color w:val="000000"/>
                <w:kern w:val="0"/>
                <w:sz w:val="21"/>
                <w:szCs w:val="21"/>
                <w:lang w:eastAsia="zh-CN"/>
              </w:rPr>
              <w:t>项目支出可用指标</w:t>
            </w:r>
            <w:r>
              <w:rPr>
                <w:rFonts w:hint="eastAsia" w:ascii="仿宋" w:hAnsi="仿宋" w:eastAsia="仿宋" w:cs="仿宋"/>
                <w:b w:val="0"/>
                <w:bCs w:val="0"/>
                <w:color w:val="000000"/>
                <w:kern w:val="0"/>
                <w:sz w:val="21"/>
                <w:szCs w:val="21"/>
                <w:lang w:val="en-US" w:eastAsia="zh-CN"/>
              </w:rPr>
              <w:t>30373.31万元</w:t>
            </w:r>
            <w:r>
              <w:rPr>
                <w:rFonts w:hint="eastAsia" w:ascii="仿宋" w:hAnsi="仿宋" w:eastAsia="仿宋" w:cs="仿宋"/>
                <w:b w:val="0"/>
                <w:bCs w:val="0"/>
                <w:color w:val="000000"/>
                <w:kern w:val="0"/>
                <w:sz w:val="21"/>
                <w:szCs w:val="21"/>
                <w:lang w:eastAsia="zh-CN"/>
              </w:rPr>
              <w:t>，项目</w:t>
            </w:r>
            <w:r>
              <w:rPr>
                <w:rFonts w:hint="eastAsia" w:ascii="仿宋" w:hAnsi="仿宋" w:eastAsia="仿宋" w:cs="仿宋"/>
                <w:b w:val="0"/>
                <w:bCs w:val="0"/>
                <w:color w:val="000000"/>
                <w:kern w:val="0"/>
                <w:sz w:val="21"/>
                <w:szCs w:val="21"/>
              </w:rPr>
              <w:t>支出</w:t>
            </w:r>
            <w:r>
              <w:rPr>
                <w:rFonts w:hint="eastAsia" w:ascii="仿宋" w:hAnsi="仿宋" w:eastAsia="仿宋" w:cs="仿宋"/>
                <w:b w:val="0"/>
                <w:bCs w:val="0"/>
                <w:color w:val="000000"/>
                <w:kern w:val="0"/>
                <w:sz w:val="21"/>
                <w:szCs w:val="21"/>
                <w:lang w:eastAsia="zh-CN"/>
              </w:rPr>
              <w:t>金额共</w:t>
            </w:r>
            <w:r>
              <w:rPr>
                <w:rFonts w:hint="eastAsia" w:ascii="仿宋" w:hAnsi="仿宋" w:eastAsia="仿宋" w:cs="仿宋"/>
                <w:b w:val="0"/>
                <w:bCs w:val="0"/>
                <w:color w:val="000000"/>
                <w:kern w:val="0"/>
                <w:sz w:val="21"/>
                <w:szCs w:val="21"/>
                <w:lang w:val="en-US" w:eastAsia="zh-CN"/>
              </w:rPr>
              <w:t>31088.56</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项目支出</w:t>
            </w:r>
            <w:r>
              <w:rPr>
                <w:rFonts w:hint="eastAsia" w:ascii="仿宋" w:hAnsi="仿宋" w:eastAsia="仿宋" w:cs="仿宋"/>
                <w:b w:val="0"/>
                <w:bCs w:val="0"/>
                <w:color w:val="000000"/>
                <w:kern w:val="0"/>
                <w:sz w:val="21"/>
                <w:szCs w:val="21"/>
              </w:rPr>
              <w:t>预算执行率</w:t>
            </w:r>
            <w:r>
              <w:rPr>
                <w:rFonts w:hint="eastAsia" w:ascii="仿宋" w:hAnsi="仿宋" w:eastAsia="仿宋" w:cs="仿宋"/>
                <w:b w:val="0"/>
                <w:bCs w:val="0"/>
                <w:color w:val="000000"/>
                <w:kern w:val="0"/>
                <w:sz w:val="21"/>
                <w:szCs w:val="21"/>
                <w:lang w:val="en-US" w:eastAsia="zh-CN"/>
              </w:rPr>
              <w:t>102</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val="en-US" w:eastAsia="zh-CN"/>
              </w:rPr>
              <w:t>。其中：</w:t>
            </w:r>
            <w:r>
              <w:rPr>
                <w:rFonts w:hint="eastAsia" w:ascii="仿宋" w:hAnsi="仿宋" w:eastAsia="仿宋" w:cs="仿宋"/>
                <w:b w:val="0"/>
                <w:bCs w:val="0"/>
                <w:color w:val="000000"/>
                <w:kern w:val="0"/>
                <w:sz w:val="21"/>
                <w:szCs w:val="21"/>
              </w:rPr>
              <w:t>县级项目</w:t>
            </w:r>
            <w:r>
              <w:rPr>
                <w:rFonts w:hint="eastAsia" w:ascii="仿宋" w:hAnsi="仿宋" w:eastAsia="仿宋" w:cs="仿宋"/>
                <w:b w:val="0"/>
                <w:bCs w:val="0"/>
                <w:color w:val="000000"/>
                <w:kern w:val="0"/>
                <w:sz w:val="21"/>
                <w:szCs w:val="21"/>
                <w:lang w:eastAsia="zh-CN"/>
              </w:rPr>
              <w:t>支出可用指标</w:t>
            </w:r>
            <w:r>
              <w:rPr>
                <w:rFonts w:hint="eastAsia" w:ascii="仿宋" w:hAnsi="仿宋" w:eastAsia="仿宋" w:cs="仿宋"/>
                <w:b w:val="0"/>
                <w:bCs w:val="0"/>
                <w:color w:val="000000"/>
                <w:kern w:val="0"/>
                <w:sz w:val="21"/>
                <w:szCs w:val="21"/>
              </w:rPr>
              <w:t>共计</w:t>
            </w:r>
            <w:r>
              <w:rPr>
                <w:rFonts w:hint="eastAsia" w:ascii="仿宋" w:hAnsi="仿宋" w:eastAsia="仿宋" w:cs="仿宋"/>
                <w:b w:val="0"/>
                <w:bCs w:val="0"/>
                <w:color w:val="000000"/>
                <w:kern w:val="0"/>
                <w:sz w:val="21"/>
                <w:szCs w:val="21"/>
                <w:lang w:val="en-US" w:eastAsia="zh-CN"/>
              </w:rPr>
              <w:t>1692.592</w:t>
            </w:r>
            <w:r>
              <w:rPr>
                <w:rFonts w:hint="eastAsia" w:ascii="仿宋" w:hAnsi="仿宋" w:eastAsia="仿宋" w:cs="仿宋"/>
                <w:b w:val="0"/>
                <w:bCs w:val="0"/>
                <w:color w:val="000000"/>
                <w:kern w:val="0"/>
                <w:sz w:val="21"/>
                <w:szCs w:val="21"/>
              </w:rPr>
              <w:t>万元，</w:t>
            </w:r>
            <w:r>
              <w:rPr>
                <w:rFonts w:hint="eastAsia" w:ascii="仿宋" w:hAnsi="仿宋" w:eastAsia="仿宋" w:cs="仿宋"/>
                <w:b w:val="0"/>
                <w:bCs w:val="0"/>
                <w:color w:val="000000"/>
                <w:kern w:val="0"/>
                <w:sz w:val="21"/>
                <w:szCs w:val="21"/>
                <w:lang w:eastAsia="zh-CN"/>
              </w:rPr>
              <w:t>业务性专项</w:t>
            </w:r>
            <w:r>
              <w:rPr>
                <w:rFonts w:hint="eastAsia" w:ascii="仿宋" w:hAnsi="仿宋" w:eastAsia="仿宋" w:cs="仿宋"/>
                <w:b w:val="0"/>
                <w:bCs w:val="0"/>
                <w:color w:val="000000"/>
                <w:kern w:val="0"/>
                <w:sz w:val="21"/>
                <w:szCs w:val="21"/>
                <w:lang w:val="en-US" w:eastAsia="zh-CN"/>
              </w:rPr>
              <w:t>16项，</w:t>
            </w:r>
            <w:r>
              <w:rPr>
                <w:rFonts w:hint="eastAsia" w:ascii="仿宋" w:hAnsi="仿宋" w:eastAsia="仿宋" w:cs="仿宋"/>
                <w:b w:val="0"/>
                <w:bCs w:val="0"/>
                <w:color w:val="000000"/>
                <w:kern w:val="0"/>
                <w:sz w:val="21"/>
                <w:szCs w:val="21"/>
                <w:lang w:eastAsia="zh-CN"/>
              </w:rPr>
              <w:t>其中</w:t>
            </w:r>
            <w:r>
              <w:rPr>
                <w:rFonts w:hint="eastAsia" w:ascii="仿宋" w:hAnsi="仿宋" w:eastAsia="仿宋" w:cs="仿宋"/>
                <w:b w:val="0"/>
                <w:bCs w:val="0"/>
                <w:color w:val="000000"/>
                <w:kern w:val="0"/>
                <w:sz w:val="21"/>
                <w:szCs w:val="21"/>
              </w:rPr>
              <w:t>30万元以上项</w:t>
            </w:r>
            <w:r>
              <w:rPr>
                <w:rFonts w:hint="eastAsia" w:ascii="仿宋" w:hAnsi="仿宋" w:eastAsia="仿宋" w:cs="仿宋"/>
                <w:b w:val="0"/>
                <w:bCs w:val="0"/>
                <w:color w:val="000000"/>
                <w:kern w:val="0"/>
                <w:sz w:val="21"/>
                <w:szCs w:val="21"/>
                <w:lang w:eastAsia="zh-CN"/>
              </w:rPr>
              <w:t>目</w:t>
            </w:r>
            <w:r>
              <w:rPr>
                <w:rFonts w:hint="eastAsia" w:ascii="仿宋" w:hAnsi="仿宋" w:eastAsia="仿宋" w:cs="仿宋"/>
                <w:b w:val="0"/>
                <w:bCs w:val="0"/>
                <w:color w:val="000000"/>
                <w:kern w:val="0"/>
                <w:sz w:val="21"/>
                <w:szCs w:val="21"/>
                <w:lang w:val="en-US" w:eastAsia="zh-CN"/>
              </w:rPr>
              <w:t>5</w:t>
            </w:r>
            <w:r>
              <w:rPr>
                <w:rFonts w:hint="eastAsia" w:ascii="仿宋" w:hAnsi="仿宋" w:eastAsia="仿宋" w:cs="仿宋"/>
                <w:b w:val="0"/>
                <w:bCs w:val="0"/>
                <w:color w:val="000000"/>
                <w:kern w:val="0"/>
                <w:sz w:val="21"/>
                <w:szCs w:val="21"/>
              </w:rPr>
              <w:t>个</w:t>
            </w:r>
            <w:r>
              <w:rPr>
                <w:rFonts w:hint="eastAsia" w:ascii="仿宋" w:hAnsi="仿宋" w:eastAsia="仿宋" w:cs="仿宋"/>
                <w:b w:val="0"/>
                <w:bCs w:val="0"/>
                <w:color w:val="000000"/>
                <w:kern w:val="0"/>
                <w:sz w:val="21"/>
                <w:szCs w:val="21"/>
                <w:lang w:eastAsia="zh-CN"/>
              </w:rPr>
              <w:t>（含年中追加粮食生产、打捆机补助和禁养区退养补偿</w:t>
            </w:r>
            <w:r>
              <w:rPr>
                <w:rFonts w:hint="eastAsia" w:ascii="仿宋" w:hAnsi="仿宋" w:eastAsia="仿宋" w:cs="仿宋"/>
                <w:b w:val="0"/>
                <w:bCs w:val="0"/>
                <w:color w:val="000000"/>
                <w:kern w:val="0"/>
                <w:sz w:val="21"/>
                <w:szCs w:val="21"/>
                <w:lang w:val="en-US" w:eastAsia="zh-CN"/>
              </w:rPr>
              <w:t>3个项目）</w:t>
            </w:r>
            <w:r>
              <w:rPr>
                <w:rFonts w:hint="eastAsia" w:ascii="仿宋" w:hAnsi="仿宋" w:eastAsia="仿宋" w:cs="仿宋"/>
                <w:b w:val="0"/>
                <w:bCs w:val="0"/>
                <w:color w:val="000000"/>
                <w:kern w:val="0"/>
                <w:sz w:val="21"/>
                <w:szCs w:val="21"/>
                <w:lang w:eastAsia="zh-CN"/>
              </w:rPr>
              <w:t>，县级项目支出</w:t>
            </w:r>
            <w:r>
              <w:rPr>
                <w:rFonts w:hint="eastAsia" w:ascii="仿宋" w:hAnsi="仿宋" w:eastAsia="仿宋" w:cs="仿宋"/>
                <w:b w:val="0"/>
                <w:bCs w:val="0"/>
                <w:color w:val="000000"/>
                <w:kern w:val="0"/>
                <w:sz w:val="21"/>
                <w:szCs w:val="21"/>
                <w:lang w:val="en-US" w:eastAsia="zh-CN"/>
              </w:rPr>
              <w:t>1242.092万元，预算执行率74%；上级新增项目（含以前年度结转项目）可用指标共28700.72万元，支出金额共29846.47万元，预算执行率104%。</w:t>
            </w:r>
          </w:p>
        </w:tc>
      </w:tr>
      <w:tr w14:paraId="0E36D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1" w:hRule="atLeast"/>
          <w:jc w:val="center"/>
        </w:trPr>
        <w:tc>
          <w:tcPr>
            <w:tcW w:w="1384" w:type="dxa"/>
            <w:vMerge w:val="continue"/>
          </w:tcPr>
          <w:p w14:paraId="4CFC3EB6">
            <w:pPr>
              <w:spacing w:line="300" w:lineRule="exact"/>
              <w:jc w:val="center"/>
              <w:rPr>
                <w:rFonts w:ascii="仿宋_GB2312" w:hAnsi="宋体" w:eastAsia="仿宋_GB2312" w:cs="宋体"/>
                <w:szCs w:val="21"/>
              </w:rPr>
            </w:pPr>
          </w:p>
        </w:tc>
        <w:tc>
          <w:tcPr>
            <w:tcW w:w="1599" w:type="dxa"/>
            <w:vAlign w:val="center"/>
          </w:tcPr>
          <w:p w14:paraId="6D971223">
            <w:pPr>
              <w:spacing w:line="300" w:lineRule="exact"/>
              <w:jc w:val="center"/>
              <w:rPr>
                <w:rFonts w:ascii="仿宋_GB2312" w:hAnsi="宋体" w:eastAsia="仿宋_GB2312" w:cs="宋体"/>
                <w:szCs w:val="21"/>
              </w:rPr>
            </w:pPr>
            <w:r>
              <w:rPr>
                <w:rFonts w:hint="eastAsia" w:ascii="仿宋_GB2312" w:hAnsi="宋体" w:eastAsia="仿宋_GB2312" w:cs="宋体"/>
                <w:szCs w:val="21"/>
              </w:rPr>
              <w:t>绩效目标完成情况</w:t>
            </w:r>
          </w:p>
        </w:tc>
        <w:tc>
          <w:tcPr>
            <w:tcW w:w="6056" w:type="dxa"/>
            <w:vAlign w:val="center"/>
          </w:tcPr>
          <w:p w14:paraId="486B972C">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1．聚力高质量发展，农业经济稳中向优。一是一产业增加值指标情况。农业总产值</w:t>
            </w:r>
            <w:r>
              <w:rPr>
                <w:rFonts w:hint="default" w:ascii="仿宋" w:hAnsi="仿宋" w:eastAsia="仿宋" w:cs="仿宋"/>
                <w:b w:val="0"/>
                <w:bCs w:val="0"/>
                <w:color w:val="000000"/>
                <w:kern w:val="0"/>
                <w:sz w:val="21"/>
                <w:szCs w:val="21"/>
              </w:rPr>
              <w:t>达</w:t>
            </w:r>
            <w:r>
              <w:rPr>
                <w:rFonts w:hint="eastAsia" w:ascii="仿宋" w:hAnsi="仿宋" w:eastAsia="仿宋" w:cs="仿宋"/>
                <w:b w:val="0"/>
                <w:bCs w:val="0"/>
                <w:color w:val="000000"/>
                <w:kern w:val="0"/>
                <w:sz w:val="21"/>
                <w:szCs w:val="21"/>
              </w:rPr>
              <w:t>77.4亿元以上，同比增速3.5%。二是农民收入增长情况。2024年前三季度农村居民人均可支配收入21787元，增速为5.9%。预计全年农村居民人均可支配收入28950元。三是全产业链产值。我县粮食、畜禽、蔬菜、茶叶、油菜、水产、水果等产业链产值都出现提升。全产业链产值达150亿元以上。四是争资争项情况。已争取到位的项目资金有36001万元。</w:t>
            </w:r>
          </w:p>
          <w:p w14:paraId="7A3F5DE3">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2. 稳定粮油生产，重要农产品保障有力。一是抓好粮食生产。全县全年完成粮食种植面积126.78万亩，全年粮食产量实现61.6万吨。其中早稻播种面积42.2万亩（早稻集中育秧面积31.6万亩），中稻面积36.8万亩，晚稻面积44.5万亩,旱粮3.2万亩。8月份通过抢种抢插确保了面积稳定。9月份实施“一喷多促”带动秋粮增产增收。核心主体大幅增长，全县种植双季稻30亩以上的主体达到了2400多户，面积达到20多万亩。目前正抓住有利天气收获晚稻，做到颗粒归仓；通过耕地轮作、油菜扩种和产油大县等项目带动，完成冬种油菜26.35万亩。二是抓好镉低积累水稻品种推广。锚定省下达我县推广中稻低镉种9.5万亩、晚稻低镉种0.3万亩任务。2024年，全县推广镉低积累水稻品种11.6万亩，种子数量28.7万公斤。其中早稻中安2号1.17万亩、中安7号0.43万亩；中稻臻两优8612推广 9.51万亩；晚稻西子3号0.43万亩。实现区域内镉低积累早、中、晚稻品种全覆盖。三是抓实畜禽生产。预计年末生猪存栏74万头，全年生猪出栏130万头。前三季度存栏生猪73.78万头，同比下降1.42%，出栏生猪97.19万头，同比增长0.25%；存栏牛1.94万头，同比增长1%，出栏牛0.87万头，同比增长3.6%；存栏羊5.72万只，同比增长0.5%，出栏羊7.01万只，同比增长0.53%；存笼家禽850.5万羽，同比增长16.4%，出笼家禽1525万羽，同比增长91.8%。全县非瘟防控形势平稳，随着生猪价格回升及饲料价格同期下降等因素影响，生猪养殖场户补栏积极性增加，全县生猪存栏稳中有增。配合制定“三区划分”方案，并完成了禁养区退养工作。</w:t>
            </w:r>
          </w:p>
          <w:p w14:paraId="597381AD">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3．发展富民乡村产业，产业规模持续壮大。一是继续巩固湘莲优势产业引领地位。湘潭县湘莲国家现代农业产业园以综合得分全国第一的成绩通过中期评估，以全国第6的成绩通过了农业农村部组织的绩效评估，后续将获得4000万元中央财政奖补资金。在22家龙头企业带动下，全县湘莲生产加工企业近100家，花石湘莲加工产业园入园6家企业，5家企业已入园全部建设完毕，预计在年底投产；争取培育湘莲小升规企业2个，指导万荷堂莲业等企业争创省级龙头企业。进一步推进“湘九味”等项目，引导湘味连城开发湘潭湘莲药食同源产品。继续提高“湘潭湘莲”的知名度和美誉度，3月至今，已分别在中央1，7，13，17播放湘潭湘莲广告，同步在北京西客站北出口屏幕滚动播放视频广告28天及全国各网站超100篇湘潭湘莲报道。二是现代农业产业园建设持续推进。梅林桥、天马、碧泉潭三大现代农业示范园有重点建设项目18个，完成投资12120万元，入园主体达90家。三是预制菜产业顺势步发展。将湘潭佳海食品医药产业园打造为专业性食品产业“园中园”，产业园一期引进41家预制菜生产企业。抓预制菜龙头企业培育，推进顺餐等企业实现今年产值过亿，指导福熙争创省级龙头企业，预制菜产业年产值达15亿元以上，同比增长13%以上。四是休闲农业加快发展。新增较大规模农庄15家，乡泮拾光、天马山休闲运动基地、云盘寨露营基地入选第二批湖南文旅消费“新生代•新场景”名单。</w:t>
            </w:r>
          </w:p>
          <w:p w14:paraId="01FA530C">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4.推进农业绿色发展，农业生态日趋优良。一是持续推进美丽乡村建设。今年建设市级美丽乡村5个，县级美丽乡村9个，美丽屋场15个。二是加强农产品认证管理。今年完成5家企业13个产品绿色食品续展认证，3家企业7个产品绿色食品新认证的资料申报，1家企业1个产品绿色食品新认证。</w:t>
            </w:r>
            <w:r>
              <w:rPr>
                <w:rFonts w:hint="default" w:ascii="仿宋" w:hAnsi="仿宋" w:eastAsia="仿宋" w:cs="仿宋"/>
                <w:b w:val="0"/>
                <w:bCs w:val="0"/>
                <w:color w:val="000000"/>
                <w:kern w:val="0"/>
                <w:sz w:val="21"/>
                <w:szCs w:val="21"/>
              </w:rPr>
              <w:t>完成</w:t>
            </w:r>
            <w:r>
              <w:rPr>
                <w:rFonts w:hint="eastAsia" w:ascii="仿宋" w:hAnsi="仿宋" w:eastAsia="仿宋" w:cs="仿宋"/>
                <w:b w:val="0"/>
                <w:bCs w:val="0"/>
                <w:color w:val="000000"/>
                <w:kern w:val="0"/>
                <w:sz w:val="21"/>
                <w:szCs w:val="21"/>
              </w:rPr>
              <w:t>全县绿色食品认证企业共18家，绿色产品57个。完成国家追溯平台注册的用户有202家，完成国家追溯平台省应用系统注册的用户296家，完成省“身份证”管理平台用户的注册用户有120家。三是切实开展农产品生产环节监管。共检测蔬菜、水果等样品548批次，检测结果全部合格，农残速测合格率为100%。省、市对我县蔬菜、水果、湘莲、茶叶等例行监测216批次，合格率为100%，畜禽水产品例行监测抽取样品180批次，合格率均为100%。四是抓好农业面源污染防治。配合做好2024年中央生态环境保护督察工作，对交办的问题，照单全收，主动认领，严格落实交办工作。五是抓好秸秆综合利用。以中央财政资金支持秸秆综合利用重点县项目建设为契机，加强资金统筹，实施秸秆农机打捆装置配套能力提升行动，2024年计划新增秸秆打捆装置200台套，已完成推广206台套，提升综合利用率到90%以上。积极探索秸秆“五化”利用，收集打捆秸秆达7万吨，增加主体经济效益近2000万元。</w:t>
            </w:r>
          </w:p>
          <w:p w14:paraId="7D236623">
            <w:pPr>
              <w:widowControl/>
              <w:ind w:firstLine="420" w:firstLineChars="200"/>
              <w:jc w:val="left"/>
              <w:rPr>
                <w:rFonts w:ascii="仿宋_GB2312" w:hAnsi="宋体" w:eastAsia="仿宋_GB2312" w:cs="宋体"/>
                <w:szCs w:val="21"/>
              </w:rPr>
            </w:pPr>
            <w:r>
              <w:rPr>
                <w:rFonts w:hint="eastAsia" w:ascii="仿宋" w:hAnsi="仿宋" w:eastAsia="仿宋" w:cs="仿宋"/>
                <w:b w:val="0"/>
                <w:bCs w:val="0"/>
                <w:color w:val="000000"/>
                <w:kern w:val="0"/>
                <w:sz w:val="21"/>
                <w:szCs w:val="21"/>
              </w:rPr>
              <w:t>5.狠抓农村其他重点工作，农村发展活力增强。一是抓好新农民培训。全县共举办新农民培训班35期，培训新农民3620人次，完成比例为100.6%。二是抓好返乡创业。摸底外出务工人员73445人，精准对接返乡意愿人员，实现入库项目800余个，投资11.6亿元。谭智奇等4位同志获湘潭市2024年返乡创业先进典型。成功创建青山桥皮鞋皮具产业园等市级返乡创新园区和湘潭白石农夫市级返乡创业创新基地，新增培育佳海和湘之坊2个创业园，建成“电商产业聚集基地”“农产品供应链基地”等电商平台，培育电商经营主体1300余家，辐射带动万余人就业。三是抓好农机具推广工作。</w:t>
            </w:r>
            <w:r>
              <w:rPr>
                <w:rFonts w:hint="default" w:ascii="仿宋" w:hAnsi="仿宋" w:eastAsia="仿宋" w:cs="仿宋"/>
                <w:b w:val="0"/>
                <w:bCs w:val="0"/>
                <w:color w:val="000000"/>
                <w:kern w:val="0"/>
                <w:sz w:val="21"/>
                <w:szCs w:val="21"/>
              </w:rPr>
              <w:t>全年共</w:t>
            </w:r>
            <w:r>
              <w:rPr>
                <w:rFonts w:hint="eastAsia" w:ascii="仿宋" w:hAnsi="仿宋" w:eastAsia="仿宋" w:cs="仿宋"/>
                <w:b w:val="0"/>
                <w:bCs w:val="0"/>
                <w:color w:val="000000"/>
                <w:kern w:val="0"/>
                <w:sz w:val="21"/>
                <w:szCs w:val="21"/>
              </w:rPr>
              <w:t>举办农机技术培训5期，开展机插机抛秧作业演示3次，培训农机手近300人，3月28日，承办了全市落实“群众敢首创”要求，推广“春静模式”暨全市粮食安全工作会议，我县水稻全程全面机械化得到充分展示，得到了市领导充分肯定。积极推进机插机抛秧作业工作，截至目前全县完成水稻机插机抛秧作业15万余亩，新增插秧机抛秧机149台，湘潭县亿达农机有限公司评为省级区域农机维修中心。四是抓好农业综合行政执法。今年组织农业联合执法行动19次、例行巡查检查2935人次。开展农产品质量安全专项整治“利剑行动”“亮剑行动”、生猪违法违规调运、“白板肉”整治等专项行动，办结案件11起。五是抓好二轮土地延包工作。出台《湘潭县第二轮土地承包到期后再延长30年整乡试点工作实施方案》，在锦石乡有序开展试点工作。</w:t>
            </w:r>
          </w:p>
        </w:tc>
      </w:tr>
      <w:tr w14:paraId="11707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0" w:hRule="atLeast"/>
          <w:jc w:val="center"/>
        </w:trPr>
        <w:tc>
          <w:tcPr>
            <w:tcW w:w="1384" w:type="dxa"/>
            <w:vMerge w:val="restart"/>
            <w:vAlign w:val="center"/>
          </w:tcPr>
          <w:p w14:paraId="2D539866">
            <w:pPr>
              <w:spacing w:line="300" w:lineRule="exact"/>
              <w:jc w:val="center"/>
              <w:rPr>
                <w:rFonts w:ascii="仿宋_GB2312" w:hAnsi="宋体" w:eastAsia="仿宋_GB2312" w:cs="宋体"/>
                <w:szCs w:val="21"/>
              </w:rPr>
            </w:pPr>
            <w:r>
              <w:rPr>
                <w:rFonts w:hint="eastAsia" w:ascii="仿宋_GB2312" w:hAnsi="宋体" w:eastAsia="仿宋_GB2312" w:cs="宋体"/>
                <w:szCs w:val="21"/>
              </w:rPr>
              <w:t>存在的问题分析及改进措施</w:t>
            </w:r>
          </w:p>
        </w:tc>
        <w:tc>
          <w:tcPr>
            <w:tcW w:w="1599" w:type="dxa"/>
            <w:vAlign w:val="center"/>
          </w:tcPr>
          <w:p w14:paraId="2B31450F">
            <w:pPr>
              <w:spacing w:line="300" w:lineRule="exact"/>
              <w:jc w:val="center"/>
              <w:rPr>
                <w:rFonts w:ascii="仿宋_GB2312" w:hAnsi="宋体" w:eastAsia="仿宋_GB2312" w:cs="宋体"/>
                <w:szCs w:val="21"/>
              </w:rPr>
            </w:pPr>
            <w:r>
              <w:rPr>
                <w:rFonts w:hint="eastAsia" w:ascii="仿宋_GB2312" w:hAnsi="宋体" w:eastAsia="仿宋_GB2312" w:cs="宋体"/>
                <w:szCs w:val="21"/>
              </w:rPr>
              <w:t>存在的问题</w:t>
            </w:r>
          </w:p>
        </w:tc>
        <w:tc>
          <w:tcPr>
            <w:tcW w:w="6056" w:type="dxa"/>
            <w:vAlign w:val="center"/>
          </w:tcPr>
          <w:p w14:paraId="28C048F1">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1．粮食生产稳产保供压力大。由于水系破坏以及自然灾害的影响导致耕地损毁等原因，复耕复种难度大。惠农政策变化大、粮食生产项目资金拨付迟，影响种粮主体对粮食生产的投入，种植双季效益低甚至亏损。</w:t>
            </w:r>
          </w:p>
          <w:p w14:paraId="7C546ED5">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2．农民增收难度大。我县农民收入主要来自家庭经营和务工收入，而经营成本上升，制约农民收入增长。近年来，农资价格都有所上涨，其中化肥价格上涨明显。精饲料、玉米价格上涨使得畜禽养殖成本增加，农业净收益减少，农民增收空间越来越小，难度越来越大。</w:t>
            </w:r>
          </w:p>
          <w:p w14:paraId="279E62C5">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3．农村劳动力老龄化。农业风险大、效益不高，年轻一代从事农业的热情不高，农村青壮年劳动力大部分外出务工，“老龄化”耕作问题日益凸显。</w:t>
            </w:r>
          </w:p>
          <w:p w14:paraId="3C6EBD64">
            <w:pPr>
              <w:widowControl/>
              <w:ind w:firstLine="420" w:firstLineChars="200"/>
              <w:jc w:val="left"/>
              <w:rPr>
                <w:rFonts w:hint="eastAsia" w:ascii="仿宋" w:hAnsi="仿宋" w:eastAsia="仿宋" w:cs="仿宋"/>
                <w:b w:val="0"/>
                <w:bCs w:val="0"/>
                <w:color w:val="000000"/>
                <w:kern w:val="0"/>
                <w:sz w:val="21"/>
                <w:szCs w:val="21"/>
              </w:rPr>
            </w:pPr>
            <w:r>
              <w:rPr>
                <w:rFonts w:hint="eastAsia" w:ascii="仿宋" w:hAnsi="仿宋" w:eastAsia="仿宋" w:cs="仿宋"/>
                <w:b w:val="0"/>
                <w:bCs w:val="0"/>
                <w:color w:val="000000"/>
                <w:kern w:val="0"/>
                <w:sz w:val="21"/>
                <w:szCs w:val="21"/>
              </w:rPr>
              <w:t>4．招商引资项目用地指标存在瓶颈。随着土地宏观调控趋紧，农村项目用地调规很难，项目用地问题一定程度上影响了经营主体发展设施农业的积极性，阻碍了招商引资和村级发展集体经济的步伐。</w:t>
            </w:r>
          </w:p>
          <w:p w14:paraId="3C8AF7A6">
            <w:pPr>
              <w:widowControl/>
              <w:ind w:firstLine="420" w:firstLineChars="200"/>
              <w:jc w:val="left"/>
              <w:rPr>
                <w:rFonts w:hint="eastAsia" w:ascii="仿宋" w:hAnsi="仿宋" w:eastAsia="仿宋" w:cs="仿宋"/>
                <w:b w:val="0"/>
                <w:bCs w:val="0"/>
                <w:color w:val="000000"/>
                <w:kern w:val="0"/>
                <w:sz w:val="21"/>
                <w:szCs w:val="21"/>
              </w:rPr>
            </w:pPr>
            <w:r>
              <w:rPr>
                <w:rFonts w:hint="default" w:ascii="仿宋" w:hAnsi="仿宋" w:eastAsia="仿宋" w:cs="仿宋"/>
                <w:b w:val="0"/>
                <w:bCs w:val="0"/>
                <w:color w:val="000000"/>
                <w:kern w:val="0"/>
                <w:sz w:val="21"/>
                <w:szCs w:val="21"/>
                <w:lang w:eastAsia="zh-CN"/>
              </w:rPr>
              <w:t>5.</w:t>
            </w:r>
            <w:r>
              <w:rPr>
                <w:rFonts w:hint="eastAsia" w:ascii="仿宋" w:hAnsi="仿宋" w:eastAsia="仿宋" w:cs="仿宋"/>
                <w:b w:val="0"/>
                <w:bCs w:val="0"/>
                <w:color w:val="000000"/>
                <w:kern w:val="0"/>
                <w:sz w:val="21"/>
                <w:szCs w:val="21"/>
              </w:rPr>
              <w:t>预算执行存在偏差。</w:t>
            </w:r>
            <w:r>
              <w:rPr>
                <w:rFonts w:hint="eastAsia" w:ascii="仿宋" w:hAnsi="仿宋" w:eastAsia="仿宋" w:cs="仿宋"/>
                <w:b w:val="0"/>
                <w:bCs w:val="0"/>
                <w:color w:val="000000"/>
                <w:kern w:val="0"/>
                <w:sz w:val="21"/>
                <w:szCs w:val="21"/>
                <w:lang w:eastAsia="zh-CN"/>
              </w:rPr>
              <w:t>因上级项目的不确定性，导致</w:t>
            </w:r>
            <w:r>
              <w:rPr>
                <w:rFonts w:hint="eastAsia" w:ascii="仿宋" w:hAnsi="仿宋" w:eastAsia="仿宋" w:cs="仿宋"/>
                <w:b w:val="0"/>
                <w:bCs w:val="0"/>
                <w:color w:val="000000"/>
                <w:kern w:val="0"/>
                <w:sz w:val="21"/>
                <w:szCs w:val="21"/>
              </w:rPr>
              <w:t>本年度</w:t>
            </w:r>
            <w:r>
              <w:rPr>
                <w:rFonts w:hint="eastAsia" w:ascii="仿宋" w:hAnsi="仿宋" w:eastAsia="仿宋" w:cs="仿宋"/>
                <w:b w:val="0"/>
                <w:bCs w:val="0"/>
                <w:color w:val="000000"/>
                <w:kern w:val="0"/>
                <w:sz w:val="21"/>
                <w:szCs w:val="21"/>
                <w:lang w:eastAsia="zh-CN"/>
              </w:rPr>
              <w:t>项目资金</w:t>
            </w:r>
            <w:r>
              <w:rPr>
                <w:rFonts w:hint="eastAsia" w:ascii="仿宋" w:hAnsi="仿宋" w:eastAsia="仿宋" w:cs="仿宋"/>
                <w:b w:val="0"/>
                <w:bCs w:val="0"/>
                <w:color w:val="000000"/>
                <w:kern w:val="0"/>
                <w:sz w:val="21"/>
                <w:szCs w:val="21"/>
              </w:rPr>
              <w:t>高于预算</w:t>
            </w:r>
            <w:r>
              <w:rPr>
                <w:rFonts w:hint="eastAsia" w:ascii="仿宋" w:hAnsi="仿宋" w:eastAsia="仿宋" w:cs="仿宋"/>
                <w:b w:val="0"/>
                <w:bCs w:val="0"/>
                <w:color w:val="000000"/>
                <w:kern w:val="0"/>
                <w:sz w:val="21"/>
                <w:szCs w:val="21"/>
                <w:lang w:eastAsia="zh-CN"/>
              </w:rPr>
              <w:t>金额</w:t>
            </w:r>
            <w:r>
              <w:rPr>
                <w:rFonts w:hint="eastAsia" w:ascii="仿宋" w:hAnsi="仿宋" w:eastAsia="仿宋" w:cs="仿宋"/>
                <w:b w:val="0"/>
                <w:bCs w:val="0"/>
                <w:color w:val="000000"/>
                <w:kern w:val="0"/>
                <w:sz w:val="21"/>
                <w:szCs w:val="21"/>
              </w:rPr>
              <w:t>，</w:t>
            </w:r>
            <w:r>
              <w:rPr>
                <w:rFonts w:hint="eastAsia" w:ascii="仿宋" w:hAnsi="仿宋" w:eastAsia="仿宋" w:cs="仿宋"/>
                <w:b w:val="0"/>
                <w:bCs w:val="0"/>
                <w:color w:val="000000"/>
                <w:kern w:val="0"/>
                <w:sz w:val="21"/>
                <w:szCs w:val="21"/>
                <w:lang w:eastAsia="zh-CN"/>
              </w:rPr>
              <w:t>且项目内容与年初预算存在差异，</w:t>
            </w:r>
            <w:r>
              <w:rPr>
                <w:rFonts w:hint="eastAsia" w:ascii="仿宋" w:hAnsi="仿宋" w:eastAsia="仿宋" w:cs="仿宋"/>
                <w:b w:val="0"/>
                <w:bCs w:val="0"/>
                <w:color w:val="000000"/>
                <w:kern w:val="0"/>
                <w:sz w:val="21"/>
                <w:szCs w:val="21"/>
              </w:rPr>
              <w:t>说明预算编制与实际情</w:t>
            </w:r>
            <w:r>
              <w:rPr>
                <w:rFonts w:hint="eastAsia" w:ascii="仿宋" w:hAnsi="仿宋" w:eastAsia="仿宋" w:cs="仿宋"/>
                <w:b w:val="0"/>
                <w:bCs w:val="0"/>
                <w:color w:val="000000"/>
                <w:kern w:val="0"/>
                <w:sz w:val="21"/>
                <w:szCs w:val="21"/>
                <w:lang w:eastAsia="zh-CN"/>
              </w:rPr>
              <w:t>况还</w:t>
            </w:r>
            <w:r>
              <w:rPr>
                <w:rFonts w:hint="eastAsia" w:ascii="仿宋" w:hAnsi="仿宋" w:eastAsia="仿宋" w:cs="仿宋"/>
                <w:b w:val="0"/>
                <w:bCs w:val="0"/>
                <w:color w:val="000000"/>
                <w:kern w:val="0"/>
                <w:sz w:val="21"/>
                <w:szCs w:val="21"/>
              </w:rPr>
              <w:t>存在</w:t>
            </w:r>
            <w:r>
              <w:rPr>
                <w:rFonts w:hint="eastAsia" w:ascii="仿宋" w:hAnsi="仿宋" w:eastAsia="仿宋" w:cs="仿宋"/>
                <w:b w:val="0"/>
                <w:bCs w:val="0"/>
                <w:color w:val="000000"/>
                <w:kern w:val="0"/>
                <w:sz w:val="21"/>
                <w:szCs w:val="21"/>
                <w:lang w:eastAsia="zh-CN"/>
              </w:rPr>
              <w:t>一定的</w:t>
            </w:r>
            <w:r>
              <w:rPr>
                <w:rFonts w:hint="eastAsia" w:ascii="仿宋" w:hAnsi="仿宋" w:eastAsia="仿宋" w:cs="仿宋"/>
                <w:b w:val="0"/>
                <w:bCs w:val="0"/>
                <w:color w:val="000000"/>
                <w:kern w:val="0"/>
                <w:sz w:val="21"/>
                <w:szCs w:val="21"/>
              </w:rPr>
              <w:t>偏差，</w:t>
            </w:r>
            <w:r>
              <w:rPr>
                <w:rFonts w:hint="eastAsia" w:ascii="仿宋" w:hAnsi="仿宋" w:eastAsia="仿宋" w:cs="仿宋"/>
                <w:b w:val="0"/>
                <w:bCs w:val="0"/>
                <w:color w:val="000000"/>
                <w:kern w:val="0"/>
                <w:sz w:val="21"/>
                <w:szCs w:val="21"/>
                <w:lang w:eastAsia="zh-CN"/>
              </w:rPr>
              <w:t>资金预算</w:t>
            </w:r>
            <w:r>
              <w:rPr>
                <w:rFonts w:hint="eastAsia" w:ascii="仿宋" w:hAnsi="仿宋" w:eastAsia="仿宋" w:cs="仿宋"/>
                <w:b w:val="0"/>
                <w:bCs w:val="0"/>
                <w:color w:val="000000"/>
                <w:kern w:val="0"/>
                <w:sz w:val="21"/>
                <w:szCs w:val="21"/>
              </w:rPr>
              <w:t>还有待进一步加强。</w:t>
            </w:r>
            <w:r>
              <w:rPr>
                <w:rFonts w:hint="eastAsia" w:ascii="仿宋" w:hAnsi="仿宋" w:eastAsia="仿宋" w:cs="仿宋"/>
                <w:b w:val="0"/>
                <w:bCs w:val="0"/>
                <w:color w:val="000000"/>
                <w:kern w:val="0"/>
                <w:sz w:val="21"/>
                <w:szCs w:val="21"/>
                <w:lang w:eastAsia="zh-CN"/>
              </w:rPr>
              <w:t>且因财政资金调度紧张，导致部分项目资金支出率较低，</w:t>
            </w:r>
            <w:r>
              <w:rPr>
                <w:rFonts w:hint="eastAsia" w:ascii="仿宋" w:hAnsi="仿宋" w:eastAsia="仿宋" w:cs="仿宋"/>
                <w:b w:val="0"/>
                <w:bCs w:val="0"/>
                <w:color w:val="000000"/>
                <w:kern w:val="0"/>
                <w:sz w:val="21"/>
                <w:szCs w:val="21"/>
              </w:rPr>
              <w:t>结转资金金额较大，影响项目绩效目标的编制和绩效评价指标的分析。</w:t>
            </w:r>
          </w:p>
          <w:p w14:paraId="66804780">
            <w:pPr>
              <w:widowControl/>
              <w:ind w:firstLine="420" w:firstLineChars="200"/>
              <w:jc w:val="left"/>
              <w:rPr>
                <w:rFonts w:ascii="仿宋_GB2312" w:hAnsi="宋体" w:eastAsia="仿宋_GB2312" w:cs="宋体"/>
                <w:szCs w:val="21"/>
              </w:rPr>
            </w:pPr>
            <w:r>
              <w:rPr>
                <w:rFonts w:hint="default" w:ascii="仿宋" w:hAnsi="仿宋" w:eastAsia="仿宋" w:cs="仿宋"/>
                <w:b w:val="0"/>
                <w:bCs w:val="0"/>
                <w:color w:val="000000"/>
                <w:kern w:val="0"/>
                <w:sz w:val="21"/>
                <w:szCs w:val="21"/>
                <w:lang w:eastAsia="zh-CN"/>
              </w:rPr>
              <w:t>6</w:t>
            </w:r>
            <w:r>
              <w:rPr>
                <w:rFonts w:hint="eastAsia" w:ascii="仿宋" w:hAnsi="仿宋" w:eastAsia="仿宋" w:cs="仿宋"/>
                <w:b w:val="0"/>
                <w:bCs w:val="0"/>
                <w:color w:val="000000"/>
                <w:kern w:val="0"/>
                <w:sz w:val="21"/>
                <w:szCs w:val="21"/>
                <w:lang w:val="en-US" w:eastAsia="zh-CN"/>
              </w:rPr>
              <w:t>.</w:t>
            </w:r>
            <w:r>
              <w:rPr>
                <w:rFonts w:hint="eastAsia" w:ascii="仿宋" w:hAnsi="仿宋" w:eastAsia="仿宋" w:cs="仿宋"/>
                <w:b w:val="0"/>
                <w:bCs w:val="0"/>
                <w:color w:val="000000"/>
                <w:kern w:val="0"/>
                <w:sz w:val="21"/>
                <w:szCs w:val="21"/>
                <w:lang w:eastAsia="zh-CN"/>
              </w:rPr>
              <w:t>项目管理</w:t>
            </w:r>
            <w:r>
              <w:rPr>
                <w:rFonts w:hint="default" w:ascii="仿宋" w:hAnsi="仿宋" w:eastAsia="仿宋" w:cs="仿宋"/>
                <w:b w:val="0"/>
                <w:bCs w:val="0"/>
                <w:color w:val="000000"/>
                <w:kern w:val="0"/>
                <w:sz w:val="21"/>
                <w:szCs w:val="21"/>
                <w:lang w:eastAsia="zh-CN"/>
              </w:rPr>
              <w:t>还</w:t>
            </w:r>
            <w:r>
              <w:rPr>
                <w:rFonts w:hint="eastAsia" w:ascii="仿宋" w:hAnsi="仿宋" w:eastAsia="仿宋" w:cs="仿宋"/>
                <w:b w:val="0"/>
                <w:bCs w:val="0"/>
                <w:color w:val="000000"/>
                <w:kern w:val="0"/>
                <w:sz w:val="21"/>
                <w:szCs w:val="21"/>
                <w:lang w:eastAsia="zh-CN"/>
              </w:rPr>
              <w:t>有待</w:t>
            </w:r>
            <w:r>
              <w:rPr>
                <w:rFonts w:hint="default" w:ascii="仿宋" w:hAnsi="仿宋" w:eastAsia="仿宋" w:cs="仿宋"/>
                <w:b w:val="0"/>
                <w:bCs w:val="0"/>
                <w:color w:val="000000"/>
                <w:kern w:val="0"/>
                <w:sz w:val="21"/>
                <w:szCs w:val="21"/>
                <w:lang w:eastAsia="zh-CN"/>
              </w:rPr>
              <w:t>进一步</w:t>
            </w:r>
            <w:r>
              <w:rPr>
                <w:rFonts w:hint="eastAsia" w:ascii="仿宋" w:hAnsi="仿宋" w:eastAsia="仿宋" w:cs="仿宋"/>
                <w:b w:val="0"/>
                <w:bCs w:val="0"/>
                <w:color w:val="000000"/>
                <w:kern w:val="0"/>
                <w:sz w:val="21"/>
                <w:szCs w:val="21"/>
                <w:lang w:eastAsia="zh-CN"/>
              </w:rPr>
              <w:t>加强</w:t>
            </w:r>
            <w:r>
              <w:rPr>
                <w:rFonts w:hint="default" w:ascii="仿宋" w:hAnsi="仿宋" w:eastAsia="仿宋" w:cs="仿宋"/>
                <w:b w:val="0"/>
                <w:bCs w:val="0"/>
                <w:color w:val="000000"/>
                <w:kern w:val="0"/>
                <w:sz w:val="21"/>
                <w:szCs w:val="21"/>
                <w:lang w:eastAsia="zh-CN"/>
              </w:rPr>
              <w:t>。</w:t>
            </w:r>
            <w:r>
              <w:rPr>
                <w:rFonts w:hint="eastAsia" w:ascii="仿宋" w:hAnsi="仿宋" w:eastAsia="仿宋" w:cs="仿宋"/>
                <w:b w:val="0"/>
                <w:bCs w:val="0"/>
                <w:color w:val="000000"/>
                <w:kern w:val="0"/>
                <w:sz w:val="21"/>
                <w:szCs w:val="21"/>
                <w:lang w:eastAsia="zh-CN"/>
              </w:rPr>
              <w:t>部分项目还存在目标设定</w:t>
            </w:r>
            <w:r>
              <w:rPr>
                <w:rFonts w:hint="default" w:ascii="仿宋" w:hAnsi="仿宋" w:eastAsia="仿宋" w:cs="仿宋"/>
                <w:b w:val="0"/>
                <w:bCs w:val="0"/>
                <w:color w:val="000000"/>
                <w:kern w:val="0"/>
                <w:sz w:val="21"/>
                <w:szCs w:val="21"/>
                <w:lang w:eastAsia="zh-CN"/>
              </w:rPr>
              <w:t>未细化、量化</w:t>
            </w:r>
            <w:r>
              <w:rPr>
                <w:rFonts w:hint="eastAsia"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eastAsia="zh-CN"/>
              </w:rPr>
              <w:t>项目</w:t>
            </w:r>
            <w:r>
              <w:rPr>
                <w:rFonts w:hint="eastAsia" w:ascii="仿宋" w:hAnsi="仿宋" w:eastAsia="仿宋" w:cs="仿宋"/>
                <w:b w:val="0"/>
                <w:bCs w:val="0"/>
                <w:color w:val="000000"/>
                <w:kern w:val="0"/>
                <w:sz w:val="21"/>
                <w:szCs w:val="21"/>
              </w:rPr>
              <w:t>管理制度</w:t>
            </w:r>
            <w:r>
              <w:rPr>
                <w:rFonts w:hint="default" w:ascii="仿宋" w:hAnsi="仿宋" w:eastAsia="仿宋" w:cs="仿宋"/>
                <w:b w:val="0"/>
                <w:bCs w:val="0"/>
                <w:color w:val="000000"/>
                <w:kern w:val="0"/>
                <w:sz w:val="21"/>
                <w:szCs w:val="21"/>
              </w:rPr>
              <w:t>不健全</w:t>
            </w:r>
            <w:r>
              <w:rPr>
                <w:rFonts w:hint="eastAsia" w:ascii="仿宋" w:hAnsi="仿宋" w:eastAsia="仿宋" w:cs="仿宋"/>
                <w:b w:val="0"/>
                <w:bCs w:val="0"/>
                <w:color w:val="000000"/>
                <w:kern w:val="0"/>
                <w:sz w:val="21"/>
                <w:szCs w:val="21"/>
                <w:lang w:eastAsia="zh-CN"/>
              </w:rPr>
              <w:t>，</w:t>
            </w:r>
            <w:r>
              <w:rPr>
                <w:rFonts w:hint="default" w:ascii="仿宋" w:hAnsi="仿宋" w:eastAsia="仿宋" w:cs="仿宋"/>
                <w:b w:val="0"/>
                <w:bCs w:val="0"/>
                <w:color w:val="000000"/>
                <w:kern w:val="0"/>
                <w:sz w:val="21"/>
                <w:szCs w:val="21"/>
                <w:lang w:eastAsia="zh-CN"/>
              </w:rPr>
              <w:t>财务管理不规范的现象</w:t>
            </w:r>
            <w:r>
              <w:rPr>
                <w:rFonts w:hint="eastAsia" w:ascii="仿宋" w:hAnsi="仿宋" w:eastAsia="仿宋" w:cs="仿宋"/>
                <w:b w:val="0"/>
                <w:bCs w:val="0"/>
                <w:color w:val="000000"/>
                <w:kern w:val="0"/>
                <w:sz w:val="21"/>
                <w:szCs w:val="21"/>
              </w:rPr>
              <w:t>。</w:t>
            </w:r>
          </w:p>
        </w:tc>
      </w:tr>
      <w:tr w14:paraId="5A767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1384" w:type="dxa"/>
            <w:vMerge w:val="continue"/>
          </w:tcPr>
          <w:p w14:paraId="0E82C42A">
            <w:pPr>
              <w:spacing w:line="300" w:lineRule="exact"/>
              <w:jc w:val="center"/>
              <w:rPr>
                <w:rFonts w:ascii="仿宋_GB2312" w:hAnsi="宋体" w:eastAsia="仿宋_GB2312" w:cs="宋体"/>
                <w:szCs w:val="21"/>
              </w:rPr>
            </w:pPr>
          </w:p>
        </w:tc>
        <w:tc>
          <w:tcPr>
            <w:tcW w:w="1599" w:type="dxa"/>
            <w:vAlign w:val="center"/>
          </w:tcPr>
          <w:p w14:paraId="7C1B3325">
            <w:pPr>
              <w:spacing w:line="300" w:lineRule="exact"/>
              <w:jc w:val="center"/>
              <w:rPr>
                <w:rFonts w:ascii="仿宋_GB2312" w:hAnsi="宋体" w:eastAsia="仿宋_GB2312" w:cs="宋体"/>
                <w:szCs w:val="21"/>
              </w:rPr>
            </w:pPr>
            <w:r>
              <w:rPr>
                <w:rFonts w:hint="eastAsia" w:ascii="仿宋_GB2312" w:hAnsi="宋体" w:eastAsia="仿宋_GB2312" w:cs="宋体"/>
                <w:szCs w:val="21"/>
              </w:rPr>
              <w:t>改进措施</w:t>
            </w:r>
          </w:p>
        </w:tc>
        <w:tc>
          <w:tcPr>
            <w:tcW w:w="6056" w:type="dxa"/>
            <w:vAlign w:val="center"/>
          </w:tcPr>
          <w:p w14:paraId="306E1E8B">
            <w:pPr>
              <w:widowControl/>
              <w:ind w:firstLine="420" w:firstLineChars="200"/>
              <w:jc w:val="left"/>
              <w:rPr>
                <w:rFonts w:ascii="仿宋_GB2312" w:hAnsi="宋体" w:eastAsia="仿宋_GB2312" w:cs="宋体"/>
                <w:szCs w:val="21"/>
              </w:rPr>
            </w:pPr>
            <w:r>
              <w:rPr>
                <w:rFonts w:hint="eastAsia" w:ascii="仿宋" w:hAnsi="仿宋" w:eastAsia="仿宋" w:cs="仿宋"/>
                <w:color w:val="000000"/>
                <w:kern w:val="0"/>
                <w:sz w:val="21"/>
                <w:szCs w:val="21"/>
                <w:lang w:eastAsia="zh-CN"/>
              </w:rPr>
              <w:t>加强对项目的预算编制和管理，提高预算准确率，确保项目资金专款专用，专项核算</w:t>
            </w:r>
            <w:r>
              <w:rPr>
                <w:rFonts w:hint="eastAsia" w:ascii="仿宋" w:hAnsi="仿宋" w:eastAsia="仿宋" w:cs="仿宋"/>
                <w:color w:val="000000"/>
                <w:kern w:val="0"/>
                <w:sz w:val="21"/>
                <w:szCs w:val="21"/>
              </w:rPr>
              <w:t>。</w:t>
            </w:r>
          </w:p>
        </w:tc>
      </w:tr>
      <w:tr w14:paraId="05AE6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384" w:type="dxa"/>
            <w:vMerge w:val="continue"/>
          </w:tcPr>
          <w:p w14:paraId="0BD62978">
            <w:pPr>
              <w:spacing w:line="300" w:lineRule="exact"/>
              <w:jc w:val="center"/>
              <w:rPr>
                <w:rFonts w:ascii="仿宋_GB2312" w:hAnsi="宋体" w:eastAsia="仿宋_GB2312" w:cs="宋体"/>
                <w:szCs w:val="21"/>
              </w:rPr>
            </w:pPr>
          </w:p>
        </w:tc>
        <w:tc>
          <w:tcPr>
            <w:tcW w:w="1599" w:type="dxa"/>
            <w:vAlign w:val="center"/>
          </w:tcPr>
          <w:p w14:paraId="5DF7728F">
            <w:pPr>
              <w:spacing w:line="300" w:lineRule="exact"/>
              <w:jc w:val="center"/>
              <w:rPr>
                <w:rFonts w:ascii="仿宋_GB2312" w:hAnsi="宋体" w:eastAsia="仿宋_GB2312" w:cs="宋体"/>
                <w:szCs w:val="21"/>
              </w:rPr>
            </w:pPr>
            <w:r>
              <w:rPr>
                <w:rFonts w:hint="eastAsia" w:ascii="仿宋_GB2312" w:hAnsi="宋体" w:eastAsia="仿宋_GB2312" w:cs="宋体"/>
                <w:szCs w:val="21"/>
              </w:rPr>
              <w:t>其他需要说明问题</w:t>
            </w:r>
          </w:p>
        </w:tc>
        <w:tc>
          <w:tcPr>
            <w:tcW w:w="6056" w:type="dxa"/>
            <w:vAlign w:val="center"/>
          </w:tcPr>
          <w:p w14:paraId="38F930A2">
            <w:pPr>
              <w:widowControl/>
              <w:jc w:val="center"/>
              <w:rPr>
                <w:rFonts w:ascii="仿宋_GB2312" w:hAnsi="宋体" w:eastAsia="仿宋_GB2312" w:cs="宋体"/>
                <w:szCs w:val="21"/>
              </w:rPr>
            </w:pPr>
            <w:r>
              <w:rPr>
                <w:rFonts w:hint="eastAsia" w:ascii="仿宋_GB2312" w:hAnsi="宋体" w:eastAsia="仿宋_GB2312" w:cs="宋体"/>
                <w:color w:val="000000"/>
                <w:kern w:val="0"/>
                <w:sz w:val="21"/>
                <w:szCs w:val="21"/>
              </w:rPr>
              <w:t>无</w:t>
            </w:r>
          </w:p>
        </w:tc>
      </w:tr>
    </w:tbl>
    <w:p w14:paraId="231E22C0">
      <w:pPr>
        <w:spacing w:line="576" w:lineRule="exact"/>
        <w:jc w:val="center"/>
        <w:rPr>
          <w:rFonts w:hint="eastAsia" w:ascii="方正小标宋_GBK" w:eastAsia="方正小标宋_GBK" w:cs="方正小标宋_GBK"/>
          <w:bCs/>
          <w:sz w:val="36"/>
          <w:szCs w:val="36"/>
        </w:rPr>
      </w:pPr>
    </w:p>
    <w:p w14:paraId="73E51B1A">
      <w:pPr>
        <w:spacing w:line="576" w:lineRule="exact"/>
        <w:jc w:val="center"/>
        <w:rPr>
          <w:rFonts w:hint="eastAsia" w:ascii="方正小标宋_GBK" w:eastAsia="方正小标宋_GBK" w:cs="方正小标宋_GBK"/>
          <w:bCs/>
          <w:sz w:val="36"/>
          <w:szCs w:val="36"/>
        </w:rPr>
      </w:pPr>
    </w:p>
    <w:p w14:paraId="16F31555">
      <w:pPr>
        <w:spacing w:line="576" w:lineRule="exact"/>
        <w:jc w:val="center"/>
        <w:rPr>
          <w:rFonts w:hint="eastAsia" w:ascii="方正小标宋_GBK" w:eastAsia="方正小标宋_GBK" w:cs="方正小标宋_GBK"/>
          <w:bCs/>
          <w:sz w:val="36"/>
          <w:szCs w:val="36"/>
        </w:rPr>
      </w:pPr>
    </w:p>
    <w:p w14:paraId="7F871F64">
      <w:pPr>
        <w:spacing w:line="576" w:lineRule="exact"/>
        <w:jc w:val="center"/>
        <w:rPr>
          <w:rFonts w:hint="eastAsia" w:ascii="方正小标宋_GBK" w:eastAsia="方正小标宋_GBK" w:cs="方正小标宋_GBK"/>
          <w:bCs/>
          <w:sz w:val="36"/>
          <w:szCs w:val="36"/>
        </w:rPr>
      </w:pPr>
    </w:p>
    <w:p w14:paraId="59C13F0B">
      <w:pPr>
        <w:spacing w:line="576" w:lineRule="exact"/>
        <w:jc w:val="center"/>
        <w:rPr>
          <w:rFonts w:hint="eastAsia" w:ascii="方正小标宋_GBK" w:eastAsia="方正小标宋_GBK" w:cs="方正小标宋_GBK"/>
          <w:bCs/>
          <w:sz w:val="36"/>
          <w:szCs w:val="36"/>
        </w:rPr>
      </w:pPr>
    </w:p>
    <w:p w14:paraId="4EDB2951">
      <w:pPr>
        <w:spacing w:line="576" w:lineRule="exact"/>
        <w:jc w:val="center"/>
        <w:rPr>
          <w:rFonts w:hint="eastAsia" w:ascii="方正小标宋_GBK" w:eastAsia="方正小标宋_GBK" w:cs="方正小标宋_GBK"/>
          <w:sz w:val="36"/>
          <w:szCs w:val="36"/>
          <w:u w:val="single"/>
          <w:lang w:eastAsia="zh-CN"/>
        </w:rPr>
      </w:pPr>
      <w:r>
        <w:rPr>
          <w:rFonts w:hint="eastAsia" w:ascii="方正小标宋_GBK" w:eastAsia="方正小标宋_GBK" w:cs="方正小标宋_GBK"/>
          <w:bCs/>
          <w:sz w:val="36"/>
          <w:szCs w:val="36"/>
        </w:rPr>
        <w:t>项目支出绩效评价报告</w:t>
      </w:r>
      <w:r>
        <w:rPr>
          <w:rFonts w:hint="eastAsia" w:ascii="方正小标宋_GBK" w:eastAsia="方正小标宋_GBK" w:cs="方正小标宋_GBK"/>
          <w:bCs/>
          <w:sz w:val="36"/>
          <w:szCs w:val="36"/>
          <w:lang w:eastAsia="zh-CN"/>
        </w:rPr>
        <w:t>公开表</w:t>
      </w:r>
    </w:p>
    <w:tbl>
      <w:tblPr>
        <w:tblStyle w:val="7"/>
        <w:tblpPr w:leftFromText="180" w:rightFromText="180" w:vertAnchor="text" w:horzAnchor="margin" w:tblpXSpec="center" w:tblpY="189"/>
        <w:tblW w:w="9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6"/>
        <w:gridCol w:w="1965"/>
        <w:gridCol w:w="5585"/>
      </w:tblGrid>
      <w:tr w14:paraId="5CDC5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686" w:type="dxa"/>
            <w:vMerge w:val="restart"/>
            <w:noWrap w:val="0"/>
            <w:vAlign w:val="center"/>
          </w:tcPr>
          <w:p w14:paraId="3F48AF00">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部门概况</w:t>
            </w:r>
          </w:p>
        </w:tc>
        <w:tc>
          <w:tcPr>
            <w:tcW w:w="1965" w:type="dxa"/>
            <w:noWrap w:val="0"/>
            <w:vAlign w:val="center"/>
          </w:tcPr>
          <w:p w14:paraId="4C28D7D5">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专项名称</w:t>
            </w:r>
          </w:p>
        </w:tc>
        <w:tc>
          <w:tcPr>
            <w:tcW w:w="5585" w:type="dxa"/>
            <w:noWrap w:val="0"/>
            <w:vAlign w:val="center"/>
          </w:tcPr>
          <w:p w14:paraId="1FF4B8BF">
            <w:pPr>
              <w:spacing w:line="576" w:lineRule="exact"/>
              <w:ind w:right="160" w:rightChars="76"/>
              <w:jc w:val="center"/>
              <w:rPr>
                <w:rFonts w:hint="eastAsia" w:ascii="仿宋" w:hAnsi="仿宋" w:eastAsia="仿宋" w:cs="仿宋"/>
                <w:sz w:val="21"/>
                <w:szCs w:val="21"/>
                <w:lang w:eastAsia="zh-CN"/>
              </w:rPr>
            </w:pPr>
            <w:r>
              <w:rPr>
                <w:rFonts w:hint="eastAsia" w:ascii="仿宋" w:hAnsi="仿宋" w:eastAsia="仿宋" w:cs="仿宋"/>
                <w:sz w:val="21"/>
                <w:szCs w:val="21"/>
              </w:rPr>
              <w:t>国有农场改制过渡期经费</w:t>
            </w:r>
          </w:p>
        </w:tc>
      </w:tr>
      <w:tr w14:paraId="7BD31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686" w:type="dxa"/>
            <w:vMerge w:val="continue"/>
            <w:noWrap w:val="0"/>
            <w:vAlign w:val="top"/>
          </w:tcPr>
          <w:p w14:paraId="3AE9A822">
            <w:pPr>
              <w:rPr>
                <w:rFonts w:hint="eastAsia" w:ascii="仿宋" w:hAnsi="仿宋" w:eastAsia="仿宋" w:cs="仿宋"/>
                <w:sz w:val="21"/>
                <w:szCs w:val="21"/>
              </w:rPr>
            </w:pPr>
          </w:p>
        </w:tc>
        <w:tc>
          <w:tcPr>
            <w:tcW w:w="1965" w:type="dxa"/>
            <w:noWrap w:val="0"/>
            <w:vAlign w:val="center"/>
          </w:tcPr>
          <w:p w14:paraId="61E078AA">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年度预算金额</w:t>
            </w:r>
          </w:p>
        </w:tc>
        <w:tc>
          <w:tcPr>
            <w:tcW w:w="5585" w:type="dxa"/>
            <w:noWrap w:val="0"/>
            <w:vAlign w:val="center"/>
          </w:tcPr>
          <w:p w14:paraId="55603AF7">
            <w:pPr>
              <w:spacing w:line="576" w:lineRule="exact"/>
              <w:ind w:right="880" w:rightChars="419"/>
              <w:jc w:val="center"/>
              <w:rPr>
                <w:rFonts w:hint="eastAsia" w:ascii="仿宋" w:hAnsi="仿宋" w:eastAsia="仿宋" w:cs="仿宋"/>
                <w:sz w:val="21"/>
                <w:szCs w:val="21"/>
                <w:lang w:eastAsia="zh-CN"/>
              </w:rPr>
            </w:pPr>
            <w:r>
              <w:rPr>
                <w:rFonts w:hint="eastAsia" w:ascii="仿宋" w:hAnsi="仿宋" w:eastAsia="仿宋" w:cs="仿宋"/>
                <w:sz w:val="21"/>
                <w:szCs w:val="21"/>
                <w:lang w:val="en-US" w:eastAsia="zh-CN"/>
              </w:rPr>
              <w:t>123</w:t>
            </w:r>
            <w:r>
              <w:rPr>
                <w:rFonts w:hint="eastAsia" w:ascii="仿宋" w:hAnsi="仿宋" w:eastAsia="仿宋" w:cs="仿宋"/>
                <w:sz w:val="21"/>
                <w:szCs w:val="21"/>
                <w:lang w:eastAsia="zh-CN"/>
              </w:rPr>
              <w:t>万元</w:t>
            </w:r>
          </w:p>
        </w:tc>
      </w:tr>
      <w:tr w14:paraId="057ED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1686" w:type="dxa"/>
            <w:vMerge w:val="continue"/>
            <w:noWrap w:val="0"/>
            <w:vAlign w:val="top"/>
          </w:tcPr>
          <w:p w14:paraId="2BDC1499">
            <w:pPr>
              <w:rPr>
                <w:rFonts w:hint="eastAsia" w:ascii="仿宋" w:hAnsi="仿宋" w:eastAsia="仿宋" w:cs="仿宋"/>
                <w:sz w:val="21"/>
                <w:szCs w:val="21"/>
              </w:rPr>
            </w:pPr>
          </w:p>
        </w:tc>
        <w:tc>
          <w:tcPr>
            <w:tcW w:w="1965" w:type="dxa"/>
            <w:noWrap w:val="0"/>
            <w:vAlign w:val="center"/>
          </w:tcPr>
          <w:p w14:paraId="5874E4DF">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项目主管部门</w:t>
            </w:r>
          </w:p>
        </w:tc>
        <w:tc>
          <w:tcPr>
            <w:tcW w:w="5585" w:type="dxa"/>
            <w:noWrap w:val="0"/>
            <w:vAlign w:val="center"/>
          </w:tcPr>
          <w:p w14:paraId="0B56B685">
            <w:pPr>
              <w:spacing w:line="576" w:lineRule="exact"/>
              <w:ind w:right="880" w:rightChars="419"/>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湘潭县农业农村局</w:t>
            </w:r>
          </w:p>
        </w:tc>
      </w:tr>
      <w:tr w14:paraId="16371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686" w:type="dxa"/>
            <w:vMerge w:val="continue"/>
            <w:noWrap w:val="0"/>
            <w:vAlign w:val="top"/>
          </w:tcPr>
          <w:p w14:paraId="535CD203">
            <w:pPr>
              <w:rPr>
                <w:rFonts w:hint="eastAsia" w:ascii="仿宋" w:hAnsi="仿宋" w:eastAsia="仿宋" w:cs="仿宋"/>
                <w:sz w:val="21"/>
                <w:szCs w:val="21"/>
              </w:rPr>
            </w:pPr>
          </w:p>
        </w:tc>
        <w:tc>
          <w:tcPr>
            <w:tcW w:w="1965" w:type="dxa"/>
            <w:noWrap w:val="0"/>
            <w:vAlign w:val="center"/>
          </w:tcPr>
          <w:p w14:paraId="523E7A5B">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项目立项目的</w:t>
            </w:r>
          </w:p>
        </w:tc>
        <w:tc>
          <w:tcPr>
            <w:tcW w:w="5585" w:type="dxa"/>
            <w:noWrap w:val="0"/>
            <w:vAlign w:val="center"/>
          </w:tcPr>
          <w:p w14:paraId="0E760769">
            <w:pPr>
              <w:keepNext w:val="0"/>
              <w:keepLines w:val="0"/>
              <w:pageBreakBefore w:val="0"/>
              <w:widowControl w:val="0"/>
              <w:kinsoku/>
              <w:wordWrap/>
              <w:overflowPunct/>
              <w:topLinePunct w:val="0"/>
              <w:autoSpaceDE/>
              <w:autoSpaceDN/>
              <w:bidi w:val="0"/>
              <w:adjustRightInd/>
              <w:snapToGrid/>
              <w:spacing w:line="360" w:lineRule="exact"/>
              <w:ind w:right="-59" w:rightChars="-28" w:firstLine="420" w:firstLineChars="200"/>
              <w:jc w:val="left"/>
              <w:textAlignment w:val="auto"/>
              <w:rPr>
                <w:rFonts w:hint="eastAsia" w:ascii="仿宋" w:hAnsi="仿宋" w:eastAsia="仿宋" w:cs="仿宋"/>
                <w:sz w:val="21"/>
                <w:szCs w:val="21"/>
              </w:rPr>
            </w:pPr>
            <w:r>
              <w:rPr>
                <w:rFonts w:hint="eastAsia" w:ascii="仿宋" w:hAnsi="仿宋" w:eastAsia="仿宋" w:cs="仿宋"/>
                <w:sz w:val="21"/>
                <w:szCs w:val="21"/>
              </w:rPr>
              <w:t>根据湖南省委办公厅、省政府办公厅《关于从事生产经营活动事业单位改革的实施意见》湘办〔2017〕39号精神和县委常委2020年第28号会议纪要，为保障国有资产的保值增值，坚决</w:t>
            </w:r>
            <w:r>
              <w:rPr>
                <w:rFonts w:hint="eastAsia" w:ascii="仿宋" w:hAnsi="仿宋" w:eastAsia="仿宋" w:cs="仿宋"/>
                <w:sz w:val="21"/>
                <w:szCs w:val="21"/>
                <w:lang w:eastAsia="zh-CN"/>
              </w:rPr>
              <w:t>落实</w:t>
            </w:r>
            <w:r>
              <w:rPr>
                <w:rFonts w:hint="eastAsia" w:ascii="仿宋" w:hAnsi="仿宋" w:eastAsia="仿宋" w:cs="仿宋"/>
                <w:sz w:val="21"/>
                <w:szCs w:val="21"/>
              </w:rPr>
              <w:t>湘潭县经营类事业单位改革工作推进小组关于《湘潭县农业农村局所属湘潭县原种场改革方案》的批复（潭县经事改发〔2020〕9号），确保公司各项工作正常开展，维护社会稳定。　</w:t>
            </w:r>
          </w:p>
        </w:tc>
      </w:tr>
      <w:tr w14:paraId="59F48D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86" w:type="dxa"/>
            <w:vMerge w:val="restart"/>
            <w:noWrap w:val="0"/>
            <w:vAlign w:val="center"/>
          </w:tcPr>
          <w:p w14:paraId="7E963D26">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绩效情况</w:t>
            </w:r>
          </w:p>
        </w:tc>
        <w:tc>
          <w:tcPr>
            <w:tcW w:w="1965" w:type="dxa"/>
            <w:noWrap w:val="0"/>
            <w:vAlign w:val="center"/>
          </w:tcPr>
          <w:p w14:paraId="313DDE7D">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项目支出管理和使用基本情况</w:t>
            </w:r>
          </w:p>
        </w:tc>
        <w:tc>
          <w:tcPr>
            <w:tcW w:w="5585" w:type="dxa"/>
            <w:noWrap w:val="0"/>
            <w:vAlign w:val="center"/>
          </w:tcPr>
          <w:p w14:paraId="505DC752">
            <w:pPr>
              <w:keepNext w:val="0"/>
              <w:keepLines w:val="0"/>
              <w:pageBreakBefore w:val="0"/>
              <w:widowControl w:val="0"/>
              <w:kinsoku/>
              <w:wordWrap/>
              <w:overflowPunct/>
              <w:topLinePunct w:val="0"/>
              <w:autoSpaceDE/>
              <w:autoSpaceDN/>
              <w:bidi w:val="0"/>
              <w:adjustRightInd/>
              <w:snapToGrid/>
              <w:spacing w:line="360" w:lineRule="exact"/>
              <w:ind w:right="-59" w:rightChars="-28"/>
              <w:jc w:val="left"/>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 xml:space="preserve">    2024年项目总支出329.2157万元，其中</w:t>
            </w:r>
            <w:r>
              <w:rPr>
                <w:rFonts w:hint="eastAsia" w:ascii="仿宋" w:hAnsi="仿宋" w:eastAsia="仿宋" w:cs="仿宋"/>
                <w:sz w:val="21"/>
                <w:szCs w:val="21"/>
              </w:rPr>
              <w:t>县级财政预算资金</w:t>
            </w:r>
            <w:r>
              <w:rPr>
                <w:rFonts w:hint="eastAsia" w:ascii="仿宋" w:hAnsi="仿宋" w:eastAsia="仿宋" w:cs="仿宋"/>
                <w:sz w:val="21"/>
                <w:szCs w:val="21"/>
                <w:lang w:eastAsia="zh-CN"/>
              </w:rPr>
              <w:t>安排国有农场改制过渡经费</w:t>
            </w:r>
            <w:r>
              <w:rPr>
                <w:rFonts w:hint="eastAsia" w:ascii="仿宋" w:hAnsi="仿宋" w:eastAsia="仿宋" w:cs="仿宋"/>
                <w:sz w:val="21"/>
                <w:szCs w:val="21"/>
                <w:lang w:val="en-US" w:eastAsia="zh-CN"/>
              </w:rPr>
              <w:t>38.4万元和原种场人员经费84.6万元，</w:t>
            </w:r>
            <w:r>
              <w:rPr>
                <w:rFonts w:hint="eastAsia" w:ascii="仿宋" w:hAnsi="仿宋" w:eastAsia="仿宋" w:cs="仿宋"/>
                <w:sz w:val="21"/>
                <w:szCs w:val="21"/>
                <w:lang w:eastAsia="zh-CN"/>
              </w:rPr>
              <w:t>自筹</w:t>
            </w:r>
            <w:r>
              <w:rPr>
                <w:rFonts w:hint="eastAsia" w:ascii="仿宋" w:hAnsi="仿宋" w:eastAsia="仿宋" w:cs="仿宋"/>
                <w:sz w:val="21"/>
                <w:szCs w:val="21"/>
                <w:lang w:val="en-US" w:eastAsia="zh-CN"/>
              </w:rPr>
              <w:t>206.2157万元。资金</w:t>
            </w:r>
            <w:r>
              <w:rPr>
                <w:rFonts w:hint="eastAsia" w:ascii="仿宋" w:hAnsi="仿宋" w:eastAsia="仿宋" w:cs="仿宋"/>
                <w:sz w:val="21"/>
                <w:szCs w:val="21"/>
              </w:rPr>
              <w:t>主要用于职工社保缴费</w:t>
            </w:r>
            <w:r>
              <w:rPr>
                <w:rFonts w:hint="eastAsia" w:ascii="仿宋" w:hAnsi="仿宋" w:eastAsia="仿宋" w:cs="仿宋"/>
                <w:sz w:val="21"/>
                <w:szCs w:val="21"/>
                <w:lang w:eastAsia="zh-CN"/>
              </w:rPr>
              <w:t>、</w:t>
            </w:r>
            <w:r>
              <w:rPr>
                <w:rFonts w:hint="eastAsia" w:ascii="仿宋" w:hAnsi="仿宋" w:eastAsia="仿宋" w:cs="仿宋"/>
                <w:sz w:val="21"/>
                <w:szCs w:val="21"/>
              </w:rPr>
              <w:t>住房公积金</w:t>
            </w:r>
            <w:r>
              <w:rPr>
                <w:rFonts w:hint="eastAsia" w:ascii="仿宋" w:hAnsi="仿宋" w:eastAsia="仿宋" w:cs="仿宋"/>
                <w:sz w:val="21"/>
                <w:szCs w:val="21"/>
                <w:lang w:eastAsia="zh-CN"/>
              </w:rPr>
              <w:t>、</w:t>
            </w:r>
            <w:r>
              <w:rPr>
                <w:rFonts w:hint="eastAsia" w:ascii="仿宋" w:hAnsi="仿宋" w:eastAsia="仿宋" w:cs="仿宋"/>
                <w:sz w:val="21"/>
                <w:szCs w:val="21"/>
              </w:rPr>
              <w:t>社会职能剥离补贴（防汛抗洪、环境整治等）</w:t>
            </w:r>
            <w:r>
              <w:rPr>
                <w:rFonts w:hint="eastAsia" w:ascii="仿宋" w:hAnsi="仿宋" w:eastAsia="仿宋" w:cs="仿宋"/>
                <w:sz w:val="21"/>
                <w:szCs w:val="21"/>
                <w:lang w:eastAsia="zh-CN"/>
              </w:rPr>
              <w:t>、</w:t>
            </w:r>
            <w:r>
              <w:rPr>
                <w:rFonts w:hint="eastAsia" w:ascii="仿宋" w:hAnsi="仿宋" w:eastAsia="仿宋" w:cs="仿宋"/>
                <w:sz w:val="21"/>
                <w:szCs w:val="21"/>
              </w:rPr>
              <w:t>税费改革水田种植补贴及生产性补助</w:t>
            </w:r>
            <w:r>
              <w:rPr>
                <w:rFonts w:hint="eastAsia" w:ascii="仿宋" w:hAnsi="仿宋" w:eastAsia="仿宋" w:cs="仿宋"/>
                <w:sz w:val="21"/>
                <w:szCs w:val="21"/>
                <w:lang w:eastAsia="zh-CN"/>
              </w:rPr>
              <w:t>、</w:t>
            </w:r>
            <w:r>
              <w:rPr>
                <w:rFonts w:hint="eastAsia" w:ascii="仿宋" w:hAnsi="仿宋" w:eastAsia="仿宋" w:cs="仿宋"/>
                <w:sz w:val="21"/>
                <w:szCs w:val="21"/>
              </w:rPr>
              <w:t>道路房屋等固定资产维修经费</w:t>
            </w:r>
            <w:r>
              <w:rPr>
                <w:rFonts w:hint="eastAsia" w:ascii="仿宋" w:hAnsi="仿宋" w:eastAsia="仿宋" w:cs="仿宋"/>
                <w:sz w:val="21"/>
                <w:szCs w:val="21"/>
                <w:lang w:eastAsia="zh-CN"/>
              </w:rPr>
              <w:t>、</w:t>
            </w:r>
            <w:r>
              <w:rPr>
                <w:rFonts w:hint="eastAsia" w:ascii="仿宋" w:hAnsi="仿宋" w:eastAsia="仿宋" w:cs="仿宋"/>
                <w:sz w:val="21"/>
                <w:szCs w:val="21"/>
              </w:rPr>
              <w:t>维稳工作经费</w:t>
            </w:r>
            <w:r>
              <w:rPr>
                <w:rFonts w:hint="eastAsia" w:ascii="仿宋" w:hAnsi="仿宋" w:eastAsia="仿宋" w:cs="仿宋"/>
                <w:sz w:val="21"/>
                <w:szCs w:val="21"/>
                <w:lang w:eastAsia="zh-CN"/>
              </w:rPr>
              <w:t>、</w:t>
            </w:r>
            <w:r>
              <w:rPr>
                <w:rFonts w:hint="eastAsia" w:ascii="仿宋" w:hAnsi="仿宋" w:eastAsia="仿宋" w:cs="仿宋"/>
                <w:sz w:val="21"/>
                <w:szCs w:val="21"/>
              </w:rPr>
              <w:t>农田灌溉设施设备维护费</w:t>
            </w:r>
            <w:r>
              <w:rPr>
                <w:rFonts w:hint="eastAsia" w:ascii="仿宋" w:hAnsi="仿宋" w:eastAsia="仿宋" w:cs="仿宋"/>
                <w:sz w:val="21"/>
                <w:szCs w:val="21"/>
                <w:lang w:eastAsia="zh-CN"/>
              </w:rPr>
              <w:t>、</w:t>
            </w:r>
            <w:r>
              <w:rPr>
                <w:rFonts w:hint="eastAsia" w:ascii="仿宋" w:hAnsi="仿宋" w:eastAsia="仿宋" w:cs="仿宋"/>
                <w:sz w:val="21"/>
                <w:szCs w:val="21"/>
              </w:rPr>
              <w:t>原种场改制提前离岗人员4个人工资</w:t>
            </w:r>
            <w:r>
              <w:rPr>
                <w:rFonts w:hint="eastAsia" w:ascii="仿宋" w:hAnsi="仿宋" w:eastAsia="仿宋" w:cs="仿宋"/>
                <w:sz w:val="21"/>
                <w:szCs w:val="21"/>
                <w:lang w:eastAsia="zh-CN"/>
              </w:rPr>
              <w:t>等方面</w:t>
            </w:r>
            <w:r>
              <w:rPr>
                <w:rFonts w:hint="eastAsia" w:ascii="仿宋" w:hAnsi="仿宋" w:eastAsia="仿宋" w:cs="仿宋"/>
                <w:sz w:val="21"/>
                <w:szCs w:val="21"/>
              </w:rPr>
              <w:t>。</w:t>
            </w:r>
          </w:p>
        </w:tc>
      </w:tr>
      <w:tr w14:paraId="4EA41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1686" w:type="dxa"/>
            <w:vMerge w:val="continue"/>
            <w:noWrap w:val="0"/>
            <w:vAlign w:val="top"/>
          </w:tcPr>
          <w:p w14:paraId="6331A003">
            <w:pPr>
              <w:rPr>
                <w:rFonts w:hint="eastAsia" w:ascii="仿宋" w:hAnsi="仿宋" w:eastAsia="仿宋" w:cs="仿宋"/>
                <w:sz w:val="21"/>
                <w:szCs w:val="21"/>
              </w:rPr>
            </w:pPr>
          </w:p>
        </w:tc>
        <w:tc>
          <w:tcPr>
            <w:tcW w:w="1965" w:type="dxa"/>
            <w:noWrap w:val="0"/>
            <w:vAlign w:val="center"/>
          </w:tcPr>
          <w:p w14:paraId="16FC44FC">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项目绩效目标完成情况</w:t>
            </w:r>
          </w:p>
        </w:tc>
        <w:tc>
          <w:tcPr>
            <w:tcW w:w="5585" w:type="dxa"/>
            <w:noWrap w:val="0"/>
            <w:vAlign w:val="center"/>
          </w:tcPr>
          <w:p w14:paraId="4277D8DD">
            <w:pPr>
              <w:pStyle w:val="12"/>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Fonts w:hint="eastAsia" w:ascii="仿宋" w:hAnsi="仿宋" w:eastAsia="仿宋" w:cs="仿宋"/>
                <w:sz w:val="21"/>
                <w:szCs w:val="21"/>
                <w:lang w:eastAsia="zh-CN"/>
              </w:rPr>
            </w:pPr>
            <w:r>
              <w:rPr>
                <w:rFonts w:hint="eastAsia" w:ascii="仿宋" w:hAnsi="仿宋" w:eastAsia="仿宋" w:cs="仿宋"/>
                <w:kern w:val="2"/>
                <w:sz w:val="21"/>
                <w:szCs w:val="21"/>
                <w:lang w:val="en-US" w:eastAsia="zh-CN" w:bidi="ar-SA"/>
              </w:rPr>
              <w:t>通过实施改制过渡期经费项目，产出指标、效益指标和满意度指标完成情况较好，各项工作均按计划时间节点完成，资金使用规范，职工满意度较高。</w:t>
            </w:r>
          </w:p>
        </w:tc>
      </w:tr>
      <w:tr w14:paraId="03B45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686" w:type="dxa"/>
            <w:vMerge w:val="restart"/>
            <w:noWrap w:val="0"/>
            <w:vAlign w:val="center"/>
          </w:tcPr>
          <w:p w14:paraId="71E8FD32">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存在的问题分析及改进措施</w:t>
            </w:r>
          </w:p>
        </w:tc>
        <w:tc>
          <w:tcPr>
            <w:tcW w:w="1965" w:type="dxa"/>
            <w:noWrap w:val="0"/>
            <w:vAlign w:val="center"/>
          </w:tcPr>
          <w:p w14:paraId="7EA7B29C">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存在的问题</w:t>
            </w:r>
          </w:p>
        </w:tc>
        <w:tc>
          <w:tcPr>
            <w:tcW w:w="5585" w:type="dxa"/>
            <w:noWrap w:val="0"/>
            <w:vAlign w:val="center"/>
          </w:tcPr>
          <w:p w14:paraId="1B73D73D">
            <w:pPr>
              <w:keepNext w:val="0"/>
              <w:keepLines w:val="0"/>
              <w:pageBreakBefore w:val="0"/>
              <w:widowControl w:val="0"/>
              <w:kinsoku/>
              <w:wordWrap/>
              <w:overflowPunct/>
              <w:topLinePunct w:val="0"/>
              <w:autoSpaceDE/>
              <w:autoSpaceDN/>
              <w:bidi w:val="0"/>
              <w:adjustRightInd/>
              <w:snapToGrid/>
              <w:spacing w:line="360" w:lineRule="exact"/>
              <w:ind w:right="-59" w:rightChars="-28" w:firstLine="420" w:firstLineChars="200"/>
              <w:jc w:val="left"/>
              <w:textAlignment w:val="auto"/>
              <w:rPr>
                <w:rFonts w:hint="eastAsia" w:ascii="仿宋" w:hAnsi="仿宋" w:eastAsia="仿宋" w:cs="仿宋"/>
                <w:sz w:val="21"/>
                <w:szCs w:val="21"/>
              </w:rPr>
            </w:pPr>
            <w:r>
              <w:rPr>
                <w:rFonts w:hint="eastAsia" w:ascii="仿宋" w:hAnsi="仿宋" w:eastAsia="仿宋" w:cs="仿宋"/>
                <w:kern w:val="2"/>
                <w:sz w:val="21"/>
                <w:szCs w:val="21"/>
                <w:lang w:val="en-US" w:eastAsia="zh-CN" w:bidi="ar-SA"/>
              </w:rPr>
              <w:t>农场改制后，公司在资金、技术、市场等方面缺乏配套支持，发展动力不足。</w:t>
            </w:r>
          </w:p>
        </w:tc>
      </w:tr>
      <w:tr w14:paraId="30371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686" w:type="dxa"/>
            <w:vMerge w:val="continue"/>
            <w:noWrap w:val="0"/>
            <w:vAlign w:val="top"/>
          </w:tcPr>
          <w:p w14:paraId="5DE9170D">
            <w:pPr>
              <w:rPr>
                <w:rFonts w:hint="eastAsia" w:ascii="仿宋" w:hAnsi="仿宋" w:eastAsia="仿宋" w:cs="仿宋"/>
                <w:sz w:val="21"/>
                <w:szCs w:val="21"/>
              </w:rPr>
            </w:pPr>
          </w:p>
        </w:tc>
        <w:tc>
          <w:tcPr>
            <w:tcW w:w="1965" w:type="dxa"/>
            <w:noWrap w:val="0"/>
            <w:vAlign w:val="center"/>
          </w:tcPr>
          <w:p w14:paraId="024336FA">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改进措施</w:t>
            </w:r>
          </w:p>
        </w:tc>
        <w:tc>
          <w:tcPr>
            <w:tcW w:w="5585" w:type="dxa"/>
            <w:noWrap w:val="0"/>
            <w:vAlign w:val="center"/>
          </w:tcPr>
          <w:p w14:paraId="625B0FCA">
            <w:pPr>
              <w:spacing w:line="576" w:lineRule="exact"/>
              <w:ind w:right="880" w:rightChars="419"/>
              <w:jc w:val="center"/>
              <w:rPr>
                <w:rFonts w:hint="eastAsia" w:ascii="仿宋" w:hAnsi="仿宋" w:eastAsia="仿宋" w:cs="仿宋"/>
                <w:sz w:val="21"/>
                <w:szCs w:val="21"/>
              </w:rPr>
            </w:pPr>
            <w:r>
              <w:rPr>
                <w:rFonts w:hint="eastAsia" w:ascii="仿宋" w:hAnsi="仿宋" w:eastAsia="仿宋" w:cs="仿宋"/>
                <w:kern w:val="2"/>
                <w:sz w:val="21"/>
                <w:szCs w:val="21"/>
                <w:lang w:val="en-US" w:eastAsia="zh-CN" w:bidi="ar-SA"/>
              </w:rPr>
              <w:t>建议加强后续的扶持政策。</w:t>
            </w:r>
          </w:p>
        </w:tc>
      </w:tr>
      <w:tr w14:paraId="31AF0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atLeast"/>
        </w:trPr>
        <w:tc>
          <w:tcPr>
            <w:tcW w:w="1686" w:type="dxa"/>
            <w:vMerge w:val="continue"/>
            <w:noWrap w:val="0"/>
            <w:vAlign w:val="top"/>
          </w:tcPr>
          <w:p w14:paraId="02EC317E">
            <w:pPr>
              <w:rPr>
                <w:rFonts w:hint="eastAsia" w:ascii="仿宋" w:hAnsi="仿宋" w:eastAsia="仿宋" w:cs="仿宋"/>
                <w:sz w:val="21"/>
                <w:szCs w:val="21"/>
              </w:rPr>
            </w:pPr>
          </w:p>
        </w:tc>
        <w:tc>
          <w:tcPr>
            <w:tcW w:w="1965" w:type="dxa"/>
            <w:noWrap w:val="0"/>
            <w:vAlign w:val="center"/>
          </w:tcPr>
          <w:p w14:paraId="0373C7BA">
            <w:pPr>
              <w:spacing w:line="576" w:lineRule="exact"/>
              <w:jc w:val="center"/>
              <w:rPr>
                <w:rFonts w:hint="eastAsia" w:ascii="仿宋" w:hAnsi="仿宋" w:eastAsia="仿宋" w:cs="仿宋"/>
                <w:sz w:val="21"/>
                <w:szCs w:val="21"/>
              </w:rPr>
            </w:pPr>
            <w:r>
              <w:rPr>
                <w:rFonts w:hint="eastAsia" w:ascii="仿宋" w:hAnsi="仿宋" w:eastAsia="仿宋" w:cs="仿宋"/>
                <w:sz w:val="21"/>
                <w:szCs w:val="21"/>
              </w:rPr>
              <w:t>其他需要说明问题</w:t>
            </w:r>
          </w:p>
        </w:tc>
        <w:tc>
          <w:tcPr>
            <w:tcW w:w="5585" w:type="dxa"/>
            <w:noWrap w:val="0"/>
            <w:vAlign w:val="center"/>
          </w:tcPr>
          <w:p w14:paraId="59F89028">
            <w:pPr>
              <w:spacing w:line="576" w:lineRule="exact"/>
              <w:ind w:right="880" w:rightChars="419"/>
              <w:jc w:val="center"/>
              <w:rPr>
                <w:rFonts w:hint="eastAsia" w:ascii="仿宋" w:hAnsi="仿宋" w:eastAsia="仿宋" w:cs="仿宋"/>
                <w:sz w:val="21"/>
                <w:szCs w:val="21"/>
                <w:lang w:eastAsia="zh-CN"/>
              </w:rPr>
            </w:pPr>
            <w:r>
              <w:rPr>
                <w:rFonts w:hint="eastAsia" w:ascii="仿宋" w:hAnsi="仿宋" w:eastAsia="仿宋" w:cs="仿宋"/>
                <w:sz w:val="21"/>
                <w:szCs w:val="21"/>
                <w:lang w:eastAsia="zh-CN"/>
              </w:rPr>
              <w:t>无</w:t>
            </w:r>
          </w:p>
        </w:tc>
      </w:tr>
    </w:tbl>
    <w:p w14:paraId="5F4E80DD">
      <w:pPr>
        <w:spacing w:line="360" w:lineRule="exact"/>
        <w:jc w:val="left"/>
        <w:rPr>
          <w:rFonts w:ascii="仿宋_GB2312" w:hAnsi="仿宋" w:eastAsia="仿宋_GB2312"/>
          <w:szCs w:val="21"/>
        </w:rPr>
      </w:pPr>
    </w:p>
    <w:p w14:paraId="6DFA0463">
      <w:pPr>
        <w:spacing w:line="360" w:lineRule="exact"/>
        <w:jc w:val="left"/>
        <w:rPr>
          <w:rFonts w:ascii="仿宋_GB2312" w:hAnsi="仿宋" w:eastAsia="仿宋_GB2312"/>
          <w:szCs w:val="21"/>
        </w:rPr>
      </w:pPr>
    </w:p>
    <w:p w14:paraId="26ADE421">
      <w:pPr>
        <w:spacing w:line="360" w:lineRule="exact"/>
        <w:jc w:val="left"/>
        <w:rPr>
          <w:rFonts w:ascii="仿宋_GB2312" w:hAnsi="仿宋" w:eastAsia="仿宋_GB2312"/>
          <w:szCs w:val="21"/>
        </w:rPr>
      </w:pPr>
    </w:p>
    <w:p w14:paraId="7CC9489F">
      <w:pPr>
        <w:spacing w:line="360" w:lineRule="exact"/>
        <w:jc w:val="left"/>
        <w:rPr>
          <w:rFonts w:ascii="仿宋_GB2312" w:hAnsi="仿宋" w:eastAsia="仿宋_GB2312"/>
          <w:szCs w:val="21"/>
        </w:rPr>
      </w:pPr>
    </w:p>
    <w:p w14:paraId="043510D9">
      <w:pPr>
        <w:spacing w:line="360" w:lineRule="exact"/>
        <w:jc w:val="left"/>
        <w:rPr>
          <w:rFonts w:ascii="仿宋_GB2312" w:hAnsi="仿宋" w:eastAsia="仿宋_GB2312"/>
          <w:szCs w:val="21"/>
        </w:rPr>
      </w:pPr>
    </w:p>
    <w:p w14:paraId="582C7552">
      <w:pPr>
        <w:spacing w:line="360" w:lineRule="exact"/>
        <w:jc w:val="left"/>
        <w:rPr>
          <w:rFonts w:ascii="仿宋_GB2312" w:hAnsi="仿宋" w:eastAsia="仿宋_GB2312"/>
          <w:szCs w:val="21"/>
        </w:rPr>
      </w:pPr>
    </w:p>
    <w:p w14:paraId="7B90A8A6">
      <w:pPr>
        <w:spacing w:line="360" w:lineRule="exact"/>
        <w:jc w:val="left"/>
        <w:rPr>
          <w:rFonts w:ascii="仿宋_GB2312" w:hAnsi="仿宋" w:eastAsia="仿宋_GB2312"/>
          <w:szCs w:val="21"/>
        </w:rPr>
      </w:pPr>
    </w:p>
    <w:p w14:paraId="22A1EE08">
      <w:pPr>
        <w:spacing w:line="360" w:lineRule="exact"/>
        <w:jc w:val="left"/>
        <w:rPr>
          <w:rFonts w:ascii="仿宋_GB2312" w:hAnsi="仿宋" w:eastAsia="仿宋_GB2312"/>
          <w:szCs w:val="21"/>
        </w:rPr>
      </w:pPr>
    </w:p>
    <w:p w14:paraId="7BE4B41C">
      <w:pPr>
        <w:widowControl/>
        <w:spacing w:line="576" w:lineRule="exact"/>
        <w:jc w:val="center"/>
        <w:rPr>
          <w:rFonts w:hint="eastAsia" w:ascii="宋体" w:hAnsi="宋体" w:cs="仿宋_GB2312"/>
          <w:b/>
          <w:bCs/>
          <w:color w:val="000000"/>
          <w:kern w:val="0"/>
          <w:sz w:val="36"/>
          <w:szCs w:val="36"/>
          <w:lang w:eastAsia="zh-CN"/>
        </w:rPr>
      </w:pPr>
      <w:r>
        <w:rPr>
          <w:rFonts w:hint="eastAsia" w:ascii="宋体" w:hAnsi="宋体" w:cs="仿宋_GB2312"/>
          <w:b/>
          <w:bCs/>
          <w:color w:val="000000"/>
          <w:kern w:val="0"/>
          <w:sz w:val="36"/>
          <w:szCs w:val="36"/>
        </w:rPr>
        <w:t>项目支出绩效评价报告</w:t>
      </w:r>
      <w:r>
        <w:rPr>
          <w:rFonts w:hint="eastAsia" w:ascii="宋体" w:hAnsi="宋体" w:cs="仿宋_GB2312"/>
          <w:b/>
          <w:bCs/>
          <w:color w:val="000000"/>
          <w:kern w:val="0"/>
          <w:sz w:val="36"/>
          <w:szCs w:val="36"/>
          <w:lang w:eastAsia="zh-CN"/>
        </w:rPr>
        <w:t>公开表</w:t>
      </w:r>
    </w:p>
    <w:tbl>
      <w:tblPr>
        <w:tblStyle w:val="7"/>
        <w:tblW w:w="833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656"/>
        <w:gridCol w:w="5595"/>
      </w:tblGrid>
      <w:tr w14:paraId="5F6644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0CA3BB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部门概况</w:t>
            </w:r>
          </w:p>
        </w:tc>
        <w:tc>
          <w:tcPr>
            <w:tcW w:w="1656" w:type="dxa"/>
            <w:tcBorders>
              <w:top w:val="single" w:color="auto" w:sz="4" w:space="0"/>
              <w:left w:val="nil"/>
              <w:bottom w:val="single" w:color="auto" w:sz="4" w:space="0"/>
              <w:right w:val="single" w:color="auto" w:sz="4" w:space="0"/>
            </w:tcBorders>
            <w:shd w:val="clear" w:color="auto" w:fill="auto"/>
            <w:vAlign w:val="center"/>
          </w:tcPr>
          <w:p w14:paraId="335DA91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专项名称</w:t>
            </w:r>
          </w:p>
        </w:tc>
        <w:tc>
          <w:tcPr>
            <w:tcW w:w="5595" w:type="dxa"/>
            <w:tcBorders>
              <w:top w:val="single" w:color="auto" w:sz="4" w:space="0"/>
              <w:left w:val="nil"/>
              <w:bottom w:val="single" w:color="auto" w:sz="4" w:space="0"/>
              <w:right w:val="single" w:color="auto" w:sz="4" w:space="0"/>
            </w:tcBorders>
            <w:shd w:val="clear" w:color="auto" w:fill="auto"/>
            <w:vAlign w:val="center"/>
          </w:tcPr>
          <w:p w14:paraId="59741D5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粮食生产及旱粮示范片资金</w:t>
            </w:r>
          </w:p>
        </w:tc>
      </w:tr>
      <w:tr w14:paraId="0451C3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ED6802F">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1628148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年度预算金额</w:t>
            </w:r>
          </w:p>
        </w:tc>
        <w:tc>
          <w:tcPr>
            <w:tcW w:w="5595" w:type="dxa"/>
            <w:tcBorders>
              <w:top w:val="nil"/>
              <w:left w:val="nil"/>
              <w:bottom w:val="single" w:color="auto" w:sz="4" w:space="0"/>
              <w:right w:val="single" w:color="auto" w:sz="4" w:space="0"/>
            </w:tcBorders>
            <w:shd w:val="clear" w:color="auto" w:fill="auto"/>
            <w:vAlign w:val="center"/>
          </w:tcPr>
          <w:p w14:paraId="351AC23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300万元</w:t>
            </w:r>
          </w:p>
        </w:tc>
      </w:tr>
      <w:tr w14:paraId="7C22C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F41DF9B">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7028C93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项目主管部门</w:t>
            </w:r>
          </w:p>
        </w:tc>
        <w:tc>
          <w:tcPr>
            <w:tcW w:w="5595" w:type="dxa"/>
            <w:tcBorders>
              <w:top w:val="nil"/>
              <w:left w:val="nil"/>
              <w:bottom w:val="single" w:color="auto" w:sz="4" w:space="0"/>
              <w:right w:val="single" w:color="auto" w:sz="4" w:space="0"/>
            </w:tcBorders>
            <w:shd w:val="clear" w:color="auto" w:fill="auto"/>
            <w:vAlign w:val="center"/>
          </w:tcPr>
          <w:p w14:paraId="4F15238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湘潭县农业农村局</w:t>
            </w:r>
          </w:p>
        </w:tc>
      </w:tr>
      <w:tr w14:paraId="7EAA1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4D8CB8B">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51E8108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项目立项目的</w:t>
            </w:r>
          </w:p>
        </w:tc>
        <w:tc>
          <w:tcPr>
            <w:tcW w:w="5595" w:type="dxa"/>
            <w:tcBorders>
              <w:top w:val="nil"/>
              <w:left w:val="nil"/>
              <w:bottom w:val="single" w:color="auto" w:sz="4" w:space="0"/>
              <w:right w:val="single" w:color="auto" w:sz="4" w:space="0"/>
            </w:tcBorders>
            <w:shd w:val="clear" w:color="auto" w:fill="auto"/>
            <w:vAlign w:val="center"/>
          </w:tcPr>
          <w:p w14:paraId="2FC06598">
            <w:pPr>
              <w:keepNext w:val="0"/>
              <w:keepLines w:val="0"/>
              <w:widowControl/>
              <w:suppressLineNumbers w:val="0"/>
              <w:ind w:firstLine="420" w:firstLineChars="20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根据《中共湘潭县委办公室 湘潭县人民政府办公室印发&lt;关于促进粮食稳面增产的若干措施&gt;的通知》（潭县办【2024】2号）文件精神，确保2024年完成全县粮食面积达到126.5万亩、总产量达到60.32万吨以上的任务目标。</w:t>
            </w:r>
          </w:p>
        </w:tc>
      </w:tr>
      <w:tr w14:paraId="1B659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38"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14:paraId="4EE8877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绩效情况</w:t>
            </w:r>
          </w:p>
        </w:tc>
        <w:tc>
          <w:tcPr>
            <w:tcW w:w="1656" w:type="dxa"/>
            <w:tcBorders>
              <w:top w:val="nil"/>
              <w:left w:val="nil"/>
              <w:bottom w:val="single" w:color="auto" w:sz="4" w:space="0"/>
              <w:right w:val="single" w:color="auto" w:sz="4" w:space="0"/>
            </w:tcBorders>
            <w:shd w:val="clear" w:color="auto" w:fill="auto"/>
            <w:vAlign w:val="center"/>
          </w:tcPr>
          <w:p w14:paraId="7737D805">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项目支出管理和使用基本情况</w:t>
            </w:r>
          </w:p>
        </w:tc>
        <w:tc>
          <w:tcPr>
            <w:tcW w:w="5595" w:type="dxa"/>
            <w:tcBorders>
              <w:top w:val="nil"/>
              <w:left w:val="nil"/>
              <w:bottom w:val="single" w:color="auto" w:sz="4" w:space="0"/>
              <w:right w:val="single" w:color="auto" w:sz="4" w:space="0"/>
            </w:tcBorders>
            <w:shd w:val="clear" w:color="auto" w:fill="auto"/>
            <w:vAlign w:val="center"/>
          </w:tcPr>
          <w:p w14:paraId="1B596B76">
            <w:pPr>
              <w:pStyle w:val="12"/>
              <w:numPr>
                <w:ilvl w:val="0"/>
                <w:numId w:val="0"/>
              </w:numPr>
              <w:spacing w:line="240" w:lineRule="auto"/>
              <w:ind w:firstLine="420" w:firstLineChars="200"/>
              <w:outlineLvl w:val="0"/>
              <w:rPr>
                <w:rFonts w:hint="eastAsia" w:ascii="仿宋" w:hAnsi="仿宋" w:eastAsia="仿宋" w:cs="仿宋"/>
                <w:i w:val="0"/>
                <w:iCs w:val="0"/>
                <w:color w:val="000000"/>
                <w:sz w:val="21"/>
                <w:szCs w:val="21"/>
                <w:u w:val="none"/>
              </w:rPr>
            </w:pPr>
            <w:r>
              <w:rPr>
                <w:rFonts w:hint="eastAsia" w:ascii="仿宋" w:hAnsi="仿宋" w:eastAsia="仿宋" w:cs="仿宋"/>
                <w:sz w:val="21"/>
                <w:szCs w:val="21"/>
                <w:lang w:val="en-US" w:eastAsia="zh-CN"/>
              </w:rPr>
              <w:t>县财政2024年从产粮大县奖励资金中安排我局300万元用于解决粮食生产工作及旱粮高产示范片经费，资金主要用于发展旱粮生产50万元 ，"落实“群众敢首创”推广“春静模式”暨全市粮食安全工作现场会</w:t>
            </w:r>
            <w:r>
              <w:rPr>
                <w:rFonts w:hint="eastAsia" w:ascii="仿宋" w:hAnsi="仿宋" w:eastAsia="仿宋" w:cs="仿宋"/>
                <w:color w:val="auto"/>
                <w:sz w:val="21"/>
                <w:szCs w:val="21"/>
                <w:lang w:val="en-US" w:eastAsia="zh-CN"/>
              </w:rPr>
              <w:t>"15万元，"全市粮安工作现场会机插机抛演示用秧（从河口镇张伟调秧费用）"2万元</w:t>
            </w:r>
            <w:r>
              <w:rPr>
                <w:rFonts w:hint="eastAsia" w:ascii="仿宋" w:hAnsi="仿宋" w:eastAsia="仿宋" w:cs="仿宋"/>
                <w:sz w:val="21"/>
                <w:szCs w:val="21"/>
                <w:lang w:val="en-US" w:eastAsia="zh-CN"/>
              </w:rPr>
              <w:t>，表彰2023年粮食生产先进乡镇12万元、2023年粮食生产先进村21万元、2023年粮食生产先进种粮主体25万元，"鼓励排头乡发展粮食生产（落实市政协“潭事好商量”协商议事决定）"5万元，"白石镇早稻补种费用（从射埠镇、茶恩寺镇调秧费用）"5万元，"2024年粮食补贴面积核查工作经费（乡镇交叉检查工作经费）"34万元，采购2024年种植面积核查第三方技术服务89.5万元，采购集中育秧设施建设项目第三方验收服务3.4万元，"集中育秧设施建设项目县级补贴部分（10%）"38.1万元等支出。目前，已拨付旱粮示范片（北马峰15万、白石农夫10万）资金25万元，落实“群众敢首创”推广“春静模式”暨全市粮食安全工作现场会经费</w:t>
            </w:r>
            <w:r>
              <w:rPr>
                <w:rFonts w:hint="eastAsia" w:ascii="仿宋" w:hAnsi="仿宋" w:eastAsia="仿宋" w:cs="仿宋"/>
                <w:color w:val="auto"/>
                <w:sz w:val="21"/>
                <w:szCs w:val="21"/>
                <w:lang w:val="en-US" w:eastAsia="zh-CN"/>
              </w:rPr>
              <w:t>15万元，全市粮安工作现场会机插机抛演示用秧费用2万</w:t>
            </w:r>
            <w:r>
              <w:rPr>
                <w:rFonts w:hint="eastAsia" w:ascii="仿宋" w:hAnsi="仿宋" w:eastAsia="仿宋" w:cs="仿宋"/>
                <w:sz w:val="21"/>
                <w:szCs w:val="21"/>
                <w:lang w:val="en-US" w:eastAsia="zh-CN"/>
              </w:rPr>
              <w:t>元，表彰2023年粮食生产先进种粮大户奖励资金25万，共计支出67万元，剩余233万元正在办理支付手续，资金暂未支出。</w:t>
            </w:r>
            <w:r>
              <w:rPr>
                <w:rFonts w:hint="eastAsia" w:ascii="仿宋" w:hAnsi="仿宋" w:eastAsia="仿宋" w:cs="仿宋"/>
                <w:i w:val="0"/>
                <w:iCs w:val="0"/>
                <w:color w:val="000000"/>
                <w:kern w:val="0"/>
                <w:sz w:val="21"/>
                <w:szCs w:val="21"/>
                <w:u w:val="none"/>
                <w:lang w:val="en-US" w:eastAsia="zh-CN" w:bidi="ar"/>
              </w:rPr>
              <w:t>　</w:t>
            </w:r>
          </w:p>
        </w:tc>
      </w:tr>
      <w:tr w14:paraId="148AC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1080" w:type="dxa"/>
            <w:vMerge w:val="continue"/>
            <w:tcBorders>
              <w:top w:val="nil"/>
              <w:left w:val="single" w:color="auto" w:sz="4" w:space="0"/>
              <w:bottom w:val="single" w:color="auto" w:sz="4" w:space="0"/>
              <w:right w:val="single" w:color="auto" w:sz="4" w:space="0"/>
            </w:tcBorders>
            <w:shd w:val="clear" w:color="auto" w:fill="auto"/>
            <w:vAlign w:val="center"/>
          </w:tcPr>
          <w:p w14:paraId="63D76597">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1B9FB66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项目绩效目标完成情况</w:t>
            </w:r>
          </w:p>
        </w:tc>
        <w:tc>
          <w:tcPr>
            <w:tcW w:w="5595" w:type="dxa"/>
            <w:tcBorders>
              <w:top w:val="nil"/>
              <w:left w:val="nil"/>
              <w:bottom w:val="single" w:color="auto" w:sz="4" w:space="0"/>
              <w:right w:val="single" w:color="auto" w:sz="4" w:space="0"/>
            </w:tcBorders>
            <w:shd w:val="clear" w:color="auto" w:fill="auto"/>
            <w:vAlign w:val="center"/>
          </w:tcPr>
          <w:p w14:paraId="0F1B1523">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firstLine="420" w:firstLineChars="200"/>
              <w:textAlignment w:val="auto"/>
              <w:rPr>
                <w:rFonts w:hint="default"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1.</w:t>
            </w:r>
            <w:r>
              <w:rPr>
                <w:rFonts w:hint="default" w:ascii="仿宋" w:hAnsi="仿宋" w:eastAsia="仿宋" w:cs="仿宋"/>
                <w:kern w:val="2"/>
                <w:sz w:val="21"/>
                <w:szCs w:val="21"/>
                <w:lang w:val="en-US" w:eastAsia="zh-CN" w:bidi="ar-SA"/>
              </w:rPr>
              <w:t>全年完成粮食播种面积126.78万亩，</w:t>
            </w:r>
            <w:r>
              <w:rPr>
                <w:rFonts w:hint="eastAsia" w:ascii="仿宋" w:hAnsi="仿宋" w:eastAsia="仿宋" w:cs="仿宋"/>
                <w:kern w:val="2"/>
                <w:sz w:val="21"/>
                <w:szCs w:val="21"/>
                <w:lang w:val="en-US" w:eastAsia="zh-CN" w:bidi="ar-SA"/>
              </w:rPr>
              <w:t>建设了10个旱粮生产示范片，</w:t>
            </w:r>
            <w:r>
              <w:rPr>
                <w:rFonts w:hint="default" w:ascii="仿宋" w:hAnsi="仿宋" w:eastAsia="仿宋" w:cs="仿宋"/>
                <w:kern w:val="2"/>
                <w:sz w:val="21"/>
                <w:szCs w:val="21"/>
                <w:lang w:val="en-US" w:eastAsia="zh-CN" w:bidi="ar-SA"/>
              </w:rPr>
              <w:t>基本实现了全县“应种尽种、能粮则粮、能双则双”的既定目标。粮食总产量61.59万吨</w:t>
            </w:r>
            <w:r>
              <w:rPr>
                <w:rFonts w:hint="eastAsia" w:ascii="仿宋" w:hAnsi="仿宋" w:eastAsia="仿宋" w:cs="仿宋"/>
                <w:kern w:val="2"/>
                <w:sz w:val="21"/>
                <w:szCs w:val="21"/>
                <w:lang w:val="en-US" w:eastAsia="zh-CN" w:bidi="ar-SA"/>
              </w:rPr>
              <w:t>，</w:t>
            </w:r>
            <w:r>
              <w:rPr>
                <w:rFonts w:hint="default" w:ascii="仿宋" w:hAnsi="仿宋" w:eastAsia="仿宋" w:cs="仿宋"/>
                <w:kern w:val="2"/>
                <w:sz w:val="21"/>
                <w:szCs w:val="21"/>
                <w:lang w:val="en-US" w:eastAsia="zh-CN" w:bidi="ar-SA"/>
              </w:rPr>
              <w:t>全县粮食平均单产485.83公斤/亩。全县共发展高档优质稻面积28万亩，推广镉低积累水稻面积11.6万亩。经统计局核算夏收油菜26.05万亩，产量2.88万吨；全县油菜冬播面积26.35万亩（含改种补种3.2万亩）。</w:t>
            </w:r>
          </w:p>
          <w:p w14:paraId="65B73541">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firstLine="420" w:firstLineChars="200"/>
              <w:textAlignment w:val="auto"/>
              <w:rPr>
                <w:rFonts w:hint="eastAsia" w:ascii="仿宋" w:hAnsi="仿宋" w:eastAsia="仿宋" w:cs="仿宋"/>
                <w:i w:val="0"/>
                <w:iCs w:val="0"/>
                <w:color w:val="000000"/>
                <w:sz w:val="21"/>
                <w:szCs w:val="21"/>
                <w:u w:val="none"/>
              </w:rPr>
            </w:pPr>
            <w:r>
              <w:rPr>
                <w:rFonts w:hint="eastAsia" w:ascii="仿宋" w:hAnsi="仿宋" w:eastAsia="仿宋" w:cs="仿宋"/>
                <w:kern w:val="2"/>
                <w:sz w:val="21"/>
                <w:szCs w:val="21"/>
                <w:lang w:val="en-US" w:eastAsia="zh-CN" w:bidi="ar-SA"/>
              </w:rPr>
              <w:t>2.根据（潭县粮发〔2024〕1号）《湘潭县发展粮食生产领导小组关于表彰2023年度粮食生产先进单位和先进个人的通报》（潭县粮发〔2024〕1号），表彰2023年粮食生产先进乡镇6个，2万元/个，共12万元；2023年粮食生产先进村21个，1万元/个，共21万元，2023年粮食生产先进种粮主体25个，共25万元。</w:t>
            </w:r>
            <w:r>
              <w:rPr>
                <w:rFonts w:hint="eastAsia" w:ascii="仿宋" w:hAnsi="仿宋" w:eastAsia="仿宋" w:cs="仿宋"/>
                <w:i w:val="0"/>
                <w:iCs w:val="0"/>
                <w:color w:val="000000"/>
                <w:kern w:val="0"/>
                <w:sz w:val="21"/>
                <w:szCs w:val="21"/>
                <w:u w:val="none"/>
                <w:lang w:val="en-US" w:eastAsia="zh-CN" w:bidi="ar"/>
              </w:rPr>
              <w:t>　</w:t>
            </w:r>
          </w:p>
        </w:tc>
      </w:tr>
      <w:tr w14:paraId="1AA08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3D0F18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存在的问题分析及改进措施</w:t>
            </w: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4B948C1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1439F9A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目前因部分项目实施较晚，项目验收拨付手续还在办理中。</w:t>
            </w:r>
          </w:p>
        </w:tc>
      </w:tr>
      <w:tr w14:paraId="29348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DA150AF">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7F8FB87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改进措施</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6CD682A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督促业务部门加快项目的验收，及时办理资金拨付手续。</w:t>
            </w:r>
          </w:p>
        </w:tc>
      </w:tr>
      <w:tr w14:paraId="26212D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DD13B85">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37174AA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其他需要说明问题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4E59417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无。</w:t>
            </w:r>
          </w:p>
        </w:tc>
      </w:tr>
    </w:tbl>
    <w:p w14:paraId="38B36F6F">
      <w:pPr>
        <w:widowControl/>
        <w:spacing w:line="576" w:lineRule="exact"/>
        <w:jc w:val="center"/>
        <w:rPr>
          <w:rFonts w:hint="eastAsia" w:ascii="宋体" w:hAnsi="宋体" w:cs="仿宋_GB2312"/>
          <w:b w:val="0"/>
          <w:bCs w:val="0"/>
          <w:color w:val="000000"/>
          <w:kern w:val="0"/>
          <w:sz w:val="36"/>
          <w:szCs w:val="36"/>
          <w:lang w:eastAsia="zh-CN"/>
        </w:rPr>
      </w:pPr>
    </w:p>
    <w:p w14:paraId="5A993356">
      <w:pPr>
        <w:pStyle w:val="2"/>
        <w:rPr>
          <w:rFonts w:hint="eastAsia" w:ascii="宋体" w:hAnsi="宋体" w:cs="仿宋_GB2312"/>
          <w:b w:val="0"/>
          <w:bCs w:val="0"/>
          <w:color w:val="000000"/>
          <w:kern w:val="0"/>
          <w:sz w:val="36"/>
          <w:szCs w:val="36"/>
          <w:lang w:eastAsia="zh-CN"/>
        </w:rPr>
      </w:pPr>
    </w:p>
    <w:p w14:paraId="4A144D12">
      <w:pPr>
        <w:pStyle w:val="3"/>
        <w:rPr>
          <w:rFonts w:hint="eastAsia" w:ascii="宋体" w:hAnsi="宋体" w:cs="仿宋_GB2312"/>
          <w:b w:val="0"/>
          <w:bCs w:val="0"/>
          <w:color w:val="000000"/>
          <w:kern w:val="0"/>
          <w:sz w:val="36"/>
          <w:szCs w:val="36"/>
          <w:lang w:eastAsia="zh-CN"/>
        </w:rPr>
      </w:pPr>
    </w:p>
    <w:p w14:paraId="7E7ACD5D">
      <w:pPr>
        <w:rPr>
          <w:rFonts w:hint="eastAsia" w:ascii="宋体" w:hAnsi="宋体" w:cs="仿宋_GB2312"/>
          <w:b w:val="0"/>
          <w:bCs w:val="0"/>
          <w:color w:val="000000"/>
          <w:kern w:val="0"/>
          <w:sz w:val="36"/>
          <w:szCs w:val="36"/>
          <w:lang w:eastAsia="zh-CN"/>
        </w:rPr>
      </w:pPr>
    </w:p>
    <w:p w14:paraId="6880CF3E">
      <w:pPr>
        <w:pStyle w:val="2"/>
        <w:rPr>
          <w:rFonts w:hint="eastAsia" w:ascii="宋体" w:hAnsi="宋体" w:cs="仿宋_GB2312"/>
          <w:b w:val="0"/>
          <w:bCs w:val="0"/>
          <w:color w:val="000000"/>
          <w:kern w:val="0"/>
          <w:sz w:val="36"/>
          <w:szCs w:val="36"/>
          <w:lang w:eastAsia="zh-CN"/>
        </w:rPr>
      </w:pPr>
    </w:p>
    <w:p w14:paraId="7FFA7C7A">
      <w:pPr>
        <w:pStyle w:val="3"/>
        <w:rPr>
          <w:rFonts w:hint="eastAsia" w:ascii="宋体" w:hAnsi="宋体" w:cs="仿宋_GB2312"/>
          <w:b w:val="0"/>
          <w:bCs w:val="0"/>
          <w:color w:val="000000"/>
          <w:kern w:val="0"/>
          <w:sz w:val="36"/>
          <w:szCs w:val="36"/>
          <w:lang w:eastAsia="zh-CN"/>
        </w:rPr>
      </w:pPr>
    </w:p>
    <w:p w14:paraId="7DB1B5BC">
      <w:pPr>
        <w:rPr>
          <w:rFonts w:hint="eastAsia" w:ascii="宋体" w:hAnsi="宋体" w:cs="仿宋_GB2312"/>
          <w:b w:val="0"/>
          <w:bCs w:val="0"/>
          <w:color w:val="000000"/>
          <w:kern w:val="0"/>
          <w:sz w:val="36"/>
          <w:szCs w:val="36"/>
          <w:lang w:eastAsia="zh-CN"/>
        </w:rPr>
      </w:pPr>
    </w:p>
    <w:p w14:paraId="1C8F0C17">
      <w:pPr>
        <w:pStyle w:val="2"/>
        <w:rPr>
          <w:rFonts w:hint="eastAsia" w:ascii="宋体" w:hAnsi="宋体" w:cs="仿宋_GB2312"/>
          <w:b w:val="0"/>
          <w:bCs w:val="0"/>
          <w:color w:val="000000"/>
          <w:kern w:val="0"/>
          <w:sz w:val="36"/>
          <w:szCs w:val="36"/>
          <w:lang w:eastAsia="zh-CN"/>
        </w:rPr>
      </w:pPr>
    </w:p>
    <w:p w14:paraId="5CE27974">
      <w:pPr>
        <w:pStyle w:val="3"/>
        <w:rPr>
          <w:rFonts w:hint="eastAsia" w:ascii="宋体" w:hAnsi="宋体" w:cs="仿宋_GB2312"/>
          <w:b w:val="0"/>
          <w:bCs w:val="0"/>
          <w:color w:val="000000"/>
          <w:kern w:val="0"/>
          <w:sz w:val="36"/>
          <w:szCs w:val="36"/>
          <w:lang w:eastAsia="zh-CN"/>
        </w:rPr>
      </w:pPr>
    </w:p>
    <w:p w14:paraId="68DBD22D">
      <w:pPr>
        <w:rPr>
          <w:rFonts w:hint="eastAsia" w:ascii="宋体" w:hAnsi="宋体" w:cs="仿宋_GB2312"/>
          <w:b w:val="0"/>
          <w:bCs w:val="0"/>
          <w:color w:val="000000"/>
          <w:kern w:val="0"/>
          <w:sz w:val="36"/>
          <w:szCs w:val="36"/>
          <w:lang w:eastAsia="zh-CN"/>
        </w:rPr>
      </w:pPr>
    </w:p>
    <w:p w14:paraId="6CE5F5B3">
      <w:pPr>
        <w:pStyle w:val="2"/>
        <w:rPr>
          <w:rFonts w:hint="eastAsia" w:ascii="宋体" w:hAnsi="宋体" w:cs="仿宋_GB2312"/>
          <w:b w:val="0"/>
          <w:bCs w:val="0"/>
          <w:color w:val="000000"/>
          <w:kern w:val="0"/>
          <w:sz w:val="36"/>
          <w:szCs w:val="36"/>
          <w:lang w:eastAsia="zh-CN"/>
        </w:rPr>
      </w:pPr>
    </w:p>
    <w:p w14:paraId="00165A59">
      <w:pPr>
        <w:pStyle w:val="3"/>
        <w:rPr>
          <w:rFonts w:hint="eastAsia" w:ascii="宋体" w:hAnsi="宋体" w:cs="仿宋_GB2312"/>
          <w:b w:val="0"/>
          <w:bCs w:val="0"/>
          <w:color w:val="000000"/>
          <w:kern w:val="0"/>
          <w:sz w:val="36"/>
          <w:szCs w:val="36"/>
          <w:lang w:eastAsia="zh-CN"/>
        </w:rPr>
      </w:pPr>
    </w:p>
    <w:p w14:paraId="4AB43492">
      <w:pPr>
        <w:rPr>
          <w:rFonts w:hint="eastAsia" w:ascii="宋体" w:hAnsi="宋体" w:cs="仿宋_GB2312"/>
          <w:b w:val="0"/>
          <w:bCs w:val="0"/>
          <w:color w:val="000000"/>
          <w:kern w:val="0"/>
          <w:sz w:val="36"/>
          <w:szCs w:val="36"/>
          <w:lang w:eastAsia="zh-CN"/>
        </w:rPr>
      </w:pPr>
    </w:p>
    <w:p w14:paraId="74431F97">
      <w:pPr>
        <w:pStyle w:val="2"/>
        <w:rPr>
          <w:rFonts w:hint="eastAsia" w:ascii="宋体" w:hAnsi="宋体" w:cs="仿宋_GB2312"/>
          <w:b w:val="0"/>
          <w:bCs w:val="0"/>
          <w:color w:val="000000"/>
          <w:kern w:val="0"/>
          <w:sz w:val="36"/>
          <w:szCs w:val="36"/>
          <w:lang w:eastAsia="zh-CN"/>
        </w:rPr>
      </w:pPr>
    </w:p>
    <w:p w14:paraId="613E2DEC">
      <w:pPr>
        <w:pStyle w:val="3"/>
        <w:rPr>
          <w:rFonts w:hint="eastAsia" w:ascii="宋体" w:hAnsi="宋体" w:cs="仿宋_GB2312"/>
          <w:b w:val="0"/>
          <w:bCs w:val="0"/>
          <w:color w:val="000000"/>
          <w:kern w:val="0"/>
          <w:sz w:val="36"/>
          <w:szCs w:val="36"/>
          <w:lang w:eastAsia="zh-CN"/>
        </w:rPr>
      </w:pPr>
    </w:p>
    <w:p w14:paraId="34C90AA8">
      <w:pPr>
        <w:rPr>
          <w:rFonts w:hint="eastAsia" w:ascii="宋体" w:hAnsi="宋体" w:cs="仿宋_GB2312"/>
          <w:b w:val="0"/>
          <w:bCs w:val="0"/>
          <w:color w:val="000000"/>
          <w:kern w:val="0"/>
          <w:sz w:val="36"/>
          <w:szCs w:val="36"/>
          <w:lang w:eastAsia="zh-CN"/>
        </w:rPr>
      </w:pPr>
    </w:p>
    <w:p w14:paraId="64695C40">
      <w:pPr>
        <w:pStyle w:val="2"/>
        <w:rPr>
          <w:rFonts w:hint="eastAsia" w:ascii="宋体" w:hAnsi="宋体" w:cs="仿宋_GB2312"/>
          <w:b w:val="0"/>
          <w:bCs w:val="0"/>
          <w:color w:val="000000"/>
          <w:kern w:val="0"/>
          <w:sz w:val="36"/>
          <w:szCs w:val="36"/>
          <w:lang w:eastAsia="zh-CN"/>
        </w:rPr>
      </w:pPr>
    </w:p>
    <w:p w14:paraId="07206622">
      <w:pPr>
        <w:pStyle w:val="3"/>
        <w:rPr>
          <w:rFonts w:hint="eastAsia" w:ascii="宋体" w:hAnsi="宋体" w:cs="仿宋_GB2312"/>
          <w:b w:val="0"/>
          <w:bCs w:val="0"/>
          <w:color w:val="000000"/>
          <w:kern w:val="0"/>
          <w:sz w:val="36"/>
          <w:szCs w:val="36"/>
          <w:lang w:eastAsia="zh-CN"/>
        </w:rPr>
      </w:pPr>
    </w:p>
    <w:p w14:paraId="43F23FBE">
      <w:pPr>
        <w:spacing w:line="576" w:lineRule="exact"/>
        <w:jc w:val="center"/>
        <w:rPr>
          <w:rFonts w:hint="eastAsia" w:ascii="方正小标宋_GBK" w:eastAsia="方正小标宋_GBK" w:cs="方正小标宋_GBK"/>
          <w:sz w:val="36"/>
          <w:szCs w:val="36"/>
          <w:u w:val="single"/>
          <w:lang w:eastAsia="zh-CN"/>
        </w:rPr>
      </w:pPr>
      <w:r>
        <w:rPr>
          <w:rFonts w:hint="eastAsia" w:ascii="方正小标宋_GBK" w:eastAsia="方正小标宋_GBK" w:cs="方正小标宋_GBK"/>
          <w:bCs/>
          <w:sz w:val="36"/>
          <w:szCs w:val="36"/>
        </w:rPr>
        <w:t>项目支出绩效评价报告</w:t>
      </w:r>
      <w:r>
        <w:rPr>
          <w:rFonts w:hint="eastAsia" w:ascii="方正小标宋_GBK" w:eastAsia="方正小标宋_GBK" w:cs="方正小标宋_GBK"/>
          <w:bCs/>
          <w:sz w:val="36"/>
          <w:szCs w:val="36"/>
          <w:lang w:eastAsia="zh-CN"/>
        </w:rPr>
        <w:t>公开表</w:t>
      </w:r>
    </w:p>
    <w:tbl>
      <w:tblPr>
        <w:tblStyle w:val="7"/>
        <w:tblW w:w="833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656"/>
        <w:gridCol w:w="5595"/>
      </w:tblGrid>
      <w:tr w14:paraId="295DD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A19837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部门概况</w:t>
            </w:r>
          </w:p>
        </w:tc>
        <w:tc>
          <w:tcPr>
            <w:tcW w:w="1656" w:type="dxa"/>
            <w:tcBorders>
              <w:top w:val="single" w:color="auto" w:sz="4" w:space="0"/>
              <w:left w:val="nil"/>
              <w:bottom w:val="single" w:color="auto" w:sz="4" w:space="0"/>
              <w:right w:val="single" w:color="auto" w:sz="4" w:space="0"/>
            </w:tcBorders>
            <w:shd w:val="clear" w:color="auto" w:fill="auto"/>
            <w:vAlign w:val="center"/>
          </w:tcPr>
          <w:p w14:paraId="654FE36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专项名称</w:t>
            </w:r>
          </w:p>
        </w:tc>
        <w:tc>
          <w:tcPr>
            <w:tcW w:w="5595" w:type="dxa"/>
            <w:tcBorders>
              <w:top w:val="single" w:color="auto" w:sz="4" w:space="0"/>
              <w:left w:val="nil"/>
              <w:bottom w:val="single" w:color="auto" w:sz="4" w:space="0"/>
              <w:right w:val="single" w:color="auto" w:sz="4" w:space="0"/>
            </w:tcBorders>
            <w:shd w:val="clear" w:color="auto" w:fill="auto"/>
            <w:vAlign w:val="center"/>
          </w:tcPr>
          <w:p w14:paraId="5F9AEB1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秸秆打捆机补助 </w:t>
            </w:r>
          </w:p>
        </w:tc>
      </w:tr>
      <w:tr w14:paraId="517CD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E5D9CEF">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428CC66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年度预算金额</w:t>
            </w:r>
          </w:p>
        </w:tc>
        <w:tc>
          <w:tcPr>
            <w:tcW w:w="5595" w:type="dxa"/>
            <w:tcBorders>
              <w:top w:val="nil"/>
              <w:left w:val="nil"/>
              <w:bottom w:val="single" w:color="auto" w:sz="4" w:space="0"/>
              <w:right w:val="single" w:color="auto" w:sz="4" w:space="0"/>
            </w:tcBorders>
            <w:shd w:val="clear" w:color="auto" w:fill="auto"/>
            <w:vAlign w:val="center"/>
          </w:tcPr>
          <w:p w14:paraId="5A57C85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 xml:space="preserve"> 557.592万元</w:t>
            </w:r>
          </w:p>
        </w:tc>
      </w:tr>
      <w:tr w14:paraId="152FB7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31C84E8">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4D4225C6">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项目主管部门</w:t>
            </w:r>
          </w:p>
        </w:tc>
        <w:tc>
          <w:tcPr>
            <w:tcW w:w="5595" w:type="dxa"/>
            <w:tcBorders>
              <w:top w:val="nil"/>
              <w:left w:val="nil"/>
              <w:bottom w:val="single" w:color="auto" w:sz="4" w:space="0"/>
              <w:right w:val="single" w:color="auto" w:sz="4" w:space="0"/>
            </w:tcBorders>
            <w:shd w:val="clear" w:color="auto" w:fill="auto"/>
            <w:vAlign w:val="center"/>
          </w:tcPr>
          <w:p w14:paraId="48D0C1D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湘潭县农业农村局</w:t>
            </w:r>
          </w:p>
        </w:tc>
      </w:tr>
      <w:tr w14:paraId="35CA7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62"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1DBA84A">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31D072F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项目立项目的</w:t>
            </w:r>
          </w:p>
        </w:tc>
        <w:tc>
          <w:tcPr>
            <w:tcW w:w="5595" w:type="dxa"/>
            <w:tcBorders>
              <w:top w:val="nil"/>
              <w:left w:val="nil"/>
              <w:bottom w:val="single" w:color="auto" w:sz="4" w:space="0"/>
              <w:right w:val="single" w:color="auto" w:sz="4" w:space="0"/>
            </w:tcBorders>
            <w:shd w:val="clear" w:color="auto" w:fill="auto"/>
            <w:vAlign w:val="center"/>
          </w:tcPr>
          <w:p w14:paraId="74163913">
            <w:pPr>
              <w:keepNext w:val="0"/>
              <w:keepLines w:val="0"/>
              <w:widowControl/>
              <w:suppressLineNumbers w:val="0"/>
              <w:ind w:firstLine="420" w:firstLineChars="200"/>
              <w:jc w:val="left"/>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2"/>
                <w:sz w:val="21"/>
                <w:szCs w:val="21"/>
                <w:u w:val="none"/>
                <w:lang w:val="en-US" w:eastAsia="zh-CN" w:bidi="ar-SA"/>
              </w:rPr>
              <w:t>根据《2024年农作物秸秆综合利用重点县项目实施方案》（潭县农组发【2024】4号）和2024年6月14日王利县长组织召开的全县秸秆综合利用工作推进会会议精神，下达各乡镇2024年推广秸秆打捆机任务160台，力争完成200台，并对购机农户按照发票金额扣除购机补贴后的剩余金额40%进行县级补贴。</w:t>
            </w:r>
          </w:p>
        </w:tc>
      </w:tr>
      <w:tr w14:paraId="56709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3"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14:paraId="06377E3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绩效情况</w:t>
            </w:r>
          </w:p>
        </w:tc>
        <w:tc>
          <w:tcPr>
            <w:tcW w:w="1656" w:type="dxa"/>
            <w:tcBorders>
              <w:top w:val="nil"/>
              <w:left w:val="nil"/>
              <w:bottom w:val="single" w:color="auto" w:sz="4" w:space="0"/>
              <w:right w:val="single" w:color="auto" w:sz="4" w:space="0"/>
            </w:tcBorders>
            <w:shd w:val="clear" w:color="auto" w:fill="auto"/>
            <w:vAlign w:val="center"/>
          </w:tcPr>
          <w:p w14:paraId="589A4E79">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项目支出管理和使用基本情况</w:t>
            </w:r>
          </w:p>
        </w:tc>
        <w:tc>
          <w:tcPr>
            <w:tcW w:w="5595" w:type="dxa"/>
            <w:tcBorders>
              <w:top w:val="nil"/>
              <w:left w:val="nil"/>
              <w:bottom w:val="single" w:color="auto" w:sz="4" w:space="0"/>
              <w:right w:val="single" w:color="auto" w:sz="4" w:space="0"/>
            </w:tcBorders>
            <w:shd w:val="clear" w:color="auto" w:fill="auto"/>
            <w:vAlign w:val="center"/>
          </w:tcPr>
          <w:p w14:paraId="60EB9D68">
            <w:pPr>
              <w:pStyle w:val="12"/>
              <w:numPr>
                <w:ilvl w:val="0"/>
                <w:numId w:val="0"/>
              </w:numPr>
              <w:spacing w:line="240" w:lineRule="auto"/>
              <w:ind w:firstLine="420" w:firstLineChars="200"/>
              <w:outlineLvl w:val="0"/>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val="en-US" w:eastAsia="zh-CN"/>
              </w:rPr>
              <w:t>2024年8月15日我局向县人民政府报告同意拨付农户购置的206台秸秆打捆机购机补贴共计557.792万元，其中县级财政预算资金457.792万元，上级重金属治理项目结余资金中安排100万元。目前项目资金已全部拨付到位，资金无结余。</w:t>
            </w:r>
          </w:p>
        </w:tc>
      </w:tr>
      <w:tr w14:paraId="3FFCF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1080" w:type="dxa"/>
            <w:vMerge w:val="continue"/>
            <w:tcBorders>
              <w:top w:val="nil"/>
              <w:left w:val="single" w:color="auto" w:sz="4" w:space="0"/>
              <w:bottom w:val="single" w:color="auto" w:sz="4" w:space="0"/>
              <w:right w:val="single" w:color="auto" w:sz="4" w:space="0"/>
            </w:tcBorders>
            <w:shd w:val="clear" w:color="auto" w:fill="auto"/>
            <w:vAlign w:val="center"/>
          </w:tcPr>
          <w:p w14:paraId="24317DB8">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1C36D23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项目绩效目标完成情况</w:t>
            </w:r>
          </w:p>
        </w:tc>
        <w:tc>
          <w:tcPr>
            <w:tcW w:w="5595" w:type="dxa"/>
            <w:tcBorders>
              <w:top w:val="nil"/>
              <w:left w:val="nil"/>
              <w:bottom w:val="single" w:color="auto" w:sz="4" w:space="0"/>
              <w:right w:val="single" w:color="auto" w:sz="4" w:space="0"/>
            </w:tcBorders>
            <w:shd w:val="clear" w:color="auto" w:fill="auto"/>
            <w:vAlign w:val="center"/>
          </w:tcPr>
          <w:p w14:paraId="33A23C65">
            <w:pPr>
              <w:keepNext w:val="0"/>
              <w:keepLines w:val="0"/>
              <w:pageBreakBefore w:val="0"/>
              <w:numPr>
                <w:ilvl w:val="0"/>
                <w:numId w:val="0"/>
              </w:numPr>
              <w:kinsoku/>
              <w:wordWrap/>
              <w:overflowPunct/>
              <w:topLinePunct w:val="0"/>
              <w:autoSpaceDE/>
              <w:autoSpaceDN/>
              <w:bidi w:val="0"/>
              <w:adjustRightInd/>
              <w:snapToGrid/>
              <w:spacing w:line="240" w:lineRule="auto"/>
              <w:ind w:right="0" w:rightChars="0" w:firstLine="420" w:firstLineChars="200"/>
              <w:textAlignment w:val="auto"/>
              <w:rPr>
                <w:rFonts w:hint="default" w:ascii="仿宋" w:hAnsi="仿宋" w:eastAsia="仿宋" w:cs="仿宋"/>
                <w:i w:val="0"/>
                <w:iCs w:val="0"/>
                <w:color w:val="000000"/>
                <w:sz w:val="21"/>
                <w:szCs w:val="21"/>
                <w:u w:val="none"/>
                <w:lang w:val="en-US" w:eastAsia="zh-CN"/>
              </w:rPr>
            </w:pPr>
            <w:r>
              <w:rPr>
                <w:rFonts w:hint="eastAsia" w:ascii="仿宋" w:hAnsi="仿宋" w:eastAsia="仿宋" w:cs="仿宋"/>
                <w:i w:val="0"/>
                <w:iCs w:val="0"/>
                <w:color w:val="000000"/>
                <w:sz w:val="21"/>
                <w:szCs w:val="21"/>
                <w:u w:val="none"/>
                <w:lang w:eastAsia="zh-CN"/>
              </w:rPr>
              <w:t>完成</w:t>
            </w:r>
            <w:r>
              <w:rPr>
                <w:rFonts w:hint="eastAsia" w:ascii="仿宋" w:hAnsi="仿宋" w:eastAsia="仿宋" w:cs="仿宋"/>
                <w:i w:val="0"/>
                <w:iCs w:val="0"/>
                <w:color w:val="000000"/>
                <w:sz w:val="21"/>
                <w:szCs w:val="21"/>
                <w:u w:val="none"/>
                <w:lang w:val="en-US" w:eastAsia="zh-CN"/>
              </w:rPr>
              <w:t>2024年秸秆打捆机购机任务206台，全县秸秆综合利用率达到 90%以上，秸秆离田利用量6万吨以上。</w:t>
            </w:r>
          </w:p>
        </w:tc>
      </w:tr>
      <w:tr w14:paraId="2E53F4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084C40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存在的问题分析及改进措施</w:t>
            </w: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35A7A71F">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50D8B465">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无</w:t>
            </w:r>
          </w:p>
        </w:tc>
      </w:tr>
      <w:tr w14:paraId="2B83B5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88E211F">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59D1DE5A">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改进措施</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06608F34">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无</w:t>
            </w:r>
          </w:p>
        </w:tc>
      </w:tr>
      <w:tr w14:paraId="0DCE95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55E5E72">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1D5A1C24">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其他需要说明问题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4C727A5D">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无</w:t>
            </w:r>
          </w:p>
        </w:tc>
      </w:tr>
    </w:tbl>
    <w:p w14:paraId="16ED6EC5">
      <w:pPr>
        <w:pStyle w:val="3"/>
        <w:rPr>
          <w:rFonts w:hint="eastAsia"/>
          <w:lang w:eastAsia="zh-CN"/>
        </w:rPr>
      </w:pPr>
    </w:p>
    <w:p w14:paraId="68075781">
      <w:pPr>
        <w:rPr>
          <w:rFonts w:hint="eastAsia"/>
          <w:lang w:eastAsia="zh-CN"/>
        </w:rPr>
      </w:pPr>
    </w:p>
    <w:p w14:paraId="492CB105">
      <w:pPr>
        <w:pStyle w:val="2"/>
        <w:rPr>
          <w:rFonts w:hint="eastAsia"/>
          <w:lang w:eastAsia="zh-CN"/>
        </w:rPr>
      </w:pPr>
    </w:p>
    <w:p w14:paraId="0F82D19F">
      <w:pPr>
        <w:pStyle w:val="3"/>
        <w:rPr>
          <w:rFonts w:hint="eastAsia"/>
          <w:lang w:eastAsia="zh-CN"/>
        </w:rPr>
      </w:pPr>
    </w:p>
    <w:p w14:paraId="66087315">
      <w:pPr>
        <w:rPr>
          <w:rFonts w:hint="eastAsia"/>
          <w:lang w:eastAsia="zh-CN"/>
        </w:rPr>
      </w:pPr>
    </w:p>
    <w:p w14:paraId="2F24297F">
      <w:pPr>
        <w:pStyle w:val="2"/>
        <w:rPr>
          <w:rFonts w:hint="eastAsia"/>
          <w:lang w:eastAsia="zh-CN"/>
        </w:rPr>
      </w:pPr>
    </w:p>
    <w:p w14:paraId="76226F36">
      <w:pPr>
        <w:rPr>
          <w:rFonts w:hint="eastAsia"/>
          <w:lang w:eastAsia="zh-CN"/>
        </w:rPr>
      </w:pPr>
    </w:p>
    <w:p w14:paraId="67B837AD">
      <w:pPr>
        <w:pStyle w:val="2"/>
        <w:rPr>
          <w:rFonts w:hint="eastAsia"/>
          <w:lang w:eastAsia="zh-CN"/>
        </w:rPr>
      </w:pPr>
    </w:p>
    <w:p w14:paraId="00ACD836">
      <w:pPr>
        <w:pStyle w:val="3"/>
        <w:rPr>
          <w:rFonts w:hint="eastAsia"/>
          <w:lang w:eastAsia="zh-CN"/>
        </w:rPr>
      </w:pPr>
    </w:p>
    <w:p w14:paraId="1EEF2E4F">
      <w:pPr>
        <w:pStyle w:val="2"/>
        <w:rPr>
          <w:rFonts w:hint="eastAsia"/>
          <w:lang w:eastAsia="zh-CN"/>
        </w:rPr>
      </w:pPr>
    </w:p>
    <w:p w14:paraId="4B4E402C">
      <w:pPr>
        <w:spacing w:line="576" w:lineRule="exact"/>
        <w:jc w:val="center"/>
        <w:rPr>
          <w:rFonts w:hint="eastAsia" w:ascii="方正小标宋_GBK" w:eastAsia="方正小标宋_GBK" w:cs="方正小标宋_GBK"/>
          <w:sz w:val="36"/>
          <w:szCs w:val="36"/>
          <w:u w:val="single"/>
          <w:lang w:eastAsia="zh-CN"/>
        </w:rPr>
      </w:pPr>
      <w:r>
        <w:rPr>
          <w:rFonts w:hint="eastAsia" w:ascii="方正小标宋_GBK" w:eastAsia="方正小标宋_GBK" w:cs="方正小标宋_GBK"/>
          <w:bCs/>
          <w:sz w:val="36"/>
          <w:szCs w:val="36"/>
        </w:rPr>
        <w:t>项目支出绩效评价报告</w:t>
      </w:r>
      <w:r>
        <w:rPr>
          <w:rFonts w:hint="eastAsia" w:ascii="方正小标宋_GBK" w:eastAsia="方正小标宋_GBK" w:cs="方正小标宋_GBK"/>
          <w:bCs/>
          <w:sz w:val="36"/>
          <w:szCs w:val="36"/>
          <w:lang w:eastAsia="zh-CN"/>
        </w:rPr>
        <w:t>公开表</w:t>
      </w:r>
    </w:p>
    <w:tbl>
      <w:tblPr>
        <w:tblStyle w:val="7"/>
        <w:tblW w:w="833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1656"/>
        <w:gridCol w:w="5595"/>
      </w:tblGrid>
      <w:tr w14:paraId="4DDC4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C0E48F1">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部门概况</w:t>
            </w:r>
          </w:p>
        </w:tc>
        <w:tc>
          <w:tcPr>
            <w:tcW w:w="1656" w:type="dxa"/>
            <w:tcBorders>
              <w:top w:val="single" w:color="auto" w:sz="4" w:space="0"/>
              <w:left w:val="nil"/>
              <w:bottom w:val="single" w:color="auto" w:sz="4" w:space="0"/>
              <w:right w:val="single" w:color="auto" w:sz="4" w:space="0"/>
            </w:tcBorders>
            <w:shd w:val="clear" w:color="auto" w:fill="auto"/>
            <w:vAlign w:val="center"/>
          </w:tcPr>
          <w:p w14:paraId="4704F90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专项名称</w:t>
            </w:r>
          </w:p>
        </w:tc>
        <w:tc>
          <w:tcPr>
            <w:tcW w:w="5595" w:type="dxa"/>
            <w:tcBorders>
              <w:top w:val="single" w:color="auto" w:sz="4" w:space="0"/>
              <w:left w:val="nil"/>
              <w:bottom w:val="single" w:color="auto" w:sz="4" w:space="0"/>
              <w:right w:val="single" w:color="auto" w:sz="4" w:space="0"/>
            </w:tcBorders>
            <w:shd w:val="clear" w:color="auto" w:fill="auto"/>
            <w:vAlign w:val="center"/>
          </w:tcPr>
          <w:p w14:paraId="6D5565C5">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湘潭县禁养区退养补偿资金及相关经费 </w:t>
            </w:r>
          </w:p>
        </w:tc>
      </w:tr>
      <w:tr w14:paraId="065E72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65B1AA7">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7AB01A97">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年度预算金额</w:t>
            </w:r>
          </w:p>
        </w:tc>
        <w:tc>
          <w:tcPr>
            <w:tcW w:w="5595" w:type="dxa"/>
            <w:tcBorders>
              <w:top w:val="nil"/>
              <w:left w:val="nil"/>
              <w:bottom w:val="single" w:color="auto" w:sz="4" w:space="0"/>
              <w:right w:val="single" w:color="auto" w:sz="4" w:space="0"/>
            </w:tcBorders>
            <w:shd w:val="clear" w:color="auto" w:fill="auto"/>
            <w:vAlign w:val="center"/>
          </w:tcPr>
          <w:p w14:paraId="41E9FBB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 xml:space="preserve"> 287.5万元</w:t>
            </w:r>
          </w:p>
        </w:tc>
      </w:tr>
      <w:tr w14:paraId="39EAD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24F9344C">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2909C18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项目主管部门</w:t>
            </w:r>
          </w:p>
        </w:tc>
        <w:tc>
          <w:tcPr>
            <w:tcW w:w="5595" w:type="dxa"/>
            <w:tcBorders>
              <w:top w:val="nil"/>
              <w:left w:val="nil"/>
              <w:bottom w:val="single" w:color="auto" w:sz="4" w:space="0"/>
              <w:right w:val="single" w:color="auto" w:sz="4" w:space="0"/>
            </w:tcBorders>
            <w:shd w:val="clear" w:color="auto" w:fill="auto"/>
            <w:vAlign w:val="center"/>
          </w:tcPr>
          <w:p w14:paraId="1DEDA97C">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湘潭县农业农村局</w:t>
            </w:r>
          </w:p>
        </w:tc>
      </w:tr>
      <w:tr w14:paraId="2F5CDD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57"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684C8E08">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5B2C920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项目立项目的</w:t>
            </w:r>
          </w:p>
        </w:tc>
        <w:tc>
          <w:tcPr>
            <w:tcW w:w="5595" w:type="dxa"/>
            <w:tcBorders>
              <w:top w:val="nil"/>
              <w:left w:val="nil"/>
              <w:bottom w:val="single" w:color="auto" w:sz="4" w:space="0"/>
              <w:right w:val="single" w:color="auto" w:sz="4" w:space="0"/>
            </w:tcBorders>
            <w:shd w:val="clear" w:color="auto" w:fill="auto"/>
            <w:vAlign w:val="center"/>
          </w:tcPr>
          <w:p w14:paraId="3A7A8AD1">
            <w:pPr>
              <w:keepNext w:val="0"/>
              <w:keepLines w:val="0"/>
              <w:widowControl/>
              <w:suppressLineNumbers w:val="0"/>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根据《中华共和国畜牧法》《中华共和国污染防治法》《畜禽规模养殖污染防治条例》《湖南省政府办公厅关于印发《湖南省畜禽规模养殖污染防治规定的通知》（湘政办发〔2022〕46 号） 以及《湘潭县政府关于调整湘潭县畜禽规模养殖区域布局的通告》（潭县政通〔2024〕1号） 要求实施本项目。</w:t>
            </w:r>
          </w:p>
        </w:tc>
      </w:tr>
      <w:tr w14:paraId="540562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8" w:hRule="atLeast"/>
        </w:trPr>
        <w:tc>
          <w:tcPr>
            <w:tcW w:w="1080" w:type="dxa"/>
            <w:vMerge w:val="restart"/>
            <w:tcBorders>
              <w:top w:val="nil"/>
              <w:left w:val="single" w:color="auto" w:sz="4" w:space="0"/>
              <w:bottom w:val="single" w:color="auto" w:sz="4" w:space="0"/>
              <w:right w:val="single" w:color="auto" w:sz="4" w:space="0"/>
            </w:tcBorders>
            <w:shd w:val="clear" w:color="auto" w:fill="auto"/>
            <w:vAlign w:val="center"/>
          </w:tcPr>
          <w:p w14:paraId="4FD3CF6D">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绩效情况</w:t>
            </w:r>
          </w:p>
        </w:tc>
        <w:tc>
          <w:tcPr>
            <w:tcW w:w="1656" w:type="dxa"/>
            <w:tcBorders>
              <w:top w:val="nil"/>
              <w:left w:val="nil"/>
              <w:bottom w:val="single" w:color="auto" w:sz="4" w:space="0"/>
              <w:right w:val="single" w:color="auto" w:sz="4" w:space="0"/>
            </w:tcBorders>
            <w:shd w:val="clear" w:color="auto" w:fill="auto"/>
            <w:vAlign w:val="center"/>
          </w:tcPr>
          <w:p w14:paraId="034A5E08">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项目支出管理和使用基本情况</w:t>
            </w:r>
          </w:p>
        </w:tc>
        <w:tc>
          <w:tcPr>
            <w:tcW w:w="5595" w:type="dxa"/>
            <w:tcBorders>
              <w:top w:val="nil"/>
              <w:left w:val="nil"/>
              <w:bottom w:val="single" w:color="auto" w:sz="4" w:space="0"/>
              <w:right w:val="single" w:color="auto" w:sz="4" w:space="0"/>
            </w:tcBorders>
            <w:shd w:val="clear" w:color="auto" w:fill="auto"/>
            <w:vAlign w:val="center"/>
          </w:tcPr>
          <w:p w14:paraId="1881002D">
            <w:pPr>
              <w:keepNext w:val="0"/>
              <w:keepLines w:val="0"/>
              <w:widowControl/>
              <w:suppressLineNumbers w:val="0"/>
              <w:ind w:firstLine="420" w:firstLineChars="200"/>
              <w:jc w:val="left"/>
              <w:textAlignment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我县严格按照《湘潭县畜禽规模养殖禁养区养殖场 (户)退出养殖工作方案》要求，以全部拆除和功能性退养两种退养方式对27户开展退养工作，项目资金287.5万元，其中县级财政预算资金89.5万元，上级补助资金198万元。主要用于27户全拆面积5483.86㎡，功能性拆除面积10885.26㎡，退养补偿标准按照全拆300元/㎡补偿，功能性拆除按照拆除面积100元/㎡补偿，共计补偿273.37万元，支付测量费5.72万元，支付易俗河镇转栏补助、另行租赁养殖场地补助费用8.4万元。资金已全部支出，无结余。</w:t>
            </w:r>
          </w:p>
        </w:tc>
      </w:tr>
      <w:tr w14:paraId="296F4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1080" w:type="dxa"/>
            <w:vMerge w:val="continue"/>
            <w:tcBorders>
              <w:top w:val="nil"/>
              <w:left w:val="single" w:color="auto" w:sz="4" w:space="0"/>
              <w:bottom w:val="single" w:color="auto" w:sz="4" w:space="0"/>
              <w:right w:val="single" w:color="auto" w:sz="4" w:space="0"/>
            </w:tcBorders>
            <w:shd w:val="clear" w:color="auto" w:fill="auto"/>
            <w:vAlign w:val="center"/>
          </w:tcPr>
          <w:p w14:paraId="7AF4BADC">
            <w:pPr>
              <w:jc w:val="center"/>
              <w:rPr>
                <w:rFonts w:hint="eastAsia" w:ascii="仿宋" w:hAnsi="仿宋" w:eastAsia="仿宋" w:cs="仿宋"/>
                <w:i w:val="0"/>
                <w:iCs w:val="0"/>
                <w:color w:val="000000"/>
                <w:sz w:val="21"/>
                <w:szCs w:val="21"/>
                <w:u w:val="none"/>
              </w:rPr>
            </w:pPr>
          </w:p>
        </w:tc>
        <w:tc>
          <w:tcPr>
            <w:tcW w:w="1656" w:type="dxa"/>
            <w:tcBorders>
              <w:top w:val="nil"/>
              <w:left w:val="nil"/>
              <w:bottom w:val="single" w:color="auto" w:sz="4" w:space="0"/>
              <w:right w:val="single" w:color="auto" w:sz="4" w:space="0"/>
            </w:tcBorders>
            <w:shd w:val="clear" w:color="auto" w:fill="auto"/>
            <w:vAlign w:val="center"/>
          </w:tcPr>
          <w:p w14:paraId="2946212B">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项目绩效目标完成情况</w:t>
            </w:r>
          </w:p>
        </w:tc>
        <w:tc>
          <w:tcPr>
            <w:tcW w:w="5595" w:type="dxa"/>
            <w:tcBorders>
              <w:top w:val="nil"/>
              <w:left w:val="nil"/>
              <w:bottom w:val="single" w:color="auto" w:sz="4" w:space="0"/>
              <w:right w:val="single" w:color="auto" w:sz="4" w:space="0"/>
            </w:tcBorders>
            <w:shd w:val="clear" w:color="auto" w:fill="auto"/>
            <w:vAlign w:val="center"/>
          </w:tcPr>
          <w:p w14:paraId="3BCBB7F7">
            <w:pPr>
              <w:keepNext w:val="0"/>
              <w:keepLines w:val="0"/>
              <w:widowControl/>
              <w:suppressLineNumbers w:val="0"/>
              <w:ind w:firstLine="420" w:firstLineChars="200"/>
              <w:jc w:val="left"/>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此项工作已于2024年10月全面完成，完成湘江干流、水源保护区等禁养区养殖场100%退养。</w:t>
            </w:r>
          </w:p>
        </w:tc>
      </w:tr>
      <w:tr w14:paraId="7419C2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4F791CE">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存在的问题分析及改进措施</w:t>
            </w: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3C321E80">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存在的问题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491FA20A">
            <w:pPr>
              <w:keepNext w:val="0"/>
              <w:keepLines w:val="0"/>
              <w:widowControl/>
              <w:suppressLineNumbers w:val="0"/>
              <w:jc w:val="center"/>
              <w:textAlignment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无</w:t>
            </w:r>
          </w:p>
        </w:tc>
      </w:tr>
      <w:tr w14:paraId="197AB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7"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4A94548F">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0AB6ADD3">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改进措施</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3D8760C0">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无</w:t>
            </w:r>
          </w:p>
        </w:tc>
      </w:tr>
      <w:tr w14:paraId="47880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108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5A79D4A6">
            <w:pPr>
              <w:jc w:val="center"/>
              <w:rPr>
                <w:rFonts w:hint="eastAsia" w:ascii="仿宋" w:hAnsi="仿宋" w:eastAsia="仿宋" w:cs="仿宋"/>
                <w:i w:val="0"/>
                <w:iCs w:val="0"/>
                <w:color w:val="000000"/>
                <w:sz w:val="21"/>
                <w:szCs w:val="21"/>
                <w:u w:val="none"/>
              </w:rPr>
            </w:pPr>
          </w:p>
        </w:tc>
        <w:tc>
          <w:tcPr>
            <w:tcW w:w="1656" w:type="dxa"/>
            <w:tcBorders>
              <w:top w:val="single" w:color="auto" w:sz="4" w:space="0"/>
              <w:left w:val="single" w:color="auto" w:sz="4" w:space="0"/>
              <w:bottom w:val="single" w:color="auto" w:sz="4" w:space="0"/>
              <w:right w:val="single" w:color="auto" w:sz="4" w:space="0"/>
            </w:tcBorders>
            <w:shd w:val="clear" w:color="auto" w:fill="auto"/>
            <w:vAlign w:val="center"/>
          </w:tcPr>
          <w:p w14:paraId="52208BC2">
            <w:pPr>
              <w:keepNext w:val="0"/>
              <w:keepLines w:val="0"/>
              <w:widowControl/>
              <w:suppressLineNumbers w:val="0"/>
              <w:jc w:val="center"/>
              <w:textAlignment w:val="center"/>
              <w:rPr>
                <w:rFonts w:hint="eastAsia" w:ascii="仿宋" w:hAnsi="仿宋" w:eastAsia="仿宋" w:cs="仿宋"/>
                <w:i w:val="0"/>
                <w:iCs w:val="0"/>
                <w:color w:val="000000"/>
                <w:sz w:val="21"/>
                <w:szCs w:val="21"/>
                <w:u w:val="none"/>
              </w:rPr>
            </w:pPr>
            <w:r>
              <w:rPr>
                <w:rFonts w:hint="eastAsia" w:ascii="仿宋" w:hAnsi="仿宋" w:eastAsia="仿宋" w:cs="仿宋"/>
                <w:i w:val="0"/>
                <w:iCs w:val="0"/>
                <w:color w:val="000000"/>
                <w:kern w:val="0"/>
                <w:sz w:val="21"/>
                <w:szCs w:val="21"/>
                <w:u w:val="none"/>
                <w:lang w:val="en-US" w:eastAsia="zh-CN" w:bidi="ar"/>
              </w:rPr>
              <w:t>其他需要说明问题</w:t>
            </w:r>
          </w:p>
        </w:tc>
        <w:tc>
          <w:tcPr>
            <w:tcW w:w="5595" w:type="dxa"/>
            <w:tcBorders>
              <w:top w:val="single" w:color="auto" w:sz="4" w:space="0"/>
              <w:left w:val="single" w:color="auto" w:sz="4" w:space="0"/>
              <w:bottom w:val="single" w:color="auto" w:sz="4" w:space="0"/>
              <w:right w:val="single" w:color="auto" w:sz="4" w:space="0"/>
            </w:tcBorders>
            <w:shd w:val="clear" w:color="auto" w:fill="auto"/>
            <w:vAlign w:val="center"/>
          </w:tcPr>
          <w:p w14:paraId="4708E818">
            <w:pPr>
              <w:keepNext w:val="0"/>
              <w:keepLines w:val="0"/>
              <w:widowControl/>
              <w:suppressLineNumbers w:val="0"/>
              <w:jc w:val="center"/>
              <w:textAlignment w:val="center"/>
              <w:rPr>
                <w:rFonts w:hint="eastAsia" w:ascii="仿宋" w:hAnsi="仿宋" w:eastAsia="仿宋" w:cs="仿宋"/>
                <w:i w:val="0"/>
                <w:iCs w:val="0"/>
                <w:color w:val="000000"/>
                <w:sz w:val="21"/>
                <w:szCs w:val="21"/>
                <w:u w:val="none"/>
                <w:lang w:eastAsia="zh-CN"/>
              </w:rPr>
            </w:pPr>
            <w:r>
              <w:rPr>
                <w:rFonts w:hint="eastAsia" w:ascii="仿宋" w:hAnsi="仿宋" w:eastAsia="仿宋" w:cs="仿宋"/>
                <w:i w:val="0"/>
                <w:iCs w:val="0"/>
                <w:color w:val="000000"/>
                <w:sz w:val="21"/>
                <w:szCs w:val="21"/>
                <w:u w:val="none"/>
                <w:lang w:eastAsia="zh-CN"/>
              </w:rPr>
              <w:t>无</w:t>
            </w:r>
          </w:p>
        </w:tc>
      </w:tr>
    </w:tbl>
    <w:p w14:paraId="5F00322F">
      <w:pPr>
        <w:pStyle w:val="3"/>
        <w:rPr>
          <w:rFonts w:hint="eastAsia"/>
          <w:lang w:eastAsia="zh-CN"/>
        </w:rPr>
      </w:pPr>
    </w:p>
    <w:p w14:paraId="2F65B6A3">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decorative"/>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lMTQzOGVkNTE4YjQ0OTkzODVkM2Y1YmQyM2Y5MjUifQ=="/>
  </w:docVars>
  <w:rsids>
    <w:rsidRoot w:val="00A475BD"/>
    <w:rsid w:val="0002540F"/>
    <w:rsid w:val="000353DE"/>
    <w:rsid w:val="000C2DBF"/>
    <w:rsid w:val="000E66F4"/>
    <w:rsid w:val="001004FA"/>
    <w:rsid w:val="0013438E"/>
    <w:rsid w:val="001500E8"/>
    <w:rsid w:val="001B7BDA"/>
    <w:rsid w:val="00236DD1"/>
    <w:rsid w:val="00242E12"/>
    <w:rsid w:val="00296D8F"/>
    <w:rsid w:val="002F4291"/>
    <w:rsid w:val="00320A9A"/>
    <w:rsid w:val="00357EF6"/>
    <w:rsid w:val="003856F7"/>
    <w:rsid w:val="003B008C"/>
    <w:rsid w:val="003E4AE1"/>
    <w:rsid w:val="004A7D07"/>
    <w:rsid w:val="004C58C8"/>
    <w:rsid w:val="004E4B92"/>
    <w:rsid w:val="0057187B"/>
    <w:rsid w:val="005B19B1"/>
    <w:rsid w:val="005B4ECE"/>
    <w:rsid w:val="00603C78"/>
    <w:rsid w:val="007B3ED6"/>
    <w:rsid w:val="007E0D82"/>
    <w:rsid w:val="007E5C6E"/>
    <w:rsid w:val="007F32B6"/>
    <w:rsid w:val="008218DB"/>
    <w:rsid w:val="00846C15"/>
    <w:rsid w:val="008733F8"/>
    <w:rsid w:val="008C2819"/>
    <w:rsid w:val="008D7ED7"/>
    <w:rsid w:val="00906F43"/>
    <w:rsid w:val="00953779"/>
    <w:rsid w:val="00997D22"/>
    <w:rsid w:val="009C34C3"/>
    <w:rsid w:val="009F21A8"/>
    <w:rsid w:val="00A475BD"/>
    <w:rsid w:val="00A75D37"/>
    <w:rsid w:val="00AB2508"/>
    <w:rsid w:val="00B16EF2"/>
    <w:rsid w:val="00B269E9"/>
    <w:rsid w:val="00B27412"/>
    <w:rsid w:val="00BB4084"/>
    <w:rsid w:val="00BC0452"/>
    <w:rsid w:val="00BF3DDB"/>
    <w:rsid w:val="00C43E6F"/>
    <w:rsid w:val="00CB3C29"/>
    <w:rsid w:val="00CC2CCE"/>
    <w:rsid w:val="00D36999"/>
    <w:rsid w:val="00D43044"/>
    <w:rsid w:val="00D4314B"/>
    <w:rsid w:val="00D72B76"/>
    <w:rsid w:val="00DB4326"/>
    <w:rsid w:val="00E411BB"/>
    <w:rsid w:val="00E6535C"/>
    <w:rsid w:val="00EC4B7B"/>
    <w:rsid w:val="00EE4C37"/>
    <w:rsid w:val="00F76D0E"/>
    <w:rsid w:val="026B74AB"/>
    <w:rsid w:val="0A9A2EBA"/>
    <w:rsid w:val="1075091F"/>
    <w:rsid w:val="22C30EDA"/>
    <w:rsid w:val="29937ECA"/>
    <w:rsid w:val="2EDA6C9B"/>
    <w:rsid w:val="376E08C8"/>
    <w:rsid w:val="38593326"/>
    <w:rsid w:val="3BC962DE"/>
    <w:rsid w:val="3F275F2C"/>
    <w:rsid w:val="43AF029E"/>
    <w:rsid w:val="43B10992"/>
    <w:rsid w:val="484E277B"/>
    <w:rsid w:val="494F17B3"/>
    <w:rsid w:val="4A227A1C"/>
    <w:rsid w:val="4D777B1C"/>
    <w:rsid w:val="56FB7F2D"/>
    <w:rsid w:val="66B069DE"/>
    <w:rsid w:val="70943FC3"/>
    <w:rsid w:val="72DB610A"/>
    <w:rsid w:val="735A34D3"/>
    <w:rsid w:val="74235FBB"/>
    <w:rsid w:val="770E5AE1"/>
    <w:rsid w:val="79B80F53"/>
    <w:rsid w:val="7E254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Title"/>
    <w:basedOn w:val="1"/>
    <w:next w:val="1"/>
    <w:qFormat/>
    <w:uiPriority w:val="0"/>
    <w:pPr>
      <w:outlineLvl w:val="0"/>
    </w:pPr>
    <w:rPr>
      <w:rFonts w:ascii="方正小标宋_GBK" w:hAnsi="方正小标宋_GBK" w:eastAsia="方正小标宋_GBK" w:cs="Arial"/>
      <w:b/>
      <w:color w:val="000000"/>
      <w:sz w:val="44"/>
      <w:szCs w:val="44"/>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jc w:val="left"/>
    </w:pPr>
    <w:rPr>
      <w:rFonts w:ascii="宋体" w:hAnsi="宋体" w:cs="宋体"/>
      <w:kern w:val="0"/>
      <w:sz w:val="24"/>
    </w:rPr>
  </w:style>
  <w:style w:type="character" w:styleId="9">
    <w:name w:val="Strong"/>
    <w:basedOn w:val="8"/>
    <w:qFormat/>
    <w:uiPriority w:val="22"/>
    <w:rPr>
      <w:b/>
      <w:bCs/>
    </w:rPr>
  </w:style>
  <w:style w:type="character" w:customStyle="1" w:styleId="10">
    <w:name w:val="页眉 Char"/>
    <w:basedOn w:val="8"/>
    <w:link w:val="5"/>
    <w:semiHidden/>
    <w:qFormat/>
    <w:uiPriority w:val="99"/>
    <w:rPr>
      <w:rFonts w:ascii="Times New Roman" w:hAnsi="Times New Roman" w:eastAsia="宋体" w:cs="Times New Roman"/>
      <w:sz w:val="18"/>
      <w:szCs w:val="18"/>
    </w:rPr>
  </w:style>
  <w:style w:type="character" w:customStyle="1" w:styleId="11">
    <w:name w:val="页脚 Char"/>
    <w:basedOn w:val="8"/>
    <w:link w:val="4"/>
    <w:semiHidden/>
    <w:qFormat/>
    <w:uiPriority w:val="99"/>
    <w:rPr>
      <w:rFonts w:ascii="Times New Roman" w:hAnsi="Times New Roman" w:eastAsia="宋体" w:cs="Times New Roman"/>
      <w:sz w:val="18"/>
      <w:szCs w:val="18"/>
    </w:rPr>
  </w:style>
  <w:style w:type="paragraph" w:styleId="12">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3">
    <w:name w:val="列出段落1"/>
    <w:basedOn w:val="1"/>
    <w:qFormat/>
    <w:uiPriority w:val="0"/>
    <w:pPr>
      <w:tabs>
        <w:tab w:val="left" w:pos="0"/>
      </w:tabs>
      <w:spacing w:line="360" w:lineRule="auto"/>
      <w:ind w:firstLine="420" w:firstLineChars="200"/>
    </w:pPr>
    <w:rPr>
      <w:rFonts w:ascii="Calibri" w:hAnsi="Calibri" w:eastAsia="仿宋_GB2312"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99A78B5-739D-4030-98E8-A2B49E84FAFE}">
  <ds:schemaRefs/>
</ds:datastoreItem>
</file>

<file path=docProps/app.xml><?xml version="1.0" encoding="utf-8"?>
<Properties xmlns="http://schemas.openxmlformats.org/officeDocument/2006/extended-properties" xmlns:vt="http://schemas.openxmlformats.org/officeDocument/2006/docPropsVTypes">
  <Template>Normal</Template>
  <Company>湘潭县农业局</Company>
  <Pages>10</Pages>
  <Words>7057</Words>
  <Characters>7686</Characters>
  <Lines>78</Lines>
  <Paragraphs>22</Paragraphs>
  <TotalTime>29</TotalTime>
  <ScaleCrop>false</ScaleCrop>
  <LinksUpToDate>false</LinksUpToDate>
  <CharactersWithSpaces>7702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2020-07-22T10:00:00Z</dcterms:created>
  <dc:creator>1D507-2</dc:creator>
  <cp:lastModifiedBy>棒棒糖</cp:lastModifiedBy>
  <cp:lastPrinted>2025-05-30T07:33:00Z</cp:lastPrinted>
  <dcterms:modified xsi:type="dcterms:W3CDTF">2025-06-30T08:13:46Z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D5F099717CB845F7A8DE54570CC4F008_13</vt:lpwstr>
  </property>
  <property fmtid="{D5CDD505-2E9C-101B-9397-08002B2CF9AE}" pid="4" name="KSOTemplateDocerSaveRecord">
    <vt:lpwstr>eyJoZGlkIjoiNzllMTQzOGVkNTE4YjQ0OTkzODVkM2Y1YmQyM2Y5MjUiLCJ1c2VySWQiOiI0NDU0MTIzMzgifQ==</vt:lpwstr>
  </property>
</Properties>
</file>