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湘潭县司法局</w:t>
      </w:r>
      <w:r>
        <w:rPr>
          <w:rFonts w:hint="eastAsia" w:ascii="宋体" w:hAnsi="宋体" w:cs="方正小标宋_GBK"/>
          <w:b/>
          <w:sz w:val="36"/>
          <w:szCs w:val="36"/>
          <w:lang w:val="en-US" w:eastAsia="zh-CN"/>
        </w:rPr>
        <w:t>2024</w:t>
      </w:r>
      <w:r>
        <w:rPr>
          <w:rFonts w:hint="eastAsia" w:ascii="宋体" w:hAnsi="宋体" w:cs="方正小标宋_GBK"/>
          <w:b/>
          <w:sz w:val="36"/>
          <w:szCs w:val="36"/>
        </w:rPr>
        <w:t>年</w:t>
      </w:r>
      <w:r>
        <w:rPr>
          <w:rFonts w:hint="eastAsia" w:ascii="宋体" w:hAnsi="宋体" w:cs="方正小标宋_GBK"/>
          <w:b/>
          <w:bCs/>
          <w:sz w:val="36"/>
          <w:szCs w:val="36"/>
        </w:rPr>
        <w:t>部门整体支出绩效</w:t>
      </w:r>
      <w:r>
        <w:rPr>
          <w:rFonts w:hint="eastAsia" w:ascii="宋体" w:hAnsi="宋体" w:cs="方正小标宋_GBK"/>
          <w:b/>
          <w:bCs/>
          <w:sz w:val="36"/>
          <w:szCs w:val="36"/>
          <w:lang w:eastAsia="zh-CN"/>
        </w:rPr>
        <w:t>自评</w:t>
      </w:r>
      <w:r>
        <w:rPr>
          <w:rFonts w:hint="eastAsia" w:ascii="宋体" w:hAnsi="宋体" w:cs="方正小标宋_GBK"/>
          <w:b/>
          <w:bCs/>
          <w:sz w:val="36"/>
          <w:szCs w:val="36"/>
        </w:rPr>
        <w:t>报告</w:t>
      </w:r>
    </w:p>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napToGrid w:val="0"/>
              <w:spacing w:line="520" w:lineRule="exact"/>
              <w:ind w:left="420" w:leftChars="200"/>
              <w:jc w:val="center"/>
              <w:rPr>
                <w:rFonts w:ascii="仿宋_GB2312" w:hAnsi="宋体" w:eastAsia="仿宋_GB2312" w:cs="宋体"/>
                <w:szCs w:val="21"/>
              </w:rPr>
            </w:pPr>
            <w:r>
              <w:rPr>
                <w:rFonts w:hint="eastAsia" w:ascii="宋体" w:hAnsi="宋体" w:cs="宋体"/>
                <w:color w:val="333333"/>
                <w:kern w:val="0"/>
                <w:sz w:val="24"/>
              </w:rPr>
              <w:t>湘潭县司法局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keepNext w:val="0"/>
              <w:keepLines w:val="0"/>
              <w:widowControl/>
              <w:suppressLineNumbers w:val="0"/>
              <w:jc w:val="center"/>
              <w:rPr>
                <w:rFonts w:ascii="宋体" w:hAnsi="宋体" w:cs="宋体"/>
                <w:color w:val="333333"/>
                <w:kern w:val="0"/>
                <w:sz w:val="24"/>
              </w:rPr>
            </w:pPr>
            <w:r>
              <w:rPr>
                <w:rFonts w:hint="eastAsia" w:ascii="宋体" w:hAnsi="宋体" w:eastAsia="宋体" w:cs="宋体"/>
                <w:i w:val="0"/>
                <w:iCs w:val="0"/>
                <w:caps w:val="0"/>
                <w:color w:val="333333"/>
                <w:spacing w:val="0"/>
                <w:kern w:val="0"/>
                <w:sz w:val="24"/>
                <w:szCs w:val="24"/>
                <w:shd w:val="clear" w:fill="FFFFFF"/>
                <w:lang w:val="en-US" w:eastAsia="zh-CN" w:bidi="ar"/>
              </w:rPr>
              <w:t>1844.93</w:t>
            </w:r>
            <w:r>
              <w:rPr>
                <w:rFonts w:hint="eastAsia" w:ascii="宋体" w:hAnsi="宋体" w:cs="宋体"/>
                <w:color w:val="333333"/>
                <w:kern w:val="0"/>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napToGrid w:val="0"/>
              <w:spacing w:line="520" w:lineRule="exact"/>
              <w:ind w:left="420" w:leftChars="200"/>
              <w:jc w:val="center"/>
              <w:rPr>
                <w:rFonts w:hint="eastAsia" w:ascii="宋体" w:hAnsi="宋体" w:eastAsia="宋体" w:cs="宋体"/>
                <w:color w:val="333333"/>
                <w:kern w:val="0"/>
                <w:sz w:val="24"/>
                <w:lang w:eastAsia="zh-CN"/>
              </w:rPr>
            </w:pPr>
            <w:r>
              <w:rPr>
                <w:rFonts w:hint="eastAsia" w:ascii="宋体" w:hAnsi="宋体" w:cs="宋体"/>
                <w:color w:val="333333"/>
                <w:kern w:val="0"/>
                <w:sz w:val="24"/>
              </w:rPr>
              <w:t>湘潭县</w:t>
            </w:r>
            <w:r>
              <w:rPr>
                <w:rFonts w:hint="eastAsia" w:ascii="宋体" w:hAnsi="宋体" w:cs="宋体"/>
                <w:color w:val="333333"/>
                <w:kern w:val="0"/>
                <w:sz w:val="24"/>
                <w:lang w:eastAsia="zh-CN"/>
              </w:rPr>
              <w:t>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rPr>
              <w:t>1）承担全面依法治县重大问题的政策研究，协调有关方面提出全面依法治县中长期规划建议，负责有关</w:t>
            </w:r>
            <w:r>
              <w:rPr>
                <w:rFonts w:hint="eastAsia" w:ascii="宋体" w:hAnsi="宋体"/>
                <w:iCs/>
                <w:sz w:val="24"/>
                <w:lang w:eastAsia="zh-CN"/>
              </w:rPr>
              <w:t>重大决策部署</w:t>
            </w:r>
            <w:r>
              <w:rPr>
                <w:rFonts w:hint="eastAsia" w:ascii="宋体" w:hAnsi="宋体"/>
                <w:iCs/>
                <w:sz w:val="24"/>
              </w:rPr>
              <w:t>督察工作。负责开展依法治县和法治政府建设考核工作。</w:t>
            </w:r>
          </w:p>
          <w:p>
            <w:pPr>
              <w:snapToGrid w:val="0"/>
              <w:spacing w:line="520" w:lineRule="exact"/>
              <w:ind w:left="420" w:leftChars="200"/>
              <w:rPr>
                <w:rFonts w:ascii="宋体" w:hAnsi="宋体"/>
                <w:iCs/>
                <w:sz w:val="24"/>
              </w:rPr>
            </w:pPr>
            <w:r>
              <w:rPr>
                <w:rFonts w:hint="eastAsia" w:ascii="宋体" w:hAnsi="宋体"/>
                <w:iCs/>
                <w:sz w:val="24"/>
              </w:rPr>
              <w:t>2）贯彻执行国家、省、市有关司法行政的方针、政策和法律法规；拟定全县司法行政工作发展中、长期规划和年度计划并监督实施。</w:t>
            </w:r>
          </w:p>
          <w:p>
            <w:pPr>
              <w:snapToGrid w:val="0"/>
              <w:spacing w:line="520" w:lineRule="exact"/>
              <w:ind w:left="420" w:leftChars="200"/>
              <w:rPr>
                <w:rFonts w:ascii="宋体" w:hAnsi="宋体"/>
                <w:iCs/>
                <w:sz w:val="24"/>
              </w:rPr>
            </w:pPr>
            <w:r>
              <w:rPr>
                <w:rFonts w:hint="eastAsia" w:ascii="宋体" w:hAnsi="宋体"/>
                <w:iCs/>
                <w:sz w:val="24"/>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pPr>
              <w:snapToGrid w:val="0"/>
              <w:spacing w:line="520" w:lineRule="exact"/>
              <w:ind w:left="420" w:leftChars="200"/>
              <w:rPr>
                <w:rFonts w:ascii="宋体" w:hAnsi="宋体"/>
                <w:iCs/>
                <w:sz w:val="24"/>
              </w:rPr>
            </w:pPr>
            <w:r>
              <w:rPr>
                <w:rFonts w:hint="eastAsia" w:ascii="宋体" w:hAnsi="宋体"/>
                <w:iCs/>
                <w:sz w:val="24"/>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pPr>
              <w:snapToGrid w:val="0"/>
              <w:spacing w:line="520" w:lineRule="exact"/>
              <w:ind w:left="420" w:leftChars="200"/>
              <w:rPr>
                <w:rFonts w:ascii="宋体" w:hAnsi="宋体"/>
                <w:iCs/>
                <w:sz w:val="24"/>
              </w:rPr>
            </w:pPr>
            <w:r>
              <w:rPr>
                <w:rFonts w:hint="eastAsia" w:ascii="宋体" w:hAnsi="宋体"/>
                <w:iCs/>
                <w:sz w:val="24"/>
              </w:rPr>
              <w:t>5）督促指导县直有关单位规范政府合同管理，负责县政府重大投资项目合同的起草或审核。</w:t>
            </w:r>
          </w:p>
          <w:p>
            <w:pPr>
              <w:snapToGrid w:val="0"/>
              <w:spacing w:line="520" w:lineRule="exact"/>
              <w:ind w:left="420" w:leftChars="200"/>
              <w:rPr>
                <w:rFonts w:ascii="宋体" w:hAnsi="宋体"/>
                <w:iCs/>
                <w:sz w:val="24"/>
              </w:rPr>
            </w:pPr>
            <w:r>
              <w:rPr>
                <w:rFonts w:hint="eastAsia" w:ascii="宋体" w:hAnsi="宋体"/>
                <w:iCs/>
                <w:sz w:val="24"/>
              </w:rPr>
              <w:t>6）承担统筹规划全县法治社会建设的责任。负责拟订法治宣传教育规划，组织实施普法宣传工作，组织对外</w:t>
            </w:r>
            <w:r>
              <w:rPr>
                <w:rFonts w:hint="eastAsia" w:ascii="宋体" w:hAnsi="宋体"/>
                <w:iCs/>
                <w:sz w:val="24"/>
                <w:lang w:eastAsia="zh-CN"/>
              </w:rPr>
              <w:t>法治宣传</w:t>
            </w:r>
            <w:r>
              <w:rPr>
                <w:rFonts w:hint="eastAsia" w:ascii="宋体" w:hAnsi="宋体"/>
                <w:iCs/>
                <w:sz w:val="24"/>
              </w:rPr>
              <w:t>。组织县政府常务会议学法活动。推动人民参与和促进法治建设。指导依法治理和法治创建工作。指导监督人民调解工作和人民陪审员、人民监督员选任管理工作，推进司法所建设。</w:t>
            </w:r>
          </w:p>
          <w:p>
            <w:pPr>
              <w:snapToGrid w:val="0"/>
              <w:spacing w:line="520" w:lineRule="exact"/>
              <w:ind w:left="420" w:leftChars="200"/>
              <w:rPr>
                <w:rFonts w:ascii="宋体" w:hAnsi="宋体"/>
                <w:iCs/>
                <w:sz w:val="24"/>
              </w:rPr>
            </w:pPr>
            <w:r>
              <w:rPr>
                <w:rFonts w:hint="eastAsia" w:ascii="宋体" w:hAnsi="宋体"/>
                <w:iCs/>
                <w:sz w:val="24"/>
              </w:rPr>
              <w:t>7）指导管理全县社区矫正工作；指导全县刑满释放人员的安置帮教工作。</w:t>
            </w:r>
          </w:p>
          <w:p>
            <w:pPr>
              <w:snapToGrid w:val="0"/>
              <w:spacing w:line="520" w:lineRule="exact"/>
              <w:ind w:left="420" w:leftChars="200"/>
              <w:rPr>
                <w:rFonts w:ascii="宋体" w:hAnsi="宋体"/>
                <w:iCs/>
                <w:sz w:val="24"/>
              </w:rPr>
            </w:pPr>
            <w:r>
              <w:rPr>
                <w:rFonts w:hint="eastAsia" w:ascii="宋体" w:hAnsi="宋体"/>
                <w:iCs/>
                <w:sz w:val="24"/>
              </w:rPr>
              <w:t>8）负责拟订公共法律服务体系建设规划并指导实施，统筹和布局城乡、区域法律服务资源。指导、监督、管理律师、法律援助、司法鉴定、公证、仲裁和基层法律服务工作。</w:t>
            </w:r>
          </w:p>
          <w:p>
            <w:pPr>
              <w:snapToGrid w:val="0"/>
              <w:spacing w:line="520" w:lineRule="exact"/>
              <w:ind w:left="420" w:leftChars="200"/>
              <w:rPr>
                <w:rFonts w:ascii="宋体" w:hAnsi="宋体"/>
                <w:iCs/>
                <w:sz w:val="24"/>
              </w:rPr>
            </w:pPr>
            <w:r>
              <w:rPr>
                <w:rFonts w:hint="eastAsia" w:ascii="宋体" w:hAnsi="宋体"/>
                <w:iCs/>
                <w:sz w:val="24"/>
              </w:rPr>
              <w:t>9）负责全县法治对外合作工作。组织开展法治对外合作交流。</w:t>
            </w:r>
          </w:p>
          <w:p>
            <w:pPr>
              <w:snapToGrid w:val="0"/>
              <w:spacing w:line="520" w:lineRule="exact"/>
              <w:ind w:left="420" w:leftChars="200"/>
              <w:rPr>
                <w:rFonts w:ascii="宋体" w:hAnsi="宋体"/>
                <w:iCs/>
                <w:sz w:val="24"/>
              </w:rPr>
            </w:pPr>
            <w:r>
              <w:rPr>
                <w:rFonts w:hint="eastAsia" w:ascii="宋体" w:hAnsi="宋体"/>
                <w:iCs/>
                <w:sz w:val="24"/>
              </w:rPr>
              <w:t>10）负责本系统服装和警车管理工作，指导、监督本系统财务、装备、设施、场所等保障工作。</w:t>
            </w:r>
          </w:p>
          <w:p>
            <w:pPr>
              <w:snapToGrid w:val="0"/>
              <w:spacing w:line="520" w:lineRule="exact"/>
              <w:ind w:left="420" w:leftChars="200"/>
              <w:rPr>
                <w:rFonts w:ascii="宋体" w:hAnsi="宋体"/>
                <w:iCs/>
                <w:sz w:val="24"/>
              </w:rPr>
            </w:pPr>
            <w:r>
              <w:rPr>
                <w:rFonts w:hint="eastAsia" w:ascii="宋体" w:hAnsi="宋体"/>
                <w:iCs/>
                <w:sz w:val="24"/>
              </w:rPr>
              <w:t>11）规划、协调、指导法治人才队伍建设相关工作。指导、监督本系统队伍建设。</w:t>
            </w:r>
          </w:p>
          <w:p>
            <w:pPr>
              <w:snapToGrid w:val="0"/>
              <w:spacing w:line="520" w:lineRule="exact"/>
              <w:ind w:left="420" w:leftChars="200"/>
              <w:rPr>
                <w:rFonts w:ascii="宋体" w:hAnsi="宋体"/>
                <w:iCs/>
                <w:sz w:val="24"/>
              </w:rPr>
            </w:pPr>
            <w:r>
              <w:rPr>
                <w:rFonts w:hint="eastAsia" w:ascii="宋体" w:hAnsi="宋体"/>
                <w:iCs/>
                <w:sz w:val="24"/>
              </w:rPr>
              <w:t>12）完成县委、县人民政府交办的其他事项。</w:t>
            </w:r>
          </w:p>
          <w:p>
            <w:pPr>
              <w:snapToGrid w:val="0"/>
              <w:spacing w:line="520" w:lineRule="exact"/>
              <w:ind w:left="420" w:leftChars="200" w:right="880" w:rightChars="419"/>
              <w:jc w:val="center"/>
              <w:rPr>
                <w:rFonts w:ascii="宋体" w:hAnsi="宋体" w:cs="宋体"/>
                <w:i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lang w:eastAsia="zh-CN"/>
              </w:rPr>
              <w:t>一、组织构架、人员编制</w:t>
            </w:r>
          </w:p>
          <w:p>
            <w:pPr>
              <w:snapToGrid w:val="0"/>
              <w:spacing w:line="520" w:lineRule="exact"/>
              <w:ind w:firstLine="480" w:firstLineChars="200"/>
              <w:rPr>
                <w:rFonts w:hint="eastAsia" w:ascii="宋体" w:hAnsi="宋体"/>
                <w:iCs/>
                <w:sz w:val="24"/>
              </w:rPr>
            </w:pPr>
            <w:r>
              <w:rPr>
                <w:rFonts w:hint="eastAsia" w:ascii="宋体" w:hAnsi="宋体"/>
                <w:iCs/>
                <w:sz w:val="24"/>
                <w:lang w:val="en-US" w:eastAsia="zh-CN"/>
              </w:rPr>
              <w:t>根据“三定方案”，</w:t>
            </w:r>
            <w:r>
              <w:rPr>
                <w:rFonts w:hint="eastAsia" w:ascii="宋体" w:hAnsi="宋体"/>
                <w:iCs/>
                <w:sz w:val="24"/>
                <w:lang w:eastAsia="zh-CN"/>
              </w:rPr>
              <w:t>我局机关设</w:t>
            </w:r>
            <w:r>
              <w:rPr>
                <w:rFonts w:hint="eastAsia" w:ascii="宋体" w:hAnsi="宋体"/>
                <w:iCs/>
                <w:sz w:val="24"/>
              </w:rPr>
              <w:t>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w:t>
            </w:r>
            <w:r>
              <w:rPr>
                <w:rFonts w:hint="eastAsia" w:ascii="宋体" w:hAnsi="宋体"/>
                <w:iCs/>
                <w:sz w:val="24"/>
                <w:lang w:val="en-US" w:eastAsia="zh-CN"/>
              </w:rPr>
              <w:t>13个内设机构，派驻乡镇17个司法所，2个二级机构：湘潭县人民政府法律顾问工作室、湘潭县公证处。全局共有人员编制数100名（</w:t>
            </w:r>
            <w:r>
              <w:rPr>
                <w:rFonts w:hint="eastAsia" w:ascii="宋体" w:hAnsi="宋体"/>
                <w:iCs/>
                <w:sz w:val="24"/>
                <w:lang w:eastAsia="zh-CN"/>
              </w:rPr>
              <w:t>政法专项编制</w:t>
            </w:r>
            <w:r>
              <w:rPr>
                <w:rFonts w:hint="eastAsia" w:ascii="宋体" w:hAnsi="宋体"/>
                <w:iCs/>
                <w:sz w:val="24"/>
                <w:lang w:val="en-US" w:eastAsia="zh-CN"/>
              </w:rPr>
              <w:t>84</w:t>
            </w:r>
            <w:r>
              <w:rPr>
                <w:rFonts w:hint="eastAsia" w:ascii="宋体" w:hAnsi="宋体"/>
                <w:iCs/>
                <w:sz w:val="24"/>
              </w:rPr>
              <w:t>人，非参公事业人员</w:t>
            </w:r>
            <w:r>
              <w:rPr>
                <w:rFonts w:hint="eastAsia" w:ascii="宋体" w:hAnsi="宋体"/>
                <w:iCs/>
                <w:sz w:val="24"/>
                <w:lang w:val="en-US" w:eastAsia="zh-CN"/>
              </w:rPr>
              <w:t>16</w:t>
            </w:r>
            <w:r>
              <w:rPr>
                <w:rFonts w:hint="eastAsia" w:ascii="宋体" w:hAnsi="宋体"/>
                <w:iCs/>
                <w:sz w:val="24"/>
              </w:rPr>
              <w:t>人</w:t>
            </w:r>
            <w:r>
              <w:rPr>
                <w:rFonts w:hint="eastAsia" w:ascii="宋体" w:hAnsi="宋体"/>
                <w:iCs/>
                <w:sz w:val="24"/>
                <w:lang w:val="en-US" w:eastAsia="zh-CN"/>
              </w:rPr>
              <w:t>），截至2024年12月31日，实有91人（</w:t>
            </w:r>
            <w:r>
              <w:rPr>
                <w:rFonts w:hint="eastAsia" w:ascii="宋体" w:hAnsi="宋体"/>
                <w:iCs/>
                <w:sz w:val="24"/>
                <w:lang w:eastAsia="zh-CN"/>
              </w:rPr>
              <w:t>政法专项编制</w:t>
            </w:r>
            <w:r>
              <w:rPr>
                <w:rFonts w:hint="eastAsia" w:ascii="宋体" w:hAnsi="宋体"/>
                <w:iCs/>
                <w:sz w:val="24"/>
              </w:rPr>
              <w:t>7</w:t>
            </w:r>
            <w:r>
              <w:rPr>
                <w:rFonts w:hint="eastAsia" w:ascii="宋体" w:hAnsi="宋体"/>
                <w:iCs/>
                <w:sz w:val="24"/>
                <w:lang w:val="en-US" w:eastAsia="zh-CN"/>
              </w:rPr>
              <w:t>5</w:t>
            </w:r>
            <w:r>
              <w:rPr>
                <w:rFonts w:hint="eastAsia" w:ascii="宋体" w:hAnsi="宋体"/>
                <w:iCs/>
                <w:sz w:val="24"/>
              </w:rPr>
              <w:t>人，非参公事业人员1</w:t>
            </w:r>
            <w:r>
              <w:rPr>
                <w:rFonts w:hint="eastAsia" w:ascii="宋体" w:hAnsi="宋体"/>
                <w:iCs/>
                <w:sz w:val="24"/>
                <w:lang w:val="en-US" w:eastAsia="zh-CN"/>
              </w:rPr>
              <w:t>6</w:t>
            </w:r>
            <w:r>
              <w:rPr>
                <w:rFonts w:hint="eastAsia" w:ascii="宋体" w:hAnsi="宋体"/>
                <w:iCs/>
                <w:sz w:val="24"/>
              </w:rPr>
              <w:t>人</w:t>
            </w:r>
            <w:r>
              <w:rPr>
                <w:rFonts w:hint="eastAsia" w:ascii="宋体" w:hAnsi="宋体"/>
                <w:iCs/>
                <w:sz w:val="24"/>
                <w:lang w:val="en-US" w:eastAsia="zh-CN"/>
              </w:rPr>
              <w:t>）。离退休人员32人，其中退休人员27人。</w:t>
            </w:r>
            <w:r>
              <w:rPr>
                <w:rFonts w:hint="eastAsia" w:ascii="宋体" w:hAnsi="宋体"/>
                <w:iCs/>
                <w:sz w:val="24"/>
              </w:rPr>
              <w:t>遗属</w:t>
            </w:r>
            <w:r>
              <w:rPr>
                <w:rFonts w:hint="eastAsia" w:ascii="宋体" w:hAnsi="宋体"/>
                <w:iCs/>
                <w:sz w:val="24"/>
                <w:lang w:val="en-US" w:eastAsia="zh-CN"/>
              </w:rPr>
              <w:t>4</w:t>
            </w:r>
            <w:r>
              <w:rPr>
                <w:rFonts w:hint="eastAsia" w:ascii="宋体" w:hAnsi="宋体"/>
                <w:iCs/>
                <w:sz w:val="24"/>
              </w:rPr>
              <w:t>人。</w:t>
            </w:r>
          </w:p>
          <w:p>
            <w:pPr>
              <w:snapToGrid w:val="0"/>
              <w:spacing w:line="520" w:lineRule="exact"/>
              <w:ind w:firstLine="480" w:firstLineChars="200"/>
              <w:rPr>
                <w:rFonts w:hint="eastAsia" w:ascii="宋体" w:hAnsi="宋体"/>
                <w:iCs/>
                <w:sz w:val="24"/>
                <w:lang w:val="en-US" w:eastAsia="zh-CN"/>
              </w:rPr>
            </w:pPr>
            <w:r>
              <w:rPr>
                <w:rFonts w:hint="eastAsia" w:ascii="宋体" w:hAnsi="宋体"/>
                <w:iCs/>
                <w:sz w:val="24"/>
                <w:lang w:eastAsia="zh-CN"/>
              </w:rPr>
              <w:t>二、</w:t>
            </w:r>
            <w:r>
              <w:rPr>
                <w:rFonts w:hint="eastAsia" w:ascii="宋体" w:hAnsi="宋体"/>
                <w:iCs/>
                <w:sz w:val="24"/>
                <w:lang w:val="en-US" w:eastAsia="zh-CN"/>
              </w:rPr>
              <w:t>年度重点工作</w:t>
            </w:r>
          </w:p>
          <w:p>
            <w:pPr>
              <w:snapToGrid w:val="0"/>
              <w:spacing w:line="520" w:lineRule="exact"/>
              <w:rPr>
                <w:rFonts w:hint="eastAsia" w:ascii="宋体" w:hAnsi="宋体" w:eastAsia="宋体" w:cs="Times New Roman"/>
                <w:iCs/>
                <w:sz w:val="24"/>
                <w:lang w:val="en-US" w:eastAsia="zh-CN"/>
              </w:rPr>
            </w:pPr>
            <w:r>
              <w:rPr>
                <w:rFonts w:hint="eastAsia" w:ascii="宋体" w:hAnsi="宋体" w:cs="Times New Roman"/>
                <w:iCs/>
                <w:sz w:val="24"/>
                <w:lang w:val="en-US" w:eastAsia="zh-CN"/>
              </w:rPr>
              <w:t>1</w:t>
            </w:r>
            <w:r>
              <w:rPr>
                <w:rFonts w:hint="eastAsia" w:ascii="宋体" w:hAnsi="宋体" w:eastAsia="宋体" w:cs="Times New Roman"/>
                <w:iCs/>
                <w:sz w:val="24"/>
                <w:lang w:val="en-US" w:eastAsia="zh-CN"/>
              </w:rPr>
              <w:t>.抓政治建设，以更严要求锻造过硬法治队伍</w:t>
            </w:r>
          </w:p>
          <w:p>
            <w:pPr>
              <w:snapToGrid w:val="0"/>
              <w:spacing w:line="520" w:lineRule="exac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2.抓统筹协调，以更高水平推进全面依法治县</w:t>
            </w:r>
          </w:p>
          <w:p>
            <w:pPr>
              <w:snapToGrid w:val="0"/>
              <w:spacing w:line="520" w:lineRule="exac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3.抓依法行政，以更大格局推动法治政府建设。</w:t>
            </w:r>
          </w:p>
          <w:p>
            <w:pPr>
              <w:snapToGrid w:val="0"/>
              <w:spacing w:line="520" w:lineRule="exac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4.抓资源整合，以更优服务厉行法治为民。</w:t>
            </w:r>
          </w:p>
          <w:p>
            <w:pPr>
              <w:snapToGrid w:val="0"/>
              <w:spacing w:line="520" w:lineRule="exac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5.抓亮点培育，以更新举措提升法治宣传质效。</w:t>
            </w:r>
          </w:p>
          <w:p>
            <w:pPr>
              <w:snapToGrid w:val="0"/>
              <w:spacing w:line="520" w:lineRule="exac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6.抓安全稳定，以更大力度完善社会治理体系。</w:t>
            </w:r>
          </w:p>
          <w:p>
            <w:pPr>
              <w:snapToGrid w:val="0"/>
              <w:spacing w:line="520" w:lineRule="exac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7.抓基础建设，以更实举措推动基层依法治理。</w:t>
            </w:r>
          </w:p>
          <w:p>
            <w:pPr>
              <w:numPr>
                <w:ilvl w:val="0"/>
                <w:numId w:val="0"/>
              </w:numPr>
              <w:snapToGrid w:val="0"/>
              <w:spacing w:line="520" w:lineRule="exact"/>
              <w:rPr>
                <w:rFonts w:hint="eastAsia" w:ascii="宋体" w:hAnsi="宋体" w:eastAsia="宋体"/>
                <w:iCs/>
                <w:sz w:val="24"/>
                <w:lang w:eastAsia="zh-CN"/>
              </w:rPr>
            </w:pPr>
            <w:r>
              <w:rPr>
                <w:rFonts w:hint="eastAsia" w:ascii="宋体" w:hAnsi="宋体"/>
                <w:iCs/>
                <w:sz w:val="24"/>
                <w:lang w:eastAsia="zh-CN"/>
              </w:rPr>
              <w:t>三、预算情况</w:t>
            </w:r>
          </w:p>
          <w:p>
            <w:pPr>
              <w:snapToGrid w:val="0"/>
              <w:spacing w:line="520" w:lineRule="exact"/>
              <w:rPr>
                <w:rFonts w:hint="eastAsia" w:ascii="宋体" w:hAnsi="宋体"/>
                <w:iCs/>
                <w:sz w:val="24"/>
                <w:lang w:eastAsia="zh-CN"/>
              </w:rPr>
            </w:pPr>
            <w:r>
              <w:rPr>
                <w:rFonts w:hint="eastAsia" w:ascii="宋体" w:hAnsi="宋体"/>
                <w:iCs/>
                <w:sz w:val="24"/>
                <w:lang w:eastAsia="zh-CN"/>
              </w:rPr>
              <w:t>（一）年初预算情况</w:t>
            </w:r>
          </w:p>
          <w:p>
            <w:pPr>
              <w:keepNext w:val="0"/>
              <w:keepLines w:val="0"/>
              <w:widowControl/>
              <w:suppressLineNumbers w:val="0"/>
              <w:jc w:val="left"/>
              <w:rPr>
                <w:rFonts w:hint="eastAsia" w:ascii="宋体" w:hAnsi="宋体"/>
                <w:iCs/>
                <w:sz w:val="24"/>
                <w:lang w:eastAsia="zh-CN"/>
              </w:rPr>
            </w:pPr>
            <w:r>
              <w:rPr>
                <w:rFonts w:hint="eastAsia" w:ascii="宋体" w:hAnsi="宋体"/>
                <w:iCs/>
                <w:sz w:val="24"/>
                <w:lang w:eastAsia="zh-CN"/>
              </w:rPr>
              <w:t>2024</w:t>
            </w:r>
            <w:r>
              <w:rPr>
                <w:rFonts w:hint="eastAsia" w:ascii="宋体" w:hAnsi="宋体"/>
                <w:iCs/>
                <w:sz w:val="24"/>
              </w:rPr>
              <w:t>年我局年初部门预算</w:t>
            </w:r>
            <w:r>
              <w:rPr>
                <w:rFonts w:hint="eastAsia" w:ascii="宋体" w:hAnsi="宋体"/>
                <w:iCs/>
                <w:sz w:val="24"/>
                <w:lang w:eastAsia="zh-CN"/>
              </w:rPr>
              <w:t>批复</w:t>
            </w:r>
            <w:r>
              <w:rPr>
                <w:rFonts w:hint="eastAsia" w:ascii="宋体" w:hAnsi="宋体"/>
                <w:iCs/>
                <w:sz w:val="24"/>
                <w:lang w:val="en-US" w:eastAsia="zh-CN"/>
              </w:rPr>
              <w:t>:部门预算</w:t>
            </w:r>
            <w:r>
              <w:rPr>
                <w:rFonts w:hint="eastAsia" w:ascii="宋体" w:hAnsi="宋体"/>
                <w:iCs/>
                <w:sz w:val="24"/>
                <w:lang w:eastAsia="zh-CN"/>
              </w:rPr>
              <w:t>收入为</w:t>
            </w:r>
            <w:r>
              <w:rPr>
                <w:rFonts w:hint="eastAsia" w:ascii="宋体" w:hAnsi="宋体" w:eastAsia="宋体" w:cs="宋体"/>
                <w:i w:val="0"/>
                <w:iCs w:val="0"/>
                <w:caps w:val="0"/>
                <w:color w:val="333333"/>
                <w:spacing w:val="0"/>
                <w:kern w:val="0"/>
                <w:sz w:val="24"/>
                <w:szCs w:val="24"/>
                <w:shd w:val="clear" w:fill="FFFFFF"/>
                <w:lang w:val="en-US" w:eastAsia="zh-CN" w:bidi="ar"/>
              </w:rPr>
              <w:t>1844.93</w:t>
            </w:r>
            <w:r>
              <w:rPr>
                <w:rFonts w:hint="eastAsia" w:ascii="宋体" w:hAnsi="宋体"/>
                <w:iCs/>
                <w:sz w:val="24"/>
                <w:lang w:val="en-US" w:eastAsia="zh-CN"/>
              </w:rPr>
              <w:t>万</w:t>
            </w:r>
            <w:r>
              <w:rPr>
                <w:rFonts w:hint="eastAsia" w:ascii="宋体" w:hAnsi="宋体"/>
                <w:iCs/>
                <w:sz w:val="24"/>
              </w:rPr>
              <w:t>元</w:t>
            </w:r>
            <w:r>
              <w:rPr>
                <w:rFonts w:hint="eastAsia" w:ascii="宋体" w:hAnsi="宋体"/>
                <w:iCs/>
                <w:sz w:val="24"/>
                <w:lang w:val="en-US" w:eastAsia="zh-CN"/>
              </w:rPr>
              <w:t>；部门预算支出为</w:t>
            </w:r>
            <w:r>
              <w:rPr>
                <w:rFonts w:hint="eastAsia" w:ascii="宋体" w:hAnsi="宋体" w:eastAsia="宋体" w:cs="宋体"/>
                <w:i w:val="0"/>
                <w:iCs w:val="0"/>
                <w:caps w:val="0"/>
                <w:color w:val="333333"/>
                <w:spacing w:val="0"/>
                <w:kern w:val="0"/>
                <w:sz w:val="24"/>
                <w:szCs w:val="24"/>
                <w:shd w:val="clear" w:fill="FFFFFF"/>
                <w:lang w:val="en-US" w:eastAsia="zh-CN" w:bidi="ar"/>
              </w:rPr>
              <w:t>1844.93</w:t>
            </w:r>
            <w:r>
              <w:rPr>
                <w:rFonts w:hint="eastAsia" w:ascii="宋体" w:hAnsi="宋体"/>
                <w:iCs/>
                <w:sz w:val="24"/>
                <w:lang w:val="en-US" w:eastAsia="zh-CN"/>
              </w:rPr>
              <w:t>万元，其中</w:t>
            </w:r>
            <w:r>
              <w:rPr>
                <w:rFonts w:hint="eastAsia" w:ascii="宋体" w:hAnsi="宋体"/>
                <w:iCs/>
                <w:sz w:val="24"/>
              </w:rPr>
              <w:t>基本支出</w:t>
            </w:r>
            <w:r>
              <w:rPr>
                <w:rFonts w:hint="eastAsia" w:ascii="宋体" w:hAnsi="宋体" w:eastAsia="宋体" w:cs="宋体"/>
                <w:i w:val="0"/>
                <w:iCs w:val="0"/>
                <w:caps w:val="0"/>
                <w:color w:val="333333"/>
                <w:spacing w:val="0"/>
                <w:kern w:val="0"/>
                <w:sz w:val="24"/>
                <w:szCs w:val="24"/>
                <w:shd w:val="clear" w:fill="FFFFFF"/>
                <w:lang w:val="en-US" w:eastAsia="zh-CN" w:bidi="ar"/>
              </w:rPr>
              <w:t>1533.13</w:t>
            </w:r>
            <w:r>
              <w:rPr>
                <w:rFonts w:hint="eastAsia" w:ascii="宋体" w:hAnsi="宋体"/>
                <w:iCs/>
                <w:sz w:val="24"/>
                <w:lang w:val="en-US" w:eastAsia="zh-CN"/>
              </w:rPr>
              <w:t>万</w:t>
            </w:r>
            <w:r>
              <w:rPr>
                <w:rFonts w:hint="eastAsia" w:ascii="宋体" w:hAnsi="宋体"/>
                <w:iCs/>
                <w:sz w:val="24"/>
              </w:rPr>
              <w:t>元</w:t>
            </w:r>
            <w:r>
              <w:rPr>
                <w:rFonts w:hint="eastAsia" w:ascii="宋体" w:hAnsi="宋体"/>
                <w:iCs/>
                <w:sz w:val="24"/>
                <w:lang w:eastAsia="zh-CN"/>
              </w:rPr>
              <w:t>（含</w:t>
            </w:r>
            <w:r>
              <w:rPr>
                <w:rFonts w:hint="eastAsia" w:ascii="宋体" w:hAnsi="宋体"/>
                <w:iCs/>
                <w:sz w:val="24"/>
              </w:rPr>
              <w:t>人员经费</w:t>
            </w:r>
            <w:r>
              <w:rPr>
                <w:rFonts w:hint="eastAsia" w:ascii="宋体" w:hAnsi="宋体"/>
                <w:iCs/>
                <w:sz w:val="24"/>
                <w:lang w:val="en-US" w:eastAsia="zh-CN"/>
              </w:rPr>
              <w:t>1297.30万</w:t>
            </w:r>
            <w:r>
              <w:rPr>
                <w:rFonts w:hint="eastAsia" w:ascii="宋体" w:hAnsi="宋体"/>
                <w:iCs/>
                <w:sz w:val="24"/>
              </w:rPr>
              <w:t>元，日常公用经费</w:t>
            </w:r>
            <w:r>
              <w:rPr>
                <w:rFonts w:hint="eastAsia" w:ascii="宋体" w:hAnsi="宋体" w:eastAsia="宋体" w:cs="宋体"/>
                <w:i w:val="0"/>
                <w:iCs w:val="0"/>
                <w:caps w:val="0"/>
                <w:color w:val="333333"/>
                <w:spacing w:val="0"/>
                <w:kern w:val="0"/>
                <w:sz w:val="24"/>
                <w:szCs w:val="24"/>
                <w:shd w:val="clear" w:fill="FFFFFF"/>
                <w:lang w:val="en-US" w:eastAsia="zh-CN" w:bidi="ar"/>
              </w:rPr>
              <w:t>235.83</w:t>
            </w:r>
            <w:r>
              <w:rPr>
                <w:rFonts w:hint="eastAsia" w:ascii="宋体" w:hAnsi="宋体"/>
                <w:iCs/>
                <w:sz w:val="24"/>
                <w:lang w:val="en-US" w:eastAsia="zh-CN"/>
              </w:rPr>
              <w:t>万</w:t>
            </w:r>
            <w:r>
              <w:rPr>
                <w:rFonts w:hint="eastAsia" w:ascii="宋体" w:hAnsi="宋体"/>
                <w:iCs/>
                <w:sz w:val="24"/>
              </w:rPr>
              <w:t>元)，项目支出</w:t>
            </w:r>
            <w:r>
              <w:rPr>
                <w:rFonts w:hint="eastAsia" w:ascii="宋体" w:hAnsi="宋体"/>
                <w:iCs/>
                <w:sz w:val="24"/>
                <w:lang w:eastAsia="zh-CN"/>
              </w:rPr>
              <w:t>（全部为业务性专项）</w:t>
            </w:r>
            <w:r>
              <w:rPr>
                <w:rFonts w:hint="eastAsia" w:ascii="宋体" w:hAnsi="宋体" w:eastAsia="宋体" w:cs="宋体"/>
                <w:i w:val="0"/>
                <w:iCs w:val="0"/>
                <w:caps w:val="0"/>
                <w:color w:val="333333"/>
                <w:spacing w:val="0"/>
                <w:kern w:val="0"/>
                <w:sz w:val="24"/>
                <w:szCs w:val="24"/>
                <w:shd w:val="clear" w:fill="FFFFFF"/>
                <w:lang w:val="en-US" w:eastAsia="zh-CN" w:bidi="ar"/>
              </w:rPr>
              <w:t>311.80</w:t>
            </w:r>
            <w:r>
              <w:rPr>
                <w:rFonts w:hint="eastAsia" w:ascii="宋体" w:hAnsi="宋体"/>
                <w:iCs/>
                <w:sz w:val="24"/>
                <w:lang w:eastAsia="zh-CN"/>
              </w:rPr>
              <w:t>万</w:t>
            </w:r>
            <w:r>
              <w:rPr>
                <w:rFonts w:hint="eastAsia" w:ascii="宋体" w:hAnsi="宋体"/>
                <w:iCs/>
                <w:sz w:val="24"/>
              </w:rPr>
              <w:t>元</w:t>
            </w:r>
            <w:r>
              <w:rPr>
                <w:rFonts w:hint="eastAsia" w:ascii="宋体" w:hAnsi="宋体"/>
                <w:iCs/>
                <w:sz w:val="24"/>
                <w:lang w:eastAsia="zh-CN"/>
              </w:rPr>
              <w:t>（其中县级专项为</w:t>
            </w:r>
            <w:r>
              <w:rPr>
                <w:rFonts w:hint="eastAsia" w:ascii="宋体" w:hAnsi="宋体"/>
                <w:iCs/>
                <w:sz w:val="24"/>
                <w:lang w:val="en-US" w:eastAsia="zh-CN"/>
              </w:rPr>
              <w:t>140.8万元</w:t>
            </w:r>
            <w:r>
              <w:rPr>
                <w:rFonts w:hint="eastAsia" w:ascii="宋体" w:hAnsi="宋体"/>
                <w:iCs/>
                <w:sz w:val="24"/>
                <w:lang w:eastAsia="zh-CN"/>
              </w:rPr>
              <w:t>，上级转移支付为</w:t>
            </w:r>
            <w:r>
              <w:rPr>
                <w:rFonts w:hint="eastAsia" w:ascii="宋体" w:hAnsi="宋体"/>
                <w:iCs/>
                <w:sz w:val="24"/>
                <w:lang w:val="en-US" w:eastAsia="zh-CN"/>
              </w:rPr>
              <w:t>171.00万元</w:t>
            </w:r>
            <w:r>
              <w:rPr>
                <w:rFonts w:hint="eastAsia" w:ascii="宋体" w:hAnsi="宋体"/>
                <w:iCs/>
                <w:sz w:val="24"/>
                <w:lang w:eastAsia="zh-CN"/>
              </w:rPr>
              <w:t>）。</w:t>
            </w:r>
          </w:p>
          <w:p>
            <w:pPr>
              <w:keepNext w:val="0"/>
              <w:keepLines w:val="0"/>
              <w:widowControl/>
              <w:suppressLineNumbers w:val="0"/>
              <w:jc w:val="left"/>
              <w:rPr>
                <w:rFonts w:hint="eastAsia" w:ascii="宋体" w:hAnsi="宋体"/>
                <w:iCs/>
                <w:sz w:val="24"/>
                <w:lang w:val="en-US" w:eastAsia="zh-CN"/>
              </w:rPr>
            </w:pPr>
            <w:r>
              <w:rPr>
                <w:rFonts w:hint="eastAsia" w:ascii="宋体" w:hAnsi="宋体"/>
                <w:iCs/>
                <w:sz w:val="24"/>
                <w:lang w:eastAsia="zh-CN"/>
              </w:rPr>
              <w:t>2024</w:t>
            </w:r>
            <w:r>
              <w:rPr>
                <w:rFonts w:hint="eastAsia" w:ascii="宋体" w:hAnsi="宋体"/>
                <w:iCs/>
                <w:sz w:val="24"/>
              </w:rPr>
              <w:t>年度</w:t>
            </w:r>
            <w:r>
              <w:rPr>
                <w:rFonts w:hint="eastAsia" w:ascii="宋体" w:hAnsi="宋体"/>
                <w:iCs/>
                <w:sz w:val="24"/>
                <w:lang w:eastAsia="zh-CN"/>
              </w:rPr>
              <w:t>核定我局</w:t>
            </w:r>
            <w:r>
              <w:rPr>
                <w:rFonts w:hint="eastAsia" w:ascii="宋体" w:hAnsi="宋体"/>
                <w:iCs/>
                <w:sz w:val="24"/>
              </w:rPr>
              <w:t>“三公经费”为</w:t>
            </w:r>
            <w:r>
              <w:rPr>
                <w:rFonts w:hint="eastAsia" w:ascii="宋体" w:hAnsi="宋体" w:eastAsia="宋体" w:cs="宋体"/>
                <w:i w:val="0"/>
                <w:iCs w:val="0"/>
                <w:caps w:val="0"/>
                <w:color w:val="333333"/>
                <w:spacing w:val="0"/>
                <w:kern w:val="0"/>
                <w:sz w:val="24"/>
                <w:szCs w:val="24"/>
                <w:shd w:val="clear" w:fill="FFFFFF"/>
                <w:lang w:val="en-US" w:eastAsia="zh-CN" w:bidi="ar"/>
              </w:rPr>
              <w:t>16.40</w:t>
            </w:r>
            <w:r>
              <w:rPr>
                <w:rFonts w:hint="eastAsia" w:ascii="宋体" w:hAnsi="宋体"/>
                <w:iCs/>
                <w:sz w:val="24"/>
              </w:rPr>
              <w:t>万元</w:t>
            </w:r>
            <w:r>
              <w:rPr>
                <w:rFonts w:hint="eastAsia" w:ascii="宋体" w:hAnsi="宋体"/>
                <w:iCs/>
                <w:sz w:val="24"/>
                <w:lang w:val="en-US" w:eastAsia="zh-CN"/>
              </w:rPr>
              <w:t>,其中</w:t>
            </w:r>
            <w:r>
              <w:rPr>
                <w:rFonts w:hint="eastAsia" w:ascii="宋体" w:hAnsi="宋体"/>
                <w:iCs/>
                <w:sz w:val="24"/>
              </w:rPr>
              <w:t>公务用车</w:t>
            </w:r>
            <w:r>
              <w:rPr>
                <w:rFonts w:hint="eastAsia" w:ascii="宋体" w:hAnsi="宋体"/>
                <w:iCs/>
                <w:sz w:val="24"/>
                <w:lang w:eastAsia="zh-CN"/>
              </w:rPr>
              <w:t>购置及</w:t>
            </w:r>
            <w:r>
              <w:rPr>
                <w:rFonts w:hint="eastAsia" w:ascii="宋体" w:hAnsi="宋体"/>
                <w:iCs/>
                <w:sz w:val="24"/>
              </w:rPr>
              <w:t>运行</w:t>
            </w:r>
            <w:r>
              <w:rPr>
                <w:rFonts w:hint="eastAsia" w:ascii="宋体" w:hAnsi="宋体"/>
                <w:iCs/>
                <w:sz w:val="24"/>
                <w:lang w:eastAsia="zh-CN"/>
              </w:rPr>
              <w:t>费</w:t>
            </w:r>
            <w:r>
              <w:rPr>
                <w:rFonts w:hint="eastAsia" w:ascii="宋体" w:hAnsi="宋体"/>
                <w:iCs/>
                <w:sz w:val="24"/>
                <w:lang w:val="en-US" w:eastAsia="zh-CN"/>
              </w:rPr>
              <w:t>11.40万元（公务用车购置费0万元、公务用车运行费11.40万元）</w:t>
            </w:r>
            <w:r>
              <w:rPr>
                <w:rFonts w:hint="eastAsia" w:ascii="宋体" w:hAnsi="宋体"/>
                <w:iCs/>
                <w:sz w:val="24"/>
              </w:rPr>
              <w:t>，公务接待费</w:t>
            </w:r>
            <w:r>
              <w:rPr>
                <w:rFonts w:hint="eastAsia" w:ascii="宋体" w:hAnsi="宋体"/>
                <w:iCs/>
                <w:sz w:val="24"/>
                <w:lang w:val="en-US" w:eastAsia="zh-CN"/>
              </w:rPr>
              <w:t>5.00万</w:t>
            </w:r>
            <w:r>
              <w:rPr>
                <w:rFonts w:hint="eastAsia" w:ascii="宋体" w:hAnsi="宋体"/>
                <w:iCs/>
                <w:sz w:val="24"/>
              </w:rPr>
              <w:t>元</w:t>
            </w:r>
            <w:r>
              <w:rPr>
                <w:rFonts w:hint="eastAsia" w:ascii="宋体" w:hAnsi="宋体"/>
                <w:iCs/>
                <w:sz w:val="24"/>
                <w:lang w:eastAsia="zh-CN"/>
              </w:rPr>
              <w:t>，因公出境</w:t>
            </w:r>
            <w:r>
              <w:rPr>
                <w:rFonts w:hint="eastAsia" w:ascii="宋体" w:hAnsi="宋体"/>
                <w:iCs/>
                <w:sz w:val="24"/>
                <w:lang w:val="en-US" w:eastAsia="zh-CN"/>
              </w:rPr>
              <w:t>0元。</w:t>
            </w:r>
          </w:p>
          <w:p>
            <w:pPr>
              <w:snapToGrid w:val="0"/>
              <w:spacing w:line="520" w:lineRule="exact"/>
              <w:rPr>
                <w:rFonts w:hint="eastAsia" w:ascii="宋体" w:hAnsi="宋体" w:eastAsia="宋体" w:cs="宋体"/>
                <w:color w:val="auto"/>
                <w:sz w:val="24"/>
                <w:szCs w:val="24"/>
                <w:lang w:eastAsia="zh-CN"/>
              </w:rPr>
            </w:pPr>
            <w:r>
              <w:rPr>
                <w:rFonts w:ascii="宋体" w:hAnsi="宋体" w:eastAsia="宋体" w:cs="宋体"/>
                <w:color w:val="auto"/>
                <w:sz w:val="24"/>
                <w:szCs w:val="24"/>
              </w:rPr>
              <w:t>年中追加和调减预算情况</w:t>
            </w:r>
          </w:p>
          <w:p>
            <w:pPr>
              <w:keepNext w:val="0"/>
              <w:keepLines w:val="0"/>
              <w:widowControl/>
              <w:suppressLineNumbers w:val="0"/>
              <w:jc w:val="left"/>
              <w:rPr>
                <w:rFonts w:hint="eastAsia" w:ascii="宋体" w:hAnsi="宋体" w:eastAsia="宋体" w:cs="Times New Roman"/>
                <w:iCs/>
                <w:sz w:val="24"/>
                <w:lang w:val="en-US" w:eastAsia="zh-CN"/>
              </w:rPr>
            </w:pPr>
            <w:r>
              <w:rPr>
                <w:rFonts w:hint="eastAsia" w:ascii="宋体" w:hAnsi="宋体" w:eastAsia="宋体" w:cs="Times New Roman"/>
                <w:iCs/>
                <w:sz w:val="24"/>
                <w:lang w:val="en-US" w:eastAsia="zh-CN"/>
              </w:rPr>
              <w:t>年中预算调整数 1024.08万元，其中县级基本支出调整追加1003.08万元，上级项目追加 21万元。</w:t>
            </w:r>
          </w:p>
          <w:p>
            <w:pPr>
              <w:snapToGrid w:val="0"/>
              <w:spacing w:line="520" w:lineRule="exact"/>
              <w:rPr>
                <w:rFonts w:hint="eastAsia" w:ascii="宋体" w:hAnsi="宋体" w:eastAsia="宋体" w:cs="宋体"/>
                <w:color w:val="auto"/>
                <w:sz w:val="24"/>
                <w:szCs w:val="24"/>
                <w:lang w:eastAsia="zh-CN"/>
              </w:rPr>
            </w:pPr>
            <w:r>
              <w:rPr>
                <w:rFonts w:hint="eastAsia" w:ascii="宋体" w:hAnsi="宋体"/>
                <w:iCs/>
                <w:sz w:val="24"/>
                <w:lang w:val="en-US" w:eastAsia="zh-CN"/>
              </w:rPr>
              <w:t>（三）全年总预算情</w:t>
            </w:r>
            <w:r>
              <w:rPr>
                <w:rFonts w:ascii="宋体" w:hAnsi="宋体" w:eastAsia="宋体" w:cs="宋体"/>
                <w:color w:val="auto"/>
                <w:sz w:val="24"/>
                <w:szCs w:val="24"/>
              </w:rPr>
              <w:t>况</w:t>
            </w:r>
          </w:p>
          <w:p>
            <w:pPr>
              <w:keepNext w:val="0"/>
              <w:keepLines w:val="0"/>
              <w:widowControl/>
              <w:suppressLineNumbers w:val="0"/>
              <w:jc w:val="left"/>
              <w:rPr>
                <w:rFonts w:hint="eastAsia" w:ascii="宋体" w:hAnsi="宋体" w:eastAsia="宋体" w:cs="Times New Roman"/>
                <w:iCs/>
                <w:sz w:val="24"/>
                <w:lang w:val="en-US" w:eastAsia="zh-CN"/>
              </w:rPr>
            </w:pPr>
            <w:r>
              <w:rPr>
                <w:rFonts w:hint="eastAsia" w:ascii="宋体" w:hAnsi="宋体" w:eastAsia="宋体" w:cs="宋体"/>
                <w:color w:val="auto"/>
                <w:sz w:val="24"/>
                <w:szCs w:val="24"/>
                <w:lang w:eastAsia="zh-CN"/>
              </w:rPr>
              <w:t>2024年我局年初指标结转881.26万元</w:t>
            </w:r>
            <w:r>
              <w:rPr>
                <w:rFonts w:hint="eastAsia" w:ascii="宋体" w:hAnsi="宋体" w:cs="宋体"/>
                <w:color w:val="auto"/>
                <w:sz w:val="24"/>
                <w:szCs w:val="24"/>
                <w:lang w:eastAsia="zh-CN"/>
              </w:rPr>
              <w:t>，</w:t>
            </w:r>
            <w:r>
              <w:rPr>
                <w:rFonts w:hint="eastAsia" w:ascii="宋体" w:hAnsi="宋体" w:eastAsia="宋体" w:cs="宋体"/>
                <w:color w:val="auto"/>
                <w:sz w:val="24"/>
                <w:szCs w:val="24"/>
                <w:lang w:eastAsia="zh-CN"/>
              </w:rPr>
              <w:t>全年年初预算收入</w:t>
            </w:r>
            <w:r>
              <w:rPr>
                <w:rFonts w:hint="eastAsia" w:ascii="宋体" w:hAnsi="宋体" w:eastAsia="宋体" w:cs="宋体"/>
                <w:color w:val="auto"/>
                <w:sz w:val="24"/>
                <w:szCs w:val="24"/>
                <w:lang w:val="en-US" w:eastAsia="zh-CN"/>
              </w:rPr>
              <w:t>1844.93</w:t>
            </w:r>
            <w:r>
              <w:rPr>
                <w:rFonts w:hint="eastAsia" w:ascii="宋体" w:hAnsi="宋体" w:eastAsia="宋体" w:cs="宋体"/>
                <w:color w:val="auto"/>
                <w:sz w:val="24"/>
                <w:szCs w:val="24"/>
                <w:lang w:eastAsia="zh-CN"/>
              </w:rPr>
              <w:t>万元，</w:t>
            </w:r>
            <w:r>
              <w:rPr>
                <w:rFonts w:hint="eastAsia" w:ascii="宋体" w:hAnsi="宋体" w:eastAsia="宋体" w:cs="宋体"/>
                <w:color w:val="auto"/>
                <w:sz w:val="24"/>
                <w:szCs w:val="24"/>
                <w:lang w:val="en-US" w:eastAsia="zh-CN"/>
              </w:rPr>
              <w:t>年中预算调整数 1024.08万元，2024年我局实际预算总</w:t>
            </w:r>
            <w:r>
              <w:rPr>
                <w:rFonts w:hint="eastAsia" w:ascii="宋体" w:hAnsi="宋体" w:cs="宋体"/>
                <w:color w:val="auto"/>
                <w:sz w:val="24"/>
                <w:szCs w:val="24"/>
                <w:lang w:val="en-US" w:eastAsia="zh-CN"/>
              </w:rPr>
              <w:t>支出</w:t>
            </w:r>
            <w:r>
              <w:rPr>
                <w:rFonts w:hint="eastAsia" w:ascii="宋体" w:hAnsi="宋体" w:eastAsia="宋体" w:cs="宋体"/>
                <w:color w:val="auto"/>
                <w:sz w:val="24"/>
                <w:szCs w:val="24"/>
                <w:lang w:val="en-US" w:eastAsia="zh-CN"/>
              </w:rPr>
              <w:t>为2969.03万元。</w:t>
            </w:r>
            <w:r>
              <w:rPr>
                <w:rFonts w:hint="eastAsia" w:ascii="宋体" w:hAnsi="宋体" w:eastAsia="宋体" w:cs="Times New Roman"/>
                <w:iCs/>
                <w:sz w:val="24"/>
                <w:lang w:val="en-US" w:eastAsia="zh-CN"/>
              </w:rPr>
              <w:t>2024年度指标结余资金  781.24 万元。</w:t>
            </w:r>
          </w:p>
          <w:p>
            <w:pPr>
              <w:snapToGrid w:val="0"/>
              <w:spacing w:line="520" w:lineRule="exact"/>
              <w:rPr>
                <w:rFonts w:hint="eastAsia" w:ascii="宋体" w:hAnsi="宋体" w:eastAsia="宋体" w:cs="宋体"/>
                <w:color w:val="auto"/>
                <w:sz w:val="24"/>
                <w:szCs w:val="24"/>
                <w:lang w:eastAsia="zh-CN"/>
              </w:rPr>
            </w:pPr>
            <w:bookmarkStart w:id="0" w:name="_GoBack"/>
            <w:bookmarkEnd w:id="0"/>
            <w:r>
              <w:rPr>
                <w:rFonts w:hint="eastAsia" w:ascii="宋体" w:hAnsi="宋体" w:eastAsia="宋体" w:cs="Times New Roman"/>
                <w:iCs/>
                <w:sz w:val="24"/>
                <w:lang w:val="en-US" w:eastAsia="zh-CN"/>
              </w:rPr>
              <w:t>（四）年度决算执行</w:t>
            </w:r>
            <w:r>
              <w:rPr>
                <w:rFonts w:ascii="宋体" w:hAnsi="宋体" w:eastAsia="宋体" w:cs="宋体"/>
                <w:color w:val="auto"/>
                <w:sz w:val="24"/>
                <w:szCs w:val="24"/>
              </w:rPr>
              <w:t>情况</w:t>
            </w:r>
          </w:p>
          <w:p>
            <w:pPr>
              <w:autoSpaceDE w:val="0"/>
              <w:autoSpaceDN w:val="0"/>
              <w:adjustRightInd w:val="0"/>
              <w:spacing w:line="520" w:lineRule="exact"/>
              <w:ind w:firstLine="643"/>
              <w:rPr>
                <w:rFonts w:hint="default" w:ascii="仿宋_GB2312" w:hAnsi="Times New Roman" w:eastAsia="仿宋_GB2312"/>
                <w:kern w:val="0"/>
                <w:sz w:val="24"/>
                <w:szCs w:val="24"/>
              </w:rPr>
            </w:pPr>
            <w:r>
              <w:rPr>
                <w:rFonts w:hint="eastAsia" w:ascii="宋体" w:hAnsi="宋体" w:cs="宋体"/>
                <w:color w:val="auto"/>
                <w:sz w:val="24"/>
                <w:szCs w:val="24"/>
                <w:lang w:val="en-US" w:eastAsia="zh-CN"/>
              </w:rPr>
              <w:t>1</w:t>
            </w:r>
            <w:r>
              <w:rPr>
                <w:rFonts w:hint="eastAsia" w:ascii="宋体" w:hAnsi="宋体"/>
                <w:iCs/>
                <w:color w:val="auto"/>
                <w:sz w:val="24"/>
              </w:rPr>
              <w:t>、</w:t>
            </w:r>
            <w:r>
              <w:rPr>
                <w:rFonts w:hint="eastAsia" w:ascii="宋体" w:hAnsi="宋体"/>
                <w:iCs/>
                <w:color w:val="auto"/>
                <w:sz w:val="24"/>
                <w:lang w:eastAsia="zh-CN"/>
              </w:rPr>
              <w:t>经费总收支情况</w:t>
            </w:r>
            <w:r>
              <w:rPr>
                <w:rFonts w:hint="eastAsia" w:ascii="宋体" w:hAnsi="宋体"/>
                <w:iCs/>
                <w:color w:val="auto"/>
                <w:sz w:val="24"/>
              </w:rPr>
              <w:t>：</w:t>
            </w:r>
            <w:r>
              <w:rPr>
                <w:rFonts w:ascii="仿宋_GB2312" w:hAnsi="Times New Roman" w:eastAsia="仿宋_GB2312"/>
                <w:kern w:val="0"/>
                <w:sz w:val="24"/>
                <w:szCs w:val="24"/>
              </w:rPr>
              <w:t>本年度收入为</w:t>
            </w:r>
            <w:r>
              <w:rPr>
                <w:rFonts w:hint="eastAsia" w:ascii="仿宋_GB2312" w:hAnsi="Times New Roman" w:eastAsia="仿宋_GB2312"/>
                <w:kern w:val="0"/>
                <w:sz w:val="24"/>
                <w:szCs w:val="24"/>
                <w:lang w:val="en-US" w:eastAsia="zh-CN"/>
              </w:rPr>
              <w:t>4092.17</w:t>
            </w:r>
            <w:r>
              <w:rPr>
                <w:rFonts w:ascii="仿宋_GB2312" w:hAnsi="Times New Roman" w:eastAsia="仿宋_GB2312"/>
                <w:kern w:val="0"/>
                <w:sz w:val="24"/>
                <w:szCs w:val="24"/>
              </w:rPr>
              <w:t>万元，其中财政拨款收入</w:t>
            </w:r>
            <w:r>
              <w:rPr>
                <w:rFonts w:hint="eastAsia" w:ascii="仿宋_GB2312" w:hAnsi="Times New Roman" w:eastAsia="仿宋_GB2312"/>
                <w:kern w:val="0"/>
                <w:sz w:val="24"/>
                <w:szCs w:val="24"/>
                <w:lang w:val="en-US" w:eastAsia="zh-CN"/>
              </w:rPr>
              <w:t>2969.03</w:t>
            </w:r>
            <w:r>
              <w:rPr>
                <w:rFonts w:ascii="仿宋_GB2312" w:hAnsi="Times New Roman" w:eastAsia="仿宋_GB2312"/>
                <w:kern w:val="0"/>
                <w:sz w:val="24"/>
                <w:szCs w:val="24"/>
              </w:rPr>
              <w:t>万元，占全部收入的</w:t>
            </w:r>
            <w:r>
              <w:rPr>
                <w:rFonts w:hint="eastAsia" w:ascii="仿宋_GB2312" w:hAnsi="Times New Roman" w:eastAsia="仿宋_GB2312"/>
                <w:kern w:val="0"/>
                <w:sz w:val="24"/>
                <w:szCs w:val="24"/>
                <w:lang w:val="en-US" w:eastAsia="zh-CN"/>
              </w:rPr>
              <w:t>72.55</w:t>
            </w:r>
            <w:r>
              <w:rPr>
                <w:rFonts w:ascii="仿宋_GB2312" w:hAnsi="Times New Roman" w:eastAsia="仿宋_GB2312"/>
                <w:kern w:val="0"/>
                <w:sz w:val="24"/>
                <w:szCs w:val="24"/>
              </w:rPr>
              <w:t>%（其中行政运行1</w:t>
            </w:r>
            <w:r>
              <w:rPr>
                <w:rFonts w:hint="eastAsia" w:ascii="仿宋_GB2312" w:hAnsi="Times New Roman" w:eastAsia="仿宋_GB2312"/>
                <w:kern w:val="0"/>
                <w:sz w:val="24"/>
                <w:szCs w:val="24"/>
                <w:lang w:val="en-US" w:eastAsia="zh-CN"/>
              </w:rPr>
              <w:t>232.06</w:t>
            </w:r>
            <w:r>
              <w:rPr>
                <w:rFonts w:ascii="仿宋_GB2312" w:hAnsi="Times New Roman" w:eastAsia="仿宋_GB2312"/>
                <w:kern w:val="0"/>
                <w:sz w:val="24"/>
                <w:szCs w:val="24"/>
              </w:rPr>
              <w:t>万元、</w:t>
            </w:r>
            <w:r>
              <w:rPr>
                <w:rFonts w:hint="eastAsia" w:ascii="仿宋_GB2312" w:hAnsi="Times New Roman" w:eastAsia="仿宋_GB2312"/>
                <w:kern w:val="0"/>
                <w:sz w:val="24"/>
                <w:szCs w:val="24"/>
                <w:lang w:eastAsia="zh-CN"/>
              </w:rPr>
              <w:t>一般行政管理事务</w:t>
            </w:r>
            <w:r>
              <w:rPr>
                <w:rFonts w:hint="eastAsia" w:ascii="仿宋_GB2312" w:hAnsi="Times New Roman" w:eastAsia="仿宋_GB2312"/>
                <w:kern w:val="0"/>
                <w:sz w:val="24"/>
                <w:szCs w:val="24"/>
                <w:lang w:val="en-US" w:eastAsia="zh-CN"/>
              </w:rPr>
              <w:t>14.95元、</w:t>
            </w:r>
            <w:r>
              <w:rPr>
                <w:rFonts w:ascii="仿宋_GB2312" w:hAnsi="Times New Roman" w:eastAsia="仿宋_GB2312"/>
                <w:kern w:val="0"/>
                <w:sz w:val="24"/>
                <w:szCs w:val="24"/>
              </w:rPr>
              <w:t>住房公积金</w:t>
            </w:r>
            <w:r>
              <w:rPr>
                <w:rFonts w:hint="eastAsia" w:ascii="仿宋_GB2312" w:hAnsi="Times New Roman" w:eastAsia="仿宋_GB2312"/>
                <w:kern w:val="0"/>
                <w:sz w:val="24"/>
                <w:szCs w:val="24"/>
                <w:lang w:val="en-US" w:eastAsia="zh-CN"/>
              </w:rPr>
              <w:t>114.69</w:t>
            </w:r>
            <w:r>
              <w:rPr>
                <w:rFonts w:ascii="仿宋_GB2312" w:hAnsi="Times New Roman" w:eastAsia="仿宋_GB2312"/>
                <w:kern w:val="0"/>
                <w:sz w:val="24"/>
                <w:szCs w:val="24"/>
              </w:rPr>
              <w:t>万元、行政单位医疗</w:t>
            </w:r>
            <w:r>
              <w:rPr>
                <w:rFonts w:hint="eastAsia" w:ascii="仿宋_GB2312" w:hAnsi="Times New Roman" w:eastAsia="仿宋_GB2312"/>
                <w:kern w:val="0"/>
                <w:sz w:val="24"/>
                <w:szCs w:val="24"/>
                <w:lang w:val="en-US" w:eastAsia="zh-CN"/>
              </w:rPr>
              <w:t>78.41</w:t>
            </w:r>
            <w:r>
              <w:rPr>
                <w:rFonts w:ascii="仿宋_GB2312" w:hAnsi="Times New Roman" w:eastAsia="仿宋_GB2312"/>
                <w:kern w:val="0"/>
                <w:sz w:val="24"/>
                <w:szCs w:val="24"/>
              </w:rPr>
              <w:t>万元、机关事业单位基本养老保险缴费</w:t>
            </w:r>
            <w:r>
              <w:rPr>
                <w:rFonts w:hint="eastAsia" w:ascii="仿宋_GB2312" w:hAnsi="Times New Roman" w:eastAsia="仿宋_GB2312"/>
                <w:kern w:val="0"/>
                <w:sz w:val="24"/>
                <w:szCs w:val="24"/>
                <w:lang w:val="en-US" w:eastAsia="zh-CN"/>
              </w:rPr>
              <w:t>132.01</w:t>
            </w:r>
            <w:r>
              <w:rPr>
                <w:rFonts w:ascii="仿宋_GB2312" w:hAnsi="Times New Roman" w:eastAsia="仿宋_GB2312"/>
                <w:kern w:val="0"/>
                <w:sz w:val="24"/>
                <w:szCs w:val="24"/>
              </w:rPr>
              <w:t>万元、机关事业单位职业年金缴费</w:t>
            </w:r>
            <w:r>
              <w:rPr>
                <w:rFonts w:hint="eastAsia" w:ascii="仿宋_GB2312" w:hAnsi="Times New Roman" w:eastAsia="仿宋_GB2312"/>
                <w:kern w:val="0"/>
                <w:sz w:val="24"/>
                <w:szCs w:val="24"/>
                <w:lang w:val="en-US" w:eastAsia="zh-CN"/>
              </w:rPr>
              <w:t>27.79</w:t>
            </w:r>
            <w:r>
              <w:rPr>
                <w:rFonts w:ascii="仿宋_GB2312" w:hAnsi="Times New Roman" w:eastAsia="仿宋_GB2312"/>
                <w:kern w:val="0"/>
                <w:sz w:val="24"/>
                <w:szCs w:val="24"/>
              </w:rPr>
              <w:t>万元、基层司法业务</w:t>
            </w:r>
            <w:r>
              <w:rPr>
                <w:rFonts w:hint="eastAsia" w:ascii="仿宋_GB2312" w:hAnsi="Times New Roman" w:eastAsia="仿宋_GB2312"/>
                <w:kern w:val="0"/>
                <w:sz w:val="24"/>
                <w:szCs w:val="24"/>
                <w:lang w:val="en-US" w:eastAsia="zh-CN"/>
              </w:rPr>
              <w:t>74.15</w:t>
            </w:r>
            <w:r>
              <w:rPr>
                <w:rFonts w:ascii="仿宋_GB2312" w:hAnsi="Times New Roman" w:eastAsia="仿宋_GB2312"/>
                <w:kern w:val="0"/>
                <w:sz w:val="24"/>
                <w:szCs w:val="24"/>
              </w:rPr>
              <w:t>万元、社区矫正</w:t>
            </w:r>
            <w:r>
              <w:rPr>
                <w:rFonts w:hint="eastAsia" w:ascii="仿宋_GB2312" w:hAnsi="Times New Roman" w:eastAsia="仿宋_GB2312"/>
                <w:kern w:val="0"/>
                <w:sz w:val="24"/>
                <w:szCs w:val="24"/>
                <w:lang w:val="en-US" w:eastAsia="zh-CN"/>
              </w:rPr>
              <w:t>34.42</w:t>
            </w:r>
            <w:r>
              <w:rPr>
                <w:rFonts w:ascii="仿宋_GB2312" w:hAnsi="Times New Roman" w:eastAsia="仿宋_GB2312"/>
                <w:kern w:val="0"/>
                <w:sz w:val="24"/>
                <w:szCs w:val="24"/>
              </w:rPr>
              <w:t>万元、普法宣传</w:t>
            </w:r>
            <w:r>
              <w:rPr>
                <w:rFonts w:hint="eastAsia" w:ascii="仿宋_GB2312" w:hAnsi="Times New Roman" w:eastAsia="仿宋_GB2312"/>
                <w:kern w:val="0"/>
                <w:sz w:val="24"/>
                <w:szCs w:val="24"/>
                <w:lang w:val="en-US" w:eastAsia="zh-CN"/>
              </w:rPr>
              <w:t>6.08</w:t>
            </w:r>
            <w:r>
              <w:rPr>
                <w:rFonts w:ascii="仿宋_GB2312" w:hAnsi="Times New Roman" w:eastAsia="仿宋_GB2312"/>
                <w:kern w:val="0"/>
                <w:sz w:val="24"/>
                <w:szCs w:val="24"/>
              </w:rPr>
              <w:t>万元、公共法律服务</w:t>
            </w:r>
            <w:r>
              <w:rPr>
                <w:rFonts w:hint="eastAsia" w:ascii="仿宋_GB2312" w:hAnsi="Times New Roman" w:eastAsia="仿宋_GB2312"/>
                <w:kern w:val="0"/>
                <w:sz w:val="24"/>
                <w:szCs w:val="24"/>
                <w:lang w:val="en-US" w:eastAsia="zh-CN"/>
              </w:rPr>
              <w:t>135.34</w:t>
            </w:r>
            <w:r>
              <w:rPr>
                <w:rFonts w:ascii="仿宋_GB2312" w:hAnsi="Times New Roman" w:eastAsia="仿宋_GB2312"/>
                <w:kern w:val="0"/>
                <w:sz w:val="24"/>
                <w:szCs w:val="24"/>
              </w:rPr>
              <w:t>万元、</w:t>
            </w:r>
            <w:r>
              <w:rPr>
                <w:rFonts w:hint="eastAsia" w:ascii="仿宋_GB2312" w:hAnsi="Times New Roman" w:eastAsia="仿宋_GB2312"/>
                <w:kern w:val="0"/>
                <w:sz w:val="24"/>
                <w:szCs w:val="24"/>
                <w:lang w:eastAsia="zh-CN"/>
              </w:rPr>
              <w:t>信息化</w:t>
            </w:r>
            <w:r>
              <w:rPr>
                <w:rFonts w:ascii="仿宋_GB2312" w:hAnsi="Times New Roman" w:eastAsia="仿宋_GB2312"/>
                <w:kern w:val="0"/>
                <w:sz w:val="24"/>
                <w:szCs w:val="24"/>
              </w:rPr>
              <w:t>建设</w:t>
            </w:r>
            <w:r>
              <w:rPr>
                <w:rFonts w:hint="eastAsia" w:ascii="仿宋_GB2312" w:hAnsi="Times New Roman" w:eastAsia="仿宋_GB2312"/>
                <w:kern w:val="0"/>
                <w:sz w:val="24"/>
                <w:szCs w:val="24"/>
                <w:lang w:val="en-US" w:eastAsia="zh-CN"/>
              </w:rPr>
              <w:t>3</w:t>
            </w:r>
            <w:r>
              <w:rPr>
                <w:rFonts w:ascii="仿宋_GB2312" w:hAnsi="Times New Roman" w:eastAsia="仿宋_GB2312"/>
                <w:kern w:val="0"/>
                <w:sz w:val="24"/>
                <w:szCs w:val="24"/>
              </w:rPr>
              <w:t>万元、其他司法支出</w:t>
            </w:r>
            <w:r>
              <w:rPr>
                <w:rFonts w:hint="eastAsia" w:ascii="仿宋_GB2312" w:hAnsi="Times New Roman" w:eastAsia="仿宋_GB2312"/>
                <w:kern w:val="0"/>
                <w:sz w:val="24"/>
                <w:szCs w:val="24"/>
                <w:lang w:val="en-US" w:eastAsia="zh-CN"/>
              </w:rPr>
              <w:t>1111.51</w:t>
            </w:r>
            <w:r>
              <w:rPr>
                <w:rFonts w:ascii="仿宋_GB2312" w:hAnsi="Times New Roman" w:eastAsia="仿宋_GB2312"/>
                <w:kern w:val="0"/>
                <w:sz w:val="24"/>
                <w:szCs w:val="24"/>
              </w:rPr>
              <w:t>万元、其他公共安全支出</w:t>
            </w:r>
            <w:r>
              <w:rPr>
                <w:rFonts w:hint="eastAsia" w:ascii="仿宋_GB2312" w:hAnsi="Times New Roman" w:eastAsia="仿宋_GB2312"/>
                <w:kern w:val="0"/>
                <w:sz w:val="24"/>
                <w:szCs w:val="24"/>
                <w:lang w:val="en-US" w:eastAsia="zh-CN"/>
              </w:rPr>
              <w:t>4.62</w:t>
            </w:r>
            <w:r>
              <w:rPr>
                <w:rFonts w:ascii="仿宋_GB2312" w:hAnsi="Times New Roman" w:eastAsia="仿宋_GB2312"/>
                <w:kern w:val="0"/>
                <w:sz w:val="24"/>
                <w:szCs w:val="24"/>
              </w:rPr>
              <w:t>），其他收入</w:t>
            </w:r>
            <w:r>
              <w:rPr>
                <w:rFonts w:hint="eastAsia" w:ascii="仿宋_GB2312" w:hAnsi="Times New Roman" w:eastAsia="仿宋_GB2312"/>
                <w:kern w:val="0"/>
                <w:sz w:val="24"/>
                <w:szCs w:val="24"/>
                <w:lang w:val="en-US" w:eastAsia="zh-CN"/>
              </w:rPr>
              <w:t>1123.14</w:t>
            </w:r>
            <w:r>
              <w:rPr>
                <w:rFonts w:ascii="仿宋_GB2312" w:hAnsi="Times New Roman" w:eastAsia="仿宋_GB2312"/>
                <w:kern w:val="0"/>
                <w:sz w:val="24"/>
                <w:szCs w:val="24"/>
              </w:rPr>
              <w:t>万元（县财政将鸿泰宇煤矿行政赔偿款</w:t>
            </w:r>
            <w:r>
              <w:rPr>
                <w:rFonts w:hint="eastAsia" w:ascii="仿宋_GB2312" w:hAnsi="Times New Roman" w:eastAsia="仿宋_GB2312"/>
                <w:kern w:val="0"/>
                <w:sz w:val="24"/>
                <w:szCs w:val="24"/>
                <w:lang w:val="en-US" w:eastAsia="zh-CN"/>
              </w:rPr>
              <w:t>1100</w:t>
            </w:r>
            <w:r>
              <w:rPr>
                <w:rFonts w:ascii="仿宋_GB2312" w:hAnsi="Times New Roman" w:eastAsia="仿宋_GB2312"/>
                <w:kern w:val="0"/>
                <w:sz w:val="24"/>
                <w:szCs w:val="24"/>
              </w:rPr>
              <w:t>万元追加在我单位的结算户），占全年收入的</w:t>
            </w:r>
            <w:r>
              <w:rPr>
                <w:rFonts w:hint="eastAsia" w:ascii="仿宋_GB2312" w:hAnsi="Times New Roman" w:eastAsia="仿宋_GB2312"/>
                <w:kern w:val="0"/>
                <w:sz w:val="24"/>
                <w:szCs w:val="24"/>
                <w:lang w:val="en-US" w:eastAsia="zh-CN"/>
              </w:rPr>
              <w:t>27.45</w:t>
            </w:r>
            <w:r>
              <w:rPr>
                <w:rFonts w:ascii="仿宋_GB2312" w:hAnsi="Times New Roman" w:eastAsia="仿宋_GB2312"/>
                <w:kern w:val="0"/>
                <w:sz w:val="24"/>
                <w:szCs w:val="24"/>
              </w:rPr>
              <w:t>%。</w:t>
            </w:r>
          </w:p>
          <w:p>
            <w:pPr>
              <w:autoSpaceDE w:val="0"/>
              <w:autoSpaceDN w:val="0"/>
              <w:adjustRightInd w:val="0"/>
              <w:spacing w:line="520" w:lineRule="exact"/>
              <w:ind w:firstLine="240" w:firstLineChars="100"/>
              <w:rPr>
                <w:rFonts w:hint="default" w:ascii="仿宋_GB2312" w:hAnsi="Times New Roman" w:eastAsia="仿宋_GB2312"/>
                <w:kern w:val="0"/>
                <w:sz w:val="24"/>
                <w:szCs w:val="24"/>
              </w:rPr>
            </w:pPr>
            <w:r>
              <w:rPr>
                <w:rFonts w:ascii="仿宋_GB2312" w:hAnsi="Times New Roman" w:eastAsia="仿宋_GB2312"/>
                <w:kern w:val="0"/>
                <w:sz w:val="24"/>
                <w:szCs w:val="24"/>
              </w:rPr>
              <w:t>本年度支出为</w:t>
            </w:r>
            <w:r>
              <w:rPr>
                <w:rFonts w:hint="eastAsia" w:ascii="仿宋_GB2312" w:hAnsi="Times New Roman" w:eastAsia="仿宋_GB2312"/>
                <w:kern w:val="0"/>
                <w:sz w:val="24"/>
                <w:szCs w:val="24"/>
                <w:lang w:val="en-US" w:eastAsia="zh-CN"/>
              </w:rPr>
              <w:t>4091.44</w:t>
            </w:r>
            <w:r>
              <w:rPr>
                <w:rFonts w:ascii="仿宋_GB2312" w:hAnsi="Times New Roman" w:eastAsia="仿宋_GB2312"/>
                <w:kern w:val="0"/>
                <w:sz w:val="24"/>
                <w:szCs w:val="24"/>
              </w:rPr>
              <w:t>万元，按支出性质分类，其中基本支出1</w:t>
            </w:r>
            <w:r>
              <w:rPr>
                <w:rFonts w:hint="eastAsia" w:ascii="仿宋_GB2312" w:hAnsi="Times New Roman" w:eastAsia="仿宋_GB2312"/>
                <w:kern w:val="0"/>
                <w:sz w:val="24"/>
                <w:szCs w:val="24"/>
                <w:lang w:val="en-US" w:eastAsia="zh-CN"/>
              </w:rPr>
              <w:t>687.48</w:t>
            </w:r>
            <w:r>
              <w:rPr>
                <w:rFonts w:ascii="仿宋_GB2312" w:hAnsi="Times New Roman" w:eastAsia="仿宋_GB2312"/>
                <w:kern w:val="0"/>
                <w:sz w:val="24"/>
                <w:szCs w:val="24"/>
              </w:rPr>
              <w:t>万元，占全年支出的</w:t>
            </w:r>
            <w:r>
              <w:rPr>
                <w:rFonts w:hint="eastAsia" w:ascii="仿宋_GB2312" w:hAnsi="Times New Roman" w:eastAsia="仿宋_GB2312"/>
                <w:kern w:val="0"/>
                <w:sz w:val="24"/>
                <w:szCs w:val="24"/>
                <w:lang w:val="en-US" w:eastAsia="zh-CN"/>
              </w:rPr>
              <w:t>41.24</w:t>
            </w:r>
            <w:r>
              <w:rPr>
                <w:rFonts w:ascii="仿宋_GB2312" w:hAnsi="Times New Roman" w:eastAsia="仿宋_GB2312"/>
                <w:kern w:val="0"/>
                <w:sz w:val="24"/>
                <w:szCs w:val="24"/>
              </w:rPr>
              <w:t>%（其中人员经费1</w:t>
            </w:r>
            <w:r>
              <w:rPr>
                <w:rFonts w:hint="eastAsia" w:ascii="仿宋_GB2312" w:hAnsi="Times New Roman" w:eastAsia="仿宋_GB2312"/>
                <w:kern w:val="0"/>
                <w:sz w:val="24"/>
                <w:szCs w:val="24"/>
                <w:lang w:val="en-US" w:eastAsia="zh-CN"/>
              </w:rPr>
              <w:t>505.34</w:t>
            </w:r>
            <w:r>
              <w:rPr>
                <w:rFonts w:ascii="仿宋_GB2312" w:hAnsi="Times New Roman" w:eastAsia="仿宋_GB2312"/>
                <w:kern w:val="0"/>
                <w:sz w:val="24"/>
                <w:szCs w:val="24"/>
              </w:rPr>
              <w:t>万元、公用经费1</w:t>
            </w:r>
            <w:r>
              <w:rPr>
                <w:rFonts w:hint="eastAsia" w:ascii="仿宋_GB2312" w:hAnsi="Times New Roman" w:eastAsia="仿宋_GB2312"/>
                <w:kern w:val="0"/>
                <w:sz w:val="24"/>
                <w:szCs w:val="24"/>
                <w:lang w:val="en-US" w:eastAsia="zh-CN"/>
              </w:rPr>
              <w:t>82.14</w:t>
            </w:r>
            <w:r>
              <w:rPr>
                <w:rFonts w:ascii="仿宋_GB2312" w:hAnsi="Times New Roman" w:eastAsia="仿宋_GB2312"/>
                <w:kern w:val="0"/>
                <w:sz w:val="24"/>
                <w:szCs w:val="24"/>
              </w:rPr>
              <w:t>万元），项目支出</w:t>
            </w:r>
            <w:r>
              <w:rPr>
                <w:rFonts w:hint="eastAsia" w:ascii="仿宋_GB2312" w:hAnsi="Times New Roman" w:eastAsia="仿宋_GB2312"/>
                <w:kern w:val="0"/>
                <w:sz w:val="24"/>
                <w:szCs w:val="24"/>
                <w:lang w:val="en-US" w:eastAsia="zh-CN"/>
              </w:rPr>
              <w:t>2403.96</w:t>
            </w:r>
            <w:r>
              <w:rPr>
                <w:rFonts w:ascii="仿宋_GB2312" w:hAnsi="Times New Roman" w:eastAsia="仿宋_GB2312"/>
                <w:kern w:val="0"/>
                <w:sz w:val="24"/>
                <w:szCs w:val="24"/>
              </w:rPr>
              <w:t>万元，占全部支出的</w:t>
            </w:r>
            <w:r>
              <w:rPr>
                <w:rFonts w:hint="eastAsia" w:ascii="仿宋_GB2312" w:hAnsi="Times New Roman" w:eastAsia="仿宋_GB2312"/>
                <w:kern w:val="0"/>
                <w:sz w:val="24"/>
                <w:szCs w:val="24"/>
                <w:lang w:val="en-US" w:eastAsia="zh-CN"/>
              </w:rPr>
              <w:t>58.76</w:t>
            </w:r>
            <w:r>
              <w:rPr>
                <w:rFonts w:ascii="仿宋_GB2312" w:hAnsi="Times New Roman" w:eastAsia="仿宋_GB2312"/>
                <w:kern w:val="0"/>
                <w:sz w:val="24"/>
                <w:szCs w:val="24"/>
              </w:rPr>
              <w:t>%；按支出经济分类，其中工资福利支出</w:t>
            </w:r>
            <w:r>
              <w:rPr>
                <w:rFonts w:hint="eastAsia" w:ascii="仿宋_GB2312" w:hAnsi="Times New Roman" w:eastAsia="仿宋_GB2312"/>
                <w:kern w:val="0"/>
                <w:sz w:val="24"/>
                <w:szCs w:val="24"/>
                <w:lang w:val="en-US" w:eastAsia="zh-CN"/>
              </w:rPr>
              <w:t>1486.1</w:t>
            </w:r>
            <w:r>
              <w:rPr>
                <w:rFonts w:ascii="仿宋_GB2312" w:hAnsi="Times New Roman" w:eastAsia="仿宋_GB2312"/>
                <w:kern w:val="0"/>
                <w:sz w:val="24"/>
                <w:szCs w:val="24"/>
              </w:rPr>
              <w:t>万元、商品和服务支出</w:t>
            </w:r>
            <w:r>
              <w:rPr>
                <w:rFonts w:hint="eastAsia" w:ascii="仿宋_GB2312" w:hAnsi="Times New Roman" w:eastAsia="仿宋_GB2312"/>
                <w:kern w:val="0"/>
                <w:sz w:val="24"/>
                <w:szCs w:val="24"/>
                <w:lang w:val="en-US" w:eastAsia="zh-CN"/>
              </w:rPr>
              <w:t>509.91</w:t>
            </w:r>
            <w:r>
              <w:rPr>
                <w:rFonts w:ascii="仿宋_GB2312" w:hAnsi="Times New Roman" w:eastAsia="仿宋_GB2312"/>
                <w:kern w:val="0"/>
                <w:sz w:val="24"/>
                <w:szCs w:val="24"/>
              </w:rPr>
              <w:t>万元、对个人和家庭补助支出</w:t>
            </w:r>
            <w:r>
              <w:rPr>
                <w:rFonts w:hint="eastAsia" w:ascii="仿宋_GB2312" w:hAnsi="Times New Roman" w:eastAsia="仿宋_GB2312"/>
                <w:kern w:val="0"/>
                <w:sz w:val="24"/>
                <w:szCs w:val="24"/>
                <w:lang w:val="en-US" w:eastAsia="zh-CN"/>
              </w:rPr>
              <w:t>19.71</w:t>
            </w:r>
            <w:r>
              <w:rPr>
                <w:rFonts w:ascii="仿宋_GB2312" w:hAnsi="Times New Roman" w:eastAsia="仿宋_GB2312"/>
                <w:kern w:val="0"/>
                <w:sz w:val="24"/>
                <w:szCs w:val="24"/>
              </w:rPr>
              <w:t>万元，其他资本性支出</w:t>
            </w:r>
            <w:r>
              <w:rPr>
                <w:rFonts w:hint="eastAsia" w:ascii="仿宋_GB2312" w:hAnsi="Times New Roman" w:eastAsia="仿宋_GB2312"/>
                <w:kern w:val="0"/>
                <w:sz w:val="24"/>
                <w:szCs w:val="24"/>
                <w:lang w:val="en-US" w:eastAsia="zh-CN"/>
              </w:rPr>
              <w:t>45.72</w:t>
            </w:r>
            <w:r>
              <w:rPr>
                <w:rFonts w:ascii="仿宋_GB2312" w:hAnsi="Times New Roman" w:eastAsia="仿宋_GB2312"/>
                <w:kern w:val="0"/>
                <w:sz w:val="24"/>
                <w:szCs w:val="24"/>
              </w:rPr>
              <w:t>万元</w:t>
            </w:r>
            <w:r>
              <w:rPr>
                <w:rFonts w:hint="eastAsia" w:ascii="仿宋_GB2312" w:hAnsi="Times New Roman" w:eastAsia="仿宋_GB2312"/>
                <w:kern w:val="0"/>
                <w:sz w:val="24"/>
                <w:szCs w:val="24"/>
                <w:lang w:eastAsia="zh-CN"/>
              </w:rPr>
              <w:t>、其他支出</w:t>
            </w:r>
            <w:r>
              <w:rPr>
                <w:rFonts w:hint="eastAsia" w:ascii="仿宋_GB2312" w:hAnsi="Times New Roman" w:eastAsia="仿宋_GB2312"/>
                <w:kern w:val="0"/>
                <w:sz w:val="24"/>
                <w:szCs w:val="24"/>
                <w:lang w:val="en-US" w:eastAsia="zh-CN"/>
              </w:rPr>
              <w:t>2030万元</w:t>
            </w:r>
            <w:r>
              <w:rPr>
                <w:rFonts w:ascii="仿宋_GB2312" w:hAnsi="Times New Roman" w:eastAsia="仿宋_GB2312"/>
                <w:kern w:val="0"/>
                <w:sz w:val="24"/>
                <w:szCs w:val="24"/>
              </w:rPr>
              <w:t>。</w:t>
            </w:r>
          </w:p>
          <w:p>
            <w:pPr>
              <w:autoSpaceDE w:val="0"/>
              <w:autoSpaceDN w:val="0"/>
              <w:adjustRightInd w:val="0"/>
              <w:spacing w:line="520" w:lineRule="exact"/>
              <w:rPr>
                <w:rFonts w:hint="default" w:ascii="宋体" w:hAnsi="宋体" w:eastAsia="宋体" w:cs="Times New Roman"/>
                <w:iCs/>
                <w:color w:val="auto"/>
                <w:sz w:val="24"/>
                <w:lang w:val="en-US" w:eastAsia="zh-CN"/>
              </w:rPr>
            </w:pPr>
            <w:r>
              <w:rPr>
                <w:rFonts w:hint="eastAsia" w:ascii="宋体" w:hAnsi="宋体" w:eastAsia="宋体" w:cs="Times New Roman"/>
                <w:iCs/>
                <w:color w:val="auto"/>
                <w:sz w:val="24"/>
                <w:lang w:val="en-US" w:eastAsia="zh-CN"/>
              </w:rPr>
              <w:t xml:space="preserve">2024年“三公经费”预算16.40 万元，其中：公务接待费5.00 万元，公务用车运行维护费11.40 万元,  无因公出国（境）费。2024年“三公经费”实际支出7.68万元,其中:公务接待费预算3.31万元,公务用车运行维护费预算4.37万元。我局三公经费严控，认真贯彻落实了厉行节约的原则。 </w:t>
            </w:r>
          </w:p>
          <w:p>
            <w:pPr>
              <w:snapToGrid w:val="0"/>
              <w:spacing w:line="520" w:lineRule="exact"/>
              <w:rPr>
                <w:rFonts w:hint="eastAsia" w:ascii="宋体" w:hAnsi="宋体" w:eastAsia="宋体" w:cs="Times New Roman"/>
                <w:iCs/>
                <w:color w:val="auto"/>
                <w:sz w:val="24"/>
                <w:lang w:val="en-US" w:eastAsia="zh-CN"/>
              </w:rPr>
            </w:pPr>
            <w:r>
              <w:rPr>
                <w:rFonts w:hint="eastAsia" w:ascii="宋体" w:hAnsi="宋体"/>
                <w:iCs/>
                <w:color w:val="auto"/>
                <w:sz w:val="24"/>
                <w:lang w:val="en-US" w:eastAsia="zh-CN"/>
              </w:rPr>
              <w:t>2、预算执行结果</w:t>
            </w:r>
            <w:r>
              <w:rPr>
                <w:rFonts w:hint="eastAsia" w:ascii="宋体" w:hAnsi="宋体" w:cs="宋体"/>
                <w:sz w:val="24"/>
                <w:szCs w:val="24"/>
                <w:lang w:val="en-US" w:eastAsia="zh-CN"/>
              </w:rPr>
              <w:t>。</w:t>
            </w:r>
            <w:r>
              <w:rPr>
                <w:rFonts w:hint="eastAsia" w:ascii="宋体" w:hAnsi="宋体" w:eastAsia="宋体" w:cs="Times New Roman"/>
                <w:iCs/>
                <w:color w:val="auto"/>
                <w:sz w:val="24"/>
                <w:lang w:val="en-US" w:eastAsia="zh-CN"/>
              </w:rPr>
              <w:t>通过规范预算支出管理，不断完善内部管理制度,理顺内部业务管理流程，我局各项支出总额均在预算总额内，年中追加资金均因政策落实进行追加，故我局的实际预算调整率为0。根据资金支出进度，预计基本支出控制率、项目支出控制率和三公经费控制率均小于100%。</w:t>
            </w:r>
          </w:p>
          <w:p>
            <w:pPr>
              <w:snapToGrid w:val="0"/>
              <w:spacing w:line="520" w:lineRule="exact"/>
              <w:rPr>
                <w:rFonts w:hint="eastAsia" w:ascii="宋体" w:hAnsi="宋体"/>
                <w:iCs/>
                <w:color w:val="auto"/>
                <w:sz w:val="24"/>
                <w:lang w:eastAsia="zh-CN"/>
              </w:rPr>
            </w:pPr>
            <w:r>
              <w:rPr>
                <w:rFonts w:hint="eastAsia" w:ascii="宋体" w:hAnsi="宋体"/>
                <w:iCs/>
                <w:color w:val="auto"/>
                <w:sz w:val="24"/>
                <w:lang w:eastAsia="zh-CN"/>
              </w:rPr>
              <w:t>（五）预算管理</w:t>
            </w:r>
          </w:p>
          <w:p>
            <w:pPr>
              <w:numPr>
                <w:ilvl w:val="0"/>
                <w:numId w:val="0"/>
              </w:numPr>
              <w:snapToGrid w:val="0"/>
              <w:spacing w:line="520" w:lineRule="exact"/>
              <w:rPr>
                <w:rFonts w:hint="eastAsia" w:ascii="宋体" w:hAnsi="宋体" w:eastAsia="宋体" w:cs="宋体"/>
                <w:i w:val="0"/>
                <w:iCs w:val="0"/>
                <w:caps w:val="0"/>
                <w:color w:val="333333"/>
                <w:spacing w:val="0"/>
                <w:sz w:val="24"/>
                <w:szCs w:val="24"/>
                <w:shd w:val="clear" w:fill="FFFFFF"/>
              </w:rPr>
            </w:pPr>
            <w:r>
              <w:rPr>
                <w:rFonts w:hint="eastAsia" w:ascii="宋体" w:hAnsi="宋体" w:cs="宋体"/>
                <w:i w:val="0"/>
                <w:iCs w:val="0"/>
                <w:caps w:val="0"/>
                <w:color w:val="333333"/>
                <w:spacing w:val="0"/>
                <w:sz w:val="24"/>
                <w:szCs w:val="24"/>
                <w:shd w:val="clear" w:fill="FFFFFF"/>
                <w:lang w:eastAsia="zh-CN"/>
              </w:rPr>
              <w:t>湘潭县司法局</w:t>
            </w:r>
            <w:r>
              <w:rPr>
                <w:rFonts w:hint="eastAsia" w:ascii="宋体" w:hAnsi="宋体" w:eastAsia="宋体" w:cs="宋体"/>
                <w:i w:val="0"/>
                <w:iCs w:val="0"/>
                <w:caps w:val="0"/>
                <w:color w:val="333333"/>
                <w:spacing w:val="0"/>
                <w:sz w:val="24"/>
                <w:szCs w:val="24"/>
                <w:shd w:val="clear" w:fill="FFFFFF"/>
              </w:rPr>
              <w:t>深入贯彻各级相关文件精神，认真开展预算绩效管理和绩效运行相关工作,不断提高预算绩效管理工作的质量和水平。收入、支出全部纳入本单位财务部门统一核算,严格遵循先有预算、后有支出的原则，确保预算编制完整,执行经费预算和资产配置标准严格。</w:t>
            </w:r>
            <w:r>
              <w:rPr>
                <w:rFonts w:hint="default" w:ascii="宋体" w:hAnsi="宋体" w:cs="宋体"/>
                <w:i w:val="0"/>
                <w:iCs w:val="0"/>
                <w:caps w:val="0"/>
                <w:color w:val="333333"/>
                <w:spacing w:val="0"/>
                <w:sz w:val="24"/>
                <w:szCs w:val="24"/>
                <w:shd w:val="clear" w:fill="FFFFFF"/>
                <w:lang w:val="en-US"/>
              </w:rPr>
              <w:t>2024</w:t>
            </w:r>
            <w:r>
              <w:rPr>
                <w:rFonts w:hint="eastAsia" w:ascii="宋体" w:hAnsi="宋体" w:cs="宋体"/>
                <w:i w:val="0"/>
                <w:iCs w:val="0"/>
                <w:caps w:val="0"/>
                <w:color w:val="333333"/>
                <w:spacing w:val="0"/>
                <w:sz w:val="24"/>
                <w:szCs w:val="24"/>
                <w:shd w:val="clear" w:fill="FFFFFF"/>
                <w:lang w:val="en-US" w:eastAsia="zh-CN"/>
              </w:rPr>
              <w:t>年</w:t>
            </w:r>
            <w:r>
              <w:rPr>
                <w:rFonts w:hint="eastAsia" w:ascii="宋体" w:hAnsi="宋体" w:eastAsia="宋体" w:cs="宋体"/>
                <w:i w:val="0"/>
                <w:iCs w:val="0"/>
                <w:caps w:val="0"/>
                <w:color w:val="333333"/>
                <w:spacing w:val="0"/>
                <w:sz w:val="24"/>
                <w:szCs w:val="24"/>
                <w:shd w:val="clear" w:fill="FFFFFF"/>
              </w:rPr>
              <w:t>的绩效目标任务都能够按照年初制定的计划和指标全部完成，部门支出绩效和项目支出绩效都能按照年初制订的目标任务完成。</w:t>
            </w:r>
          </w:p>
          <w:p>
            <w:pPr>
              <w:numPr>
                <w:ilvl w:val="0"/>
                <w:numId w:val="0"/>
              </w:numPr>
              <w:snapToGrid w:val="0"/>
              <w:spacing w:line="520" w:lineRule="exac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一是抓好绩效目标编制，及时报送绩效目标。二是探索绩效跟踪监控，要求加强过程监控，对绩效目标管理项目支出，采取定期不定期调研、监督、督査等方式跟踪绩效运行情况。三是深入开展财政支出绩效评价，对20</w:t>
            </w:r>
            <w:r>
              <w:rPr>
                <w:rFonts w:hint="eastAsia" w:ascii="宋体" w:hAnsi="宋体" w:cs="宋体"/>
                <w:i w:val="0"/>
                <w:iCs w:val="0"/>
                <w:caps w:val="0"/>
                <w:color w:val="333333"/>
                <w:spacing w:val="0"/>
                <w:sz w:val="24"/>
                <w:szCs w:val="24"/>
                <w:shd w:val="clear" w:fill="FFFFFF"/>
                <w:lang w:val="en-US" w:eastAsia="zh-CN"/>
              </w:rPr>
              <w:t>24年司法局部门整体预算绩效评价进行自评及时在门户网站上进行公开</w:t>
            </w:r>
            <w:r>
              <w:rPr>
                <w:rFonts w:hint="eastAsia" w:ascii="宋体" w:hAnsi="宋体" w:eastAsia="宋体" w:cs="宋体"/>
                <w:i w:val="0"/>
                <w:iCs w:val="0"/>
                <w:caps w:val="0"/>
                <w:color w:val="333333"/>
                <w:spacing w:val="0"/>
                <w:sz w:val="24"/>
                <w:szCs w:val="24"/>
                <w:shd w:val="clear" w:fill="FFFFFF"/>
              </w:rPr>
              <w:t>。四是强化评价结果应用，组织绩效自评和绩效跟踪监控，对发现的问题现场反馈并报党组督促改进，加强评价结果与</w:t>
            </w:r>
            <w:r>
              <w:rPr>
                <w:rFonts w:hint="eastAsia" w:ascii="宋体" w:hAnsi="宋体" w:cs="宋体"/>
                <w:i w:val="0"/>
                <w:iCs w:val="0"/>
                <w:caps w:val="0"/>
                <w:color w:val="333333"/>
                <w:spacing w:val="0"/>
                <w:sz w:val="24"/>
                <w:szCs w:val="24"/>
                <w:shd w:val="clear" w:fill="FFFFFF"/>
                <w:lang w:eastAsia="zh-CN"/>
              </w:rPr>
              <w:t>重点业务工作</w:t>
            </w:r>
            <w:r>
              <w:rPr>
                <w:rFonts w:hint="eastAsia" w:ascii="宋体" w:hAnsi="宋体" w:eastAsia="宋体" w:cs="宋体"/>
                <w:i w:val="0"/>
                <w:iCs w:val="0"/>
                <w:caps w:val="0"/>
                <w:color w:val="333333"/>
                <w:spacing w:val="0"/>
                <w:sz w:val="24"/>
                <w:szCs w:val="24"/>
                <w:shd w:val="clear" w:fill="FFFFFF"/>
              </w:rPr>
              <w:t>资金安排的衔接。五是健全绩效管理工作机制，明确职责分工，</w:t>
            </w:r>
            <w:r>
              <w:rPr>
                <w:rFonts w:hint="eastAsia" w:ascii="宋体" w:hAnsi="宋体" w:cs="宋体"/>
                <w:i w:val="0"/>
                <w:iCs w:val="0"/>
                <w:caps w:val="0"/>
                <w:color w:val="333333"/>
                <w:spacing w:val="0"/>
                <w:sz w:val="24"/>
                <w:szCs w:val="24"/>
                <w:shd w:val="clear" w:fill="FFFFFF"/>
                <w:lang w:eastAsia="zh-CN"/>
              </w:rPr>
              <w:t>财务人员在微信群加强业务指导</w:t>
            </w:r>
            <w:r>
              <w:rPr>
                <w:rFonts w:hint="eastAsia" w:ascii="宋体" w:hAnsi="宋体" w:eastAsia="宋体" w:cs="宋体"/>
                <w:i w:val="0"/>
                <w:iCs w:val="0"/>
                <w:caps w:val="0"/>
                <w:color w:val="333333"/>
                <w:spacing w:val="0"/>
                <w:sz w:val="24"/>
                <w:szCs w:val="24"/>
                <w:shd w:val="clear" w:fill="FFFFFF"/>
              </w:rPr>
              <w:t>，提高相关业务人员的绩效管理工作水平。</w:t>
            </w:r>
          </w:p>
          <w:p>
            <w:pPr>
              <w:numPr>
                <w:ilvl w:val="0"/>
                <w:numId w:val="0"/>
              </w:numPr>
              <w:snapToGrid w:val="0"/>
              <w:spacing w:line="520" w:lineRule="exact"/>
              <w:rPr>
                <w:color w:val="auto"/>
              </w:rPr>
            </w:pPr>
            <w:r>
              <w:rPr>
                <w:rFonts w:hint="eastAsia" w:ascii="宋体" w:hAnsi="宋体" w:cs="宋体"/>
                <w:color w:val="auto"/>
                <w:sz w:val="24"/>
                <w:szCs w:val="24"/>
                <w:lang w:eastAsia="zh-CN"/>
              </w:rPr>
              <w:t>（六）</w:t>
            </w:r>
            <w:r>
              <w:rPr>
                <w:rFonts w:ascii="宋体" w:hAnsi="宋体" w:eastAsia="宋体" w:cs="宋体"/>
                <w:color w:val="auto"/>
                <w:sz w:val="24"/>
                <w:szCs w:val="24"/>
              </w:rPr>
              <w:t>资产管理</w:t>
            </w:r>
          </w:p>
          <w:p>
            <w:pPr>
              <w:snapToGrid w:val="0"/>
              <w:spacing w:line="520" w:lineRule="exact"/>
              <w:ind w:firstLine="480" w:firstLineChars="200"/>
              <w:rPr>
                <w:rFonts w:ascii="宋体" w:hAnsi="宋体"/>
                <w:iCs/>
                <w:sz w:val="24"/>
              </w:rPr>
            </w:pPr>
            <w:r>
              <w:rPr>
                <w:rFonts w:hint="eastAsia" w:ascii="宋体" w:hAnsi="宋体" w:eastAsia="宋体" w:cs="宋体"/>
                <w:i w:val="0"/>
                <w:iCs w:val="0"/>
                <w:caps w:val="0"/>
                <w:color w:val="333333"/>
                <w:spacing w:val="0"/>
                <w:sz w:val="24"/>
                <w:szCs w:val="24"/>
                <w:shd w:val="clear" w:fill="FFFFFF"/>
                <w:lang w:val="en-US" w:eastAsia="zh-CN"/>
              </w:rPr>
              <w:t>2024年，</w:t>
            </w:r>
            <w:r>
              <w:rPr>
                <w:rFonts w:hint="eastAsia" w:ascii="宋体" w:hAnsi="宋体" w:eastAsia="宋体" w:cs="宋体"/>
                <w:i w:val="0"/>
                <w:iCs w:val="0"/>
                <w:caps w:val="0"/>
                <w:color w:val="333333"/>
                <w:spacing w:val="0"/>
                <w:sz w:val="24"/>
                <w:szCs w:val="24"/>
                <w:shd w:val="clear" w:fill="FFFFFF"/>
              </w:rPr>
              <w:t>我单位严格遵守国家财经方面的法律法规和国有资产管理制度，</w:t>
            </w:r>
            <w:r>
              <w:rPr>
                <w:rFonts w:hint="eastAsia" w:ascii="宋体" w:hAnsi="宋体" w:eastAsia="宋体" w:cs="宋体"/>
                <w:i w:val="0"/>
                <w:iCs w:val="0"/>
                <w:caps w:val="0"/>
                <w:color w:val="333333"/>
                <w:spacing w:val="0"/>
                <w:sz w:val="24"/>
                <w:szCs w:val="24"/>
                <w:shd w:val="clear" w:fill="FFFFFF"/>
                <w:lang w:eastAsia="zh-CN"/>
              </w:rPr>
              <w:t>固定资产分责任股室及使用人负责实物的管理，资产配置符合规定，无超标现象</w:t>
            </w:r>
            <w:r>
              <w:rPr>
                <w:rFonts w:hint="eastAsia" w:ascii="宋体" w:hAnsi="宋体" w:eastAsia="宋体" w:cs="宋体"/>
                <w:i w:val="0"/>
                <w:iCs w:val="0"/>
                <w:caps w:val="0"/>
                <w:color w:val="333333"/>
                <w:spacing w:val="0"/>
                <w:sz w:val="24"/>
                <w:szCs w:val="24"/>
                <w:shd w:val="clear"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cs="Times New Roman"/>
                <w:iCs/>
                <w:kern w:val="2"/>
                <w:sz w:val="24"/>
                <w:szCs w:val="24"/>
                <w:lang w:val="en-US" w:eastAsia="zh-CN" w:bidi="ar-SA"/>
              </w:rPr>
              <w:t>2024</w:t>
            </w:r>
            <w:r>
              <w:rPr>
                <w:rFonts w:hint="eastAsia" w:ascii="宋体" w:hAnsi="宋体" w:eastAsia="宋体" w:cs="Times New Roman"/>
                <w:iCs/>
                <w:kern w:val="2"/>
                <w:sz w:val="24"/>
                <w:szCs w:val="24"/>
                <w:lang w:val="en-US" w:eastAsia="zh-CN" w:bidi="ar-SA"/>
              </w:rPr>
              <w:t>年，司法局在县委、县政府的领导下，坚持依法行政、执法为民，稳中求进，改革创新，积极作为，突出抓改革强监管促发展，各方面工作稳步推进，根据我单位制定的《部门整体支出绩效评价自评分值表》评分，得分90分，财政支出绩效为“优”。主要绩效如下：</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1、坚守法治意识，助推法治建设。一是推动依法治县办统筹职能有效发挥。召开依法治县委员会及协调小组系列会议；提请常委会、常务会专题研究部署全县法治政府建设工作，是全市首个将法治政府建设工作向常委会报告的县市区，工作举措获湖南法治简报刊载。二是优化法治建设推进机制。连续两年将述法与全县主要负责人的年终述职结合，推动我县成为全市首个将述法与述职并行的县市区，工作经验在市级会议上作书面交流，乡镇“一支队伍管执法”典型经验入选依法治国委员会法治建设案例汇编。</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树牢规矩意识，全面依法行政。一是严格履行合法性审查职责。严格执行重大行政决策法定程序，组织开展政府重大行政决策项目征集工作。依法开展规范性文件合法性审查，扎实开展涉及不平等对待企业政策文件清理工作。今年审核全县行政规范性文件4件，均向人大备案；审查政府涉法文件、合同79件。二是持续从严强化行政执法协调监督。建立“人大+府检”联动监督机制，获最高检推介。做实行政执法案卷评查，联合县检察院对13家执法单位的60件执法案卷进行抽查评查，将评查结果予以通报，对存在的问题严督实导，抓好整改落实。全面落实行政执法人员资格管理制度，加强行政执法队伍建设，组织1500余人次的执法人员参加市县培训。三是全力提升行政复议应诉工作质效。截至目前，收到复议申请416件，同比上升148%；受理406件，审结347件；经复议后被提起行政诉讼的案件同比下降28.5%，实质性化解率97.1%，通过复议案结事了率上升6%，行政复议化解行政争议的主渠道作用充分发挥。今年，县政府作为被告的一审行政应诉案件已审结19件，胜诉率100%，全年行政机关负责人出庭应诉率为100%。四是依法处理重大历史遗留问题。全力防范历史遗留问题带来的法律风险，依法处理煤矿关闭赔偿案、晓南互通、退草还耕案、转城户复议案等重大历史遗留问题，切实维护县域和谐稳定。</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3、增强风险意识，筑牢安全防线。一是加强特殊人群管控。认真梳理排查重点对象，落实一对一管控措施，目前全县在册社矫对象443人，在册安置帮教对象2715人，均按要求监管到位。积极与企业对接，为社矫对象提供就业信息和渠道。组织社矫对象开展灾后重建，取得了较好的社会效果。新增花石远程探视室建设，全县全年共完成远程视频会见690次，实现了亲属与服刑人员会见“面对面”、帮教“零距离”。二是加强人民调解工作。坚持和发展新时代枫桥经验，深入开展“化解矛盾风险 维护社会稳定”专项治理，定期开展深入细致的拉网式排查。加强矛盾纠纷就地化解，做实“警司联动”，加强诉调对接，截至目前，全县人民调解组织共排查调处各类矛盾纠纷4604件，90%社会矛盾纠纷在镇村得到及时有效解决。三是加强基层基础建设。持续推进“全省司法所规范化建设三年行动”，全县15个司法所完成创建。</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4、提升服务意识，践行助企惠民。一是加快构建现代公共法律服务体系。全县351个村（社区）均与村顾问律师签约，一村一法律顾问实现全覆盖，村级法律顾问工作有力有序开展，村年内参与较复杂、重大矛盾纠纷调解70余起，提供法律咨询6300余人次。法律援助应援尽援，今年受理各类法律援助案件517件，为受援人挽回经济损失700余万元，有力有效维护了弱势群体的合法权益。二是加快培育优质法律服务资源。有效整合县内法律资源，成立“湘潭县企业法治体检中心”，入企走访70余次，为160多家民营企业提供法律咨询解答等法律服务，解决法律问题30余个，审查制度、合同30余份，办结案件7件，为企业挽回经济损失1950万元。三是创新推进全民法治宣传教育。民法典原创视频《与你相伴》，获学习强国等主流平台推荐，综合播放量达68万次，获评了全省网络原创视听节目大赛二等奖；法治+非遗曲目《坚守 传承 吹响普法“好声音”》，推荐参评湖南省第二届非物质文化遗产法治文化作品。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480" w:firstLineChars="200"/>
              <w:jc w:val="both"/>
              <w:textAlignment w:val="auto"/>
              <w:rPr>
                <w:rFonts w:hint="eastAsia" w:ascii="宋体" w:hAnsi="宋体" w:eastAsia="宋体" w:cs="Times New Roman"/>
                <w:iCs/>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1"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snapToGrid w:val="0"/>
              <w:spacing w:line="520" w:lineRule="exact"/>
              <w:ind w:firstLine="642" w:firstLineChars="200"/>
              <w:rPr>
                <w:rFonts w:hint="eastAsia" w:ascii="宋体" w:hAnsi="宋体" w:eastAsia="宋体" w:cs="Times New Roman"/>
                <w:iCs/>
                <w:kern w:val="2"/>
                <w:sz w:val="24"/>
                <w:szCs w:val="24"/>
                <w:lang w:val="en-US" w:eastAsia="zh-CN" w:bidi="ar-SA"/>
              </w:rPr>
            </w:pPr>
            <w:r>
              <w:rPr>
                <w:rFonts w:hint="eastAsia" w:ascii="楷体" w:hAnsi="楷体" w:eastAsia="楷体" w:cs="楷体"/>
                <w:b/>
                <w:bCs/>
                <w:sz w:val="32"/>
                <w:szCs w:val="32"/>
                <w:lang w:val="en-US" w:eastAsia="zh-CN"/>
              </w:rPr>
              <w:t>1</w:t>
            </w:r>
            <w:r>
              <w:rPr>
                <w:rFonts w:hint="eastAsia" w:ascii="宋体" w:hAnsi="宋体" w:eastAsia="宋体" w:cs="Times New Roman"/>
                <w:iCs/>
                <w:kern w:val="2"/>
                <w:sz w:val="24"/>
                <w:szCs w:val="24"/>
                <w:lang w:val="en-US" w:eastAsia="zh-CN" w:bidi="ar-SA"/>
              </w:rPr>
              <w:t>、预算方面</w:t>
            </w:r>
          </w:p>
          <w:p>
            <w:pPr>
              <w:snapToGrid w:val="0"/>
              <w:spacing w:line="520" w:lineRule="exact"/>
              <w:ind w:firstLine="480" w:firstLineChars="200"/>
              <w:rPr>
                <w:rFonts w:hint="default"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我局2024年严格按照县级财政部门的要求编制部门预算，但在我局的日常管理中很多内容未批准列入预算，例如乡村振兴工作、党建工作、老干部生病慰问、老干部活动经费、职工健康检查、工会经费不足行政经费弥补部分等，这些费用的支出造成基本支出的超支。</w:t>
            </w:r>
            <w:r>
              <w:rPr>
                <w:rFonts w:hint="default" w:ascii="宋体" w:hAnsi="宋体" w:eastAsia="宋体" w:cs="Times New Roman"/>
                <w:iCs/>
                <w:kern w:val="2"/>
                <w:sz w:val="24"/>
                <w:szCs w:val="24"/>
                <w:lang w:val="en-US" w:eastAsia="zh-CN" w:bidi="ar-SA"/>
              </w:rPr>
              <w:t>　</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2、内部控制方面</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未针对每一个项目制定完善的项目资金管理办法，同时由于年初申报对全年的具体情况预计不足，目标细化量化不够准确。建议加强内控管理，同时提升管理水平，使单位管理更精细、明确，形成操作性更强的管理制度。</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3、资金使用方面</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项目资金从申报、审核到计划、支出使用一系列手续繁琐，建议简化审批程序，加快资金流转，提高项目资金时效性。</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4、重点经费管理方面</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2024年度部分项目在实施的过程中存在年初编制部门预算与实际支出有偏差的问题，主要预算申报时对全年支出预计不够精准，在实际工作中突发情况多，无法准确估量。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snapToGrid w:val="0"/>
              <w:spacing w:line="520" w:lineRule="exact"/>
              <w:ind w:firstLine="480" w:firstLineChars="200"/>
              <w:rPr>
                <w:rFonts w:hint="default"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1、</w:t>
            </w:r>
            <w:r>
              <w:rPr>
                <w:rFonts w:hint="default" w:ascii="宋体" w:hAnsi="宋体" w:eastAsia="宋体" w:cs="Times New Roman"/>
                <w:iCs/>
                <w:kern w:val="2"/>
                <w:sz w:val="24"/>
                <w:szCs w:val="24"/>
                <w:lang w:val="en-US" w:eastAsia="zh-CN" w:bidi="ar-SA"/>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snapToGrid w:val="0"/>
              <w:spacing w:line="520" w:lineRule="exact"/>
              <w:ind w:firstLine="480" w:firstLineChars="200"/>
              <w:rPr>
                <w:rFonts w:hint="default"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w:t>
            </w:r>
            <w:r>
              <w:rPr>
                <w:rFonts w:hint="default" w:ascii="宋体" w:hAnsi="宋体" w:eastAsia="宋体" w:cs="Times New Roman"/>
                <w:iCs/>
                <w:kern w:val="2"/>
                <w:sz w:val="24"/>
                <w:szCs w:val="24"/>
                <w:lang w:val="en-US" w:eastAsia="zh-CN" w:bidi="ar-SA"/>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pPr>
              <w:snapToGrid w:val="0"/>
              <w:spacing w:line="520" w:lineRule="exact"/>
              <w:ind w:firstLine="480" w:firstLineChars="200"/>
              <w:rPr>
                <w:rFonts w:hint="default"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3、</w:t>
            </w:r>
            <w:r>
              <w:rPr>
                <w:rFonts w:hint="default" w:ascii="宋体" w:hAnsi="宋体" w:eastAsia="宋体" w:cs="Times New Roman"/>
                <w:iCs/>
                <w:kern w:val="2"/>
                <w:sz w:val="24"/>
                <w:szCs w:val="24"/>
                <w:lang w:val="en-US" w:eastAsia="zh-CN" w:bidi="ar-SA"/>
              </w:rPr>
              <w:t>对相关人员加强培训，特别是针对《中华人民共和国预算法》《行政事业单位会计制度》等学习培训，规范部门预算收支核算，切实提高部门预算收支管理水平。</w:t>
            </w:r>
          </w:p>
          <w:p>
            <w:pPr>
              <w:snapToGrid w:val="0"/>
              <w:spacing w:line="520" w:lineRule="exact"/>
              <w:rPr>
                <w:rFonts w:hint="default"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宋体" w:hAnsi="宋体" w:cs="宋体"/>
                <w:sz w:val="24"/>
                <w:szCs w:val="24"/>
                <w:lang w:eastAsia="zh-CN"/>
              </w:rPr>
              <w:t>无</w:t>
            </w:r>
          </w:p>
        </w:tc>
      </w:tr>
    </w:tbl>
    <w:p>
      <w:pPr>
        <w:widowControl/>
        <w:jc w:val="left"/>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附件</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lang w:eastAsia="zh-CN"/>
        </w:rPr>
        <w:t>2024</w:t>
      </w:r>
      <w:r>
        <w:rPr>
          <w:rFonts w:hint="eastAsia" w:ascii="方正小标宋简体" w:eastAsia="方正小标宋简体" w:cs="方正小标宋_GBK"/>
          <w:sz w:val="36"/>
          <w:szCs w:val="36"/>
        </w:rPr>
        <w:t>年度</w:t>
      </w:r>
      <w:r>
        <w:rPr>
          <w:rFonts w:hint="eastAsia" w:ascii="方正小标宋简体" w:eastAsia="方正小标宋简体" w:cs="方正小标宋_GBK"/>
          <w:sz w:val="36"/>
          <w:szCs w:val="36"/>
          <w:lang w:eastAsia="zh-CN"/>
        </w:rPr>
        <w:t>湘潭县司法局</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rPr>
        <w:t>部门整体支出绩效</w:t>
      </w:r>
      <w:r>
        <w:rPr>
          <w:rFonts w:hint="eastAsia" w:ascii="方正小标宋简体" w:eastAsia="方正小标宋简体" w:cs="方正小标宋_GBK"/>
          <w:sz w:val="36"/>
          <w:szCs w:val="36"/>
          <w:lang w:eastAsia="zh-CN"/>
        </w:rPr>
        <w:t>评价指标完成情况表</w:t>
      </w:r>
    </w:p>
    <w:tbl>
      <w:tblPr>
        <w:tblStyle w:val="10"/>
        <w:tblW w:w="53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4"/>
        <w:gridCol w:w="668"/>
        <w:gridCol w:w="890"/>
        <w:gridCol w:w="668"/>
        <w:gridCol w:w="2805"/>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tblHeader/>
          <w:jc w:val="center"/>
        </w:trPr>
        <w:tc>
          <w:tcPr>
            <w:tcW w:w="306" w:type="pct"/>
            <w:tcMar>
              <w:top w:w="10" w:type="dxa"/>
              <w:left w:w="10" w:type="dxa"/>
              <w:bottom w:w="0" w:type="dxa"/>
              <w:right w:w="10" w:type="dxa"/>
            </w:tcMar>
            <w:vAlign w:val="center"/>
          </w:tcPr>
          <w:p>
            <w:pPr>
              <w:spacing w:line="240" w:lineRule="exact"/>
              <w:jc w:val="center"/>
              <w:rPr>
                <w:rFonts w:hint="eastAsia" w:ascii="宋体" w:hAnsi="宋体" w:eastAsia="宋体" w:cs="宋体"/>
                <w:b/>
                <w:bCs/>
                <w:lang w:eastAsia="zh-CN"/>
              </w:rPr>
            </w:pPr>
            <w:r>
              <w:rPr>
                <w:rFonts w:hint="eastAsia" w:ascii="宋体" w:hAnsi="宋体" w:cs="宋体"/>
                <w:b/>
                <w:bCs/>
              </w:rPr>
              <w:t>一级</w:t>
            </w:r>
          </w:p>
          <w:p>
            <w:pPr>
              <w:spacing w:line="240" w:lineRule="exact"/>
              <w:jc w:val="center"/>
              <w:rPr>
                <w:rFonts w:ascii="宋体" w:cs="宋体"/>
                <w:b/>
                <w:bCs/>
              </w:rPr>
            </w:pPr>
            <w:r>
              <w:rPr>
                <w:rFonts w:hint="eastAsia" w:ascii="宋体" w:hAnsi="宋体" w:cs="宋体"/>
                <w:b/>
                <w:bCs/>
              </w:rPr>
              <w:t>指标</w:t>
            </w:r>
          </w:p>
        </w:tc>
        <w:tc>
          <w:tcPr>
            <w:tcW w:w="375" w:type="pct"/>
            <w:tcMar>
              <w:top w:w="10" w:type="dxa"/>
              <w:left w:w="10" w:type="dxa"/>
              <w:bottom w:w="0" w:type="dxa"/>
              <w:right w:w="10" w:type="dxa"/>
            </w:tcMar>
            <w:vAlign w:val="center"/>
          </w:tcPr>
          <w:p>
            <w:pPr>
              <w:spacing w:line="240" w:lineRule="exact"/>
              <w:ind w:right="-174" w:rightChars="-83"/>
              <w:jc w:val="center"/>
              <w:rPr>
                <w:rFonts w:ascii="宋体" w:cs="宋体"/>
                <w:b/>
                <w:bCs/>
              </w:rPr>
            </w:pPr>
            <w:r>
              <w:rPr>
                <w:rFonts w:hint="eastAsia" w:ascii="宋体" w:hAnsi="宋体" w:cs="宋体"/>
                <w:b/>
                <w:bCs/>
              </w:rPr>
              <w:t>二级</w:t>
            </w:r>
          </w:p>
          <w:p>
            <w:pPr>
              <w:spacing w:line="240" w:lineRule="exact"/>
              <w:ind w:right="-174" w:rightChars="-83"/>
              <w:jc w:val="center"/>
              <w:rPr>
                <w:rFonts w:ascii="宋体" w:cs="宋体"/>
                <w:b/>
                <w:bCs/>
              </w:rPr>
            </w:pPr>
            <w:r>
              <w:rPr>
                <w:rFonts w:hint="eastAsia" w:ascii="宋体" w:hAnsi="宋体" w:cs="宋体"/>
                <w:b/>
                <w:bCs/>
              </w:rPr>
              <w:t>指标</w:t>
            </w:r>
          </w:p>
        </w:tc>
        <w:tc>
          <w:tcPr>
            <w:tcW w:w="500" w:type="pct"/>
            <w:tcMar>
              <w:top w:w="10" w:type="dxa"/>
              <w:left w:w="10" w:type="dxa"/>
              <w:bottom w:w="0" w:type="dxa"/>
              <w:right w:w="10" w:type="dxa"/>
            </w:tcMar>
            <w:vAlign w:val="center"/>
          </w:tcPr>
          <w:p>
            <w:pPr>
              <w:spacing w:line="240" w:lineRule="exact"/>
              <w:jc w:val="center"/>
              <w:rPr>
                <w:rFonts w:ascii="宋体" w:cs="宋体"/>
                <w:b/>
                <w:bCs/>
              </w:rPr>
            </w:pPr>
            <w:r>
              <w:rPr>
                <w:rFonts w:hint="eastAsia" w:ascii="宋体" w:hAnsi="宋体" w:cs="宋体"/>
                <w:b/>
                <w:bCs/>
              </w:rPr>
              <w:t>三级</w:t>
            </w:r>
          </w:p>
          <w:p>
            <w:pPr>
              <w:spacing w:line="240" w:lineRule="exact"/>
              <w:jc w:val="center"/>
              <w:rPr>
                <w:rFonts w:ascii="宋体" w:cs="宋体"/>
                <w:b/>
                <w:bCs/>
              </w:rPr>
            </w:pPr>
            <w:r>
              <w:rPr>
                <w:rFonts w:hint="eastAsia" w:ascii="宋体" w:hAnsi="宋体" w:cs="宋体"/>
                <w:b/>
                <w:bCs/>
              </w:rPr>
              <w:t>指标</w:t>
            </w:r>
          </w:p>
        </w:tc>
        <w:tc>
          <w:tcPr>
            <w:tcW w:w="375" w:type="pct"/>
            <w:vAlign w:val="center"/>
          </w:tcPr>
          <w:p>
            <w:pPr>
              <w:spacing w:line="240" w:lineRule="exact"/>
              <w:ind w:left="105" w:leftChars="50" w:right="105" w:rightChars="50"/>
              <w:jc w:val="center"/>
              <w:rPr>
                <w:rFonts w:ascii="宋体" w:cs="宋体"/>
                <w:b/>
                <w:bCs/>
              </w:rPr>
            </w:pPr>
            <w:r>
              <w:rPr>
                <w:rFonts w:hint="eastAsia" w:ascii="宋体" w:hAnsi="宋体" w:cs="宋体"/>
                <w:b/>
                <w:bCs/>
              </w:rPr>
              <w:t>自评分</w:t>
            </w:r>
          </w:p>
        </w:tc>
        <w:tc>
          <w:tcPr>
            <w:tcW w:w="157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指标解释</w:t>
            </w:r>
          </w:p>
        </w:tc>
        <w:tc>
          <w:tcPr>
            <w:tcW w:w="186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投</w:t>
            </w:r>
            <w:r>
              <w:rPr>
                <w:rFonts w:ascii="宋体" w:hAnsi="宋体" w:cs="宋体"/>
              </w:rPr>
              <w:t xml:space="preserve">   </w:t>
            </w:r>
            <w:r>
              <w:rPr>
                <w:rFonts w:hint="eastAsia" w:ascii="宋体" w:hAnsi="宋体" w:cs="宋体"/>
              </w:rPr>
              <w:t>入（</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目标</w:t>
            </w:r>
          </w:p>
          <w:p>
            <w:pPr>
              <w:spacing w:line="240" w:lineRule="exact"/>
              <w:jc w:val="center"/>
              <w:rPr>
                <w:rFonts w:ascii="宋体" w:cs="宋体"/>
              </w:rPr>
            </w:pPr>
            <w:r>
              <w:rPr>
                <w:rFonts w:hint="eastAsia" w:ascii="宋体" w:hAnsi="宋体" w:cs="宋体"/>
              </w:rPr>
              <w:t>设定（</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绩效目标</w:t>
            </w:r>
          </w:p>
          <w:p>
            <w:pPr>
              <w:spacing w:line="240" w:lineRule="exact"/>
              <w:jc w:val="center"/>
              <w:rPr>
                <w:rFonts w:ascii="宋体" w:cs="宋体"/>
              </w:rPr>
            </w:pPr>
            <w:r>
              <w:rPr>
                <w:rFonts w:hint="eastAsia" w:ascii="宋体" w:hAnsi="宋体" w:cs="宋体"/>
              </w:rPr>
              <w:t>合理性（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部门所设立的整体绩效目标依据是否充分，是否符合客观实际，用以反映和考核部门整体绩效目标与部门履职、年度工作任务的相符性情况。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①是否符合国家法律法规、国民经济和社会发展总体规划；</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②是否符合部门“三定”方案确定的职责；</w:t>
            </w:r>
          </w:p>
          <w:p>
            <w:pPr>
              <w:spacing w:line="240" w:lineRule="exact"/>
              <w:ind w:left="105" w:leftChars="50" w:right="105" w:rightChars="50"/>
              <w:rPr>
                <w:rFonts w:ascii="宋体" w:cs="宋体"/>
              </w:rPr>
            </w:pPr>
            <w:r>
              <w:rPr>
                <w:rFonts w:hint="eastAsia" w:ascii="宋体" w:hAnsi="宋体" w:cs="宋体"/>
              </w:rPr>
              <w:t>③是否符合部门制定的中长期实施规划。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7"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绩效指标</w:t>
            </w:r>
          </w:p>
          <w:p>
            <w:pPr>
              <w:spacing w:line="240" w:lineRule="exact"/>
              <w:jc w:val="center"/>
              <w:rPr>
                <w:rFonts w:ascii="宋体" w:cs="宋体"/>
              </w:rPr>
            </w:pPr>
            <w:r>
              <w:rPr>
                <w:rFonts w:hint="eastAsia" w:ascii="宋体" w:hAnsi="宋体" w:cs="宋体"/>
              </w:rPr>
              <w:t>明确性（</w:t>
            </w:r>
            <w:r>
              <w:rPr>
                <w:rFonts w:ascii="宋体" w:hAnsi="宋体" w:cs="宋体"/>
              </w:rPr>
              <w:t>3</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部门依据整体绩效目标所设定的绩效指标是否清晰、细化、可衡量，用以反映和考核部门整体绩效目标的明细化情况。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①是否将部门整体的绩效目标细化分解为具体的工作任务；</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②是否通过清晰、可衡量的指标值予以体现。</w:t>
            </w:r>
            <w:r>
              <w:rPr>
                <w:rFonts w:ascii="宋体" w:hAnsi="宋体" w:cs="宋体"/>
              </w:rPr>
              <w:t xml:space="preserve">    </w:t>
            </w:r>
            <w:r>
              <w:rPr>
                <w:rFonts w:hint="eastAsia" w:ascii="宋体" w:hAnsi="宋体" w:cs="宋体"/>
              </w:rPr>
              <w:t>③是否与部门年度的任务数或计划数相对应；</w:t>
            </w:r>
          </w:p>
          <w:p>
            <w:pPr>
              <w:spacing w:line="240" w:lineRule="exact"/>
              <w:ind w:left="105" w:leftChars="50" w:right="105" w:rightChars="50"/>
              <w:rPr>
                <w:rFonts w:ascii="宋体" w:cs="宋体"/>
              </w:rPr>
            </w:pPr>
            <w:r>
              <w:rPr>
                <w:rFonts w:hint="eastAsia" w:ascii="宋体" w:hAnsi="宋体" w:cs="宋体"/>
              </w:rPr>
              <w:t>④是否与本年度部门预算资金相匹配。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1" w:hRule="atLeast"/>
          <w:jc w:val="center"/>
        </w:trPr>
        <w:tc>
          <w:tcPr>
            <w:tcW w:w="306" w:type="pct"/>
            <w:vMerge w:val="continue"/>
            <w:vAlign w:val="center"/>
          </w:tcPr>
          <w:p>
            <w:pPr>
              <w:spacing w:line="240" w:lineRule="exact"/>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配置（</w:t>
            </w:r>
            <w:r>
              <w:rPr>
                <w:rFonts w:ascii="宋体" w:hAnsi="宋体" w:cs="宋体"/>
              </w:rPr>
              <w:t>15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在职人员</w:t>
            </w:r>
          </w:p>
          <w:p>
            <w:pPr>
              <w:spacing w:line="240" w:lineRule="exact"/>
              <w:jc w:val="center"/>
              <w:rPr>
                <w:rFonts w:ascii="宋体" w:cs="宋体"/>
              </w:rPr>
            </w:pPr>
            <w:r>
              <w:rPr>
                <w:rFonts w:hint="eastAsia" w:ascii="宋体" w:hAnsi="宋体" w:cs="宋体"/>
              </w:rPr>
              <w:t>控制率（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部门本年度实际在职人员数与编制数的比率，用以反映和考核部门对人员成本的控制程度。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在职人员控制率</w:t>
            </w:r>
            <w:r>
              <w:rPr>
                <w:rFonts w:ascii="宋体" w:hAnsi="宋体" w:cs="宋体"/>
              </w:rPr>
              <w:t>=</w:t>
            </w:r>
            <w:r>
              <w:rPr>
                <w:rFonts w:hint="eastAsia" w:ascii="宋体" w:hAnsi="宋体" w:cs="宋体"/>
              </w:rPr>
              <w:t>（在职人员数</w:t>
            </w:r>
            <w:r>
              <w:rPr>
                <w:rFonts w:ascii="宋体" w:hAnsi="宋体" w:cs="宋体"/>
              </w:rPr>
              <w:t>/</w:t>
            </w:r>
            <w:r>
              <w:rPr>
                <w:rFonts w:hint="eastAsia" w:ascii="宋体" w:hAnsi="宋体" w:cs="宋体"/>
              </w:rPr>
              <w:t>编制数）×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在职人员数：部门实际在职人数，以财政部确定的部门决算编制口径为准。</w:t>
            </w:r>
          </w:p>
          <w:p>
            <w:pPr>
              <w:spacing w:line="240" w:lineRule="exact"/>
              <w:ind w:left="105" w:leftChars="50" w:right="105" w:rightChars="50"/>
              <w:rPr>
                <w:rFonts w:ascii="宋体" w:cs="宋体"/>
              </w:rPr>
            </w:pPr>
            <w:r>
              <w:rPr>
                <w:rFonts w:hint="eastAsia" w:ascii="宋体" w:hAnsi="宋体" w:cs="宋体"/>
              </w:rPr>
              <w:t>编制数：机构编制部门核定批复的部门的人员编制数。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3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w:t>
            </w:r>
          </w:p>
          <w:p>
            <w:pPr>
              <w:spacing w:line="240" w:lineRule="exact"/>
              <w:jc w:val="center"/>
              <w:rPr>
                <w:rFonts w:ascii="宋体" w:cs="宋体"/>
              </w:rPr>
            </w:pPr>
            <w:r>
              <w:rPr>
                <w:rFonts w:hint="eastAsia" w:ascii="宋体" w:hAnsi="宋体" w:cs="宋体"/>
              </w:rPr>
              <w:t>变动率（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部门本年度“三公经费”预算数与上年度“三公经费”预算数的变动比率，用以反映和考核部门对控制重点行政成本的努力程度。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“三公经费”变动率</w:t>
            </w:r>
            <w:r>
              <w:rPr>
                <w:rFonts w:ascii="宋体" w:hAnsi="宋体" w:cs="宋体"/>
              </w:rPr>
              <w:t>=[</w:t>
            </w:r>
            <w:r>
              <w:rPr>
                <w:rFonts w:hint="eastAsia" w:ascii="宋体" w:hAnsi="宋体" w:cs="宋体"/>
              </w:rPr>
              <w:t>（本年度“三公经费”总额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“三公经费”：年度预算安排的因公出国（境）费、公务车辆购置及运行费和公务招待费。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重点支出</w:t>
            </w:r>
          </w:p>
          <w:p>
            <w:pPr>
              <w:spacing w:line="240" w:lineRule="exact"/>
              <w:jc w:val="center"/>
              <w:rPr>
                <w:rFonts w:ascii="宋体" w:cs="宋体"/>
              </w:rPr>
            </w:pPr>
            <w:r>
              <w:rPr>
                <w:rFonts w:hint="eastAsia" w:ascii="宋体" w:hAnsi="宋体" w:cs="宋体"/>
              </w:rPr>
              <w:t>安排率（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部门本年度预算安排的重点预算支出与部门预算总支出的比率，用以反映和考核部门对履行主要职责或完成重点任务的保障程度。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重点支出安排率</w:t>
            </w:r>
            <w:r>
              <w:rPr>
                <w:rFonts w:ascii="宋体" w:hAnsi="宋体" w:cs="宋体"/>
              </w:rPr>
              <w:t>=</w:t>
            </w:r>
            <w:r>
              <w:rPr>
                <w:rFonts w:hint="eastAsia" w:ascii="宋体" w:hAnsi="宋体" w:cs="宋体"/>
              </w:rPr>
              <w:t>（重点预算支出</w:t>
            </w:r>
            <w:r>
              <w:rPr>
                <w:rFonts w:ascii="宋体" w:hAnsi="宋体" w:cs="宋体"/>
              </w:rPr>
              <w:t>/</w:t>
            </w:r>
            <w:r>
              <w:rPr>
                <w:rFonts w:hint="eastAsia" w:ascii="宋体" w:hAnsi="宋体" w:cs="宋体"/>
              </w:rPr>
              <w:t>预算总支出）×</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重点预算支出：部门年度预算安排的，与本部门履职和发展密切相关、具有明显社会和经济影响、党委政府关心或社会比较关注的预算支出总额。</w:t>
            </w:r>
          </w:p>
          <w:p>
            <w:pPr>
              <w:spacing w:line="240" w:lineRule="exact"/>
              <w:ind w:left="105" w:leftChars="50" w:right="105" w:rightChars="50"/>
              <w:rPr>
                <w:rFonts w:ascii="宋体" w:cs="宋体"/>
              </w:rPr>
            </w:pPr>
            <w:r>
              <w:rPr>
                <w:rFonts w:hint="eastAsia" w:ascii="宋体" w:hAnsi="宋体" w:cs="宋体"/>
              </w:rPr>
              <w:t>预算总支出：部门年度预算安排的预算支出总额。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过</w:t>
            </w:r>
            <w:r>
              <w:rPr>
                <w:rFonts w:ascii="宋体" w:hAnsi="宋体" w:cs="宋体"/>
              </w:rPr>
              <w:t xml:space="preserve">   </w:t>
            </w: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3</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部门本年度预算完成数与预算数的比率，用以反映和考核部门预算完成程度。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预算执行率</w:t>
            </w:r>
            <w:r>
              <w:rPr>
                <w:rFonts w:ascii="宋体" w:hAnsi="宋体" w:cs="宋体"/>
              </w:rPr>
              <w:t>=</w:t>
            </w:r>
            <w:r>
              <w:rPr>
                <w:rFonts w:hint="eastAsia" w:ascii="宋体" w:hAnsi="宋体" w:cs="宋体"/>
              </w:rPr>
              <w:t>（预算执行数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预算执行数：部门本年度实际完成的预算数。</w:t>
            </w:r>
          </w:p>
          <w:p>
            <w:pPr>
              <w:spacing w:line="240" w:lineRule="exact"/>
              <w:ind w:left="105" w:leftChars="50" w:right="105" w:rightChars="50"/>
              <w:rPr>
                <w:rFonts w:ascii="宋体" w:cs="宋体"/>
              </w:rPr>
            </w:pPr>
            <w:r>
              <w:rPr>
                <w:rFonts w:hint="eastAsia" w:ascii="宋体" w:hAnsi="宋体" w:cs="宋体"/>
              </w:rPr>
              <w:t>预算数：财政部门批复的本年度部门预算数。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4"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调整率（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部门本年度预算调整数与预算数的比率，用以反映和考核部门预算的调整程度。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预算调整率</w:t>
            </w:r>
            <w:r>
              <w:rPr>
                <w:rFonts w:ascii="宋体" w:hAnsi="宋体" w:cs="宋体"/>
              </w:rPr>
              <w:t>=</w:t>
            </w:r>
            <w:r>
              <w:rPr>
                <w:rFonts w:hint="eastAsia" w:ascii="宋体" w:hAnsi="宋体" w:cs="宋体"/>
              </w:rPr>
              <w:t>（预算调整数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预算调整数：部门在本年度内涉及预算的追加、追减或结构调整的资金总和（因落实国家政策、发生不可抗力、上级部门或本级党委政府临时交办而产生的调整除外）。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1"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支付</w:t>
            </w:r>
          </w:p>
          <w:p>
            <w:pPr>
              <w:spacing w:line="240" w:lineRule="exact"/>
              <w:jc w:val="center"/>
              <w:rPr>
                <w:rFonts w:ascii="宋体" w:cs="宋体"/>
              </w:rPr>
            </w:pPr>
            <w:r>
              <w:rPr>
                <w:rFonts w:hint="eastAsia" w:ascii="宋体" w:hAnsi="宋体" w:cs="宋体"/>
              </w:rPr>
              <w:t>进度率（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部门实际支付进度与既定支付进度的比率，用以反映和考核部门预算执行的及时性和均衡性程度。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支付进度率</w:t>
            </w:r>
            <w:r>
              <w:rPr>
                <w:rFonts w:ascii="宋体" w:hAnsi="宋体" w:cs="宋体"/>
              </w:rPr>
              <w:t>=</w:t>
            </w:r>
            <w:r>
              <w:rPr>
                <w:rFonts w:hint="eastAsia" w:ascii="宋体" w:hAnsi="宋体" w:cs="宋体"/>
              </w:rPr>
              <w:t>（实际支付进度</w:t>
            </w:r>
            <w:r>
              <w:rPr>
                <w:rFonts w:ascii="宋体" w:hAnsi="宋体" w:cs="宋体"/>
              </w:rPr>
              <w:t>/</w:t>
            </w:r>
            <w:r>
              <w:rPr>
                <w:rFonts w:hint="eastAsia" w:ascii="宋体" w:hAnsi="宋体" w:cs="宋体"/>
              </w:rPr>
              <w:t>既定支付进度）×</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实际支付进度：部门在某一时点的支出预算执行总数与年度支出预算数的比率。</w:t>
            </w:r>
          </w:p>
          <w:p>
            <w:pPr>
              <w:spacing w:line="240" w:lineRule="exact"/>
              <w:ind w:left="105" w:leftChars="50" w:right="105" w:rightChars="50"/>
              <w:rPr>
                <w:rFonts w:ascii="宋体" w:cs="宋体"/>
              </w:rPr>
            </w:pPr>
            <w:r>
              <w:rPr>
                <w:rFonts w:hint="eastAsia" w:ascii="宋体" w:hAnsi="宋体" w:cs="宋体"/>
              </w:rPr>
              <w:t>既定支付进度：由部门在申报部门整体绩效目标时，参照序时支付进度、前三年支付进度、本级部门平均支付进度水平等确定的，在某一时点应达到的支付进度（比率）。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continue"/>
            <w:tcMar>
              <w:top w:w="10" w:type="dxa"/>
              <w:left w:w="10" w:type="dxa"/>
              <w:bottom w:w="0" w:type="dxa"/>
              <w:right w:w="10" w:type="dxa"/>
            </w:tcMar>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w:t>
            </w:r>
          </w:p>
          <w:p>
            <w:pPr>
              <w:spacing w:line="240" w:lineRule="exact"/>
              <w:jc w:val="center"/>
              <w:rPr>
                <w:rFonts w:ascii="宋体" w:cs="宋体"/>
              </w:rPr>
            </w:pPr>
            <w:r>
              <w:rPr>
                <w:rFonts w:hint="eastAsia" w:ascii="宋体" w:hAnsi="宋体" w:cs="宋体"/>
              </w:rPr>
              <w:t>结余率（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部门本年度结转结余总额与支出预算数的比率，用以反映和考核部门对本年度结转结余资金的实际控制程度。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结转结余率</w:t>
            </w:r>
            <w:r>
              <w:rPr>
                <w:rFonts w:ascii="宋体" w:hAnsi="宋体" w:cs="宋体"/>
              </w:rPr>
              <w:t>=</w:t>
            </w:r>
            <w:r>
              <w:rPr>
                <w:rFonts w:hint="eastAsia" w:ascii="宋体" w:hAnsi="宋体" w:cs="宋体"/>
              </w:rPr>
              <w:t>结转结余总额</w:t>
            </w:r>
            <w:r>
              <w:rPr>
                <w:rFonts w:ascii="宋体" w:hAnsi="宋体" w:cs="宋体"/>
              </w:rPr>
              <w:t>/</w:t>
            </w:r>
            <w:r>
              <w:rPr>
                <w:rFonts w:hint="eastAsia" w:ascii="宋体" w:hAnsi="宋体" w:cs="宋体"/>
              </w:rPr>
              <w:t>支出预算数×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结转结余总额：部门本年度的结转资金与结余资金之和（以决算数为准）。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3"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结转结余</w:t>
            </w:r>
          </w:p>
          <w:p>
            <w:pPr>
              <w:spacing w:line="240" w:lineRule="exact"/>
              <w:jc w:val="center"/>
              <w:rPr>
                <w:rFonts w:ascii="宋体" w:cs="宋体"/>
              </w:rPr>
            </w:pPr>
            <w:r>
              <w:rPr>
                <w:rFonts w:hint="eastAsia" w:ascii="宋体" w:hAnsi="宋体" w:cs="宋体"/>
              </w:rPr>
              <w:t>变动率（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部门本年度结转结余资金总额与上年度结转结余资金总额的变动比率，用以反映和考核部门对控制结转结余资金的努力程度。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结转结余变动率</w:t>
            </w:r>
            <w:r>
              <w:rPr>
                <w:rFonts w:ascii="宋体" w:hAnsi="宋体" w:cs="宋体"/>
              </w:rPr>
              <w:t>=[</w:t>
            </w:r>
            <w:r>
              <w:rPr>
                <w:rFonts w:hint="eastAsia" w:ascii="宋体" w:hAnsi="宋体" w:cs="宋体"/>
              </w:rPr>
              <w:t>（本年度累计结转结余资金总额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公用经费</w:t>
            </w:r>
          </w:p>
          <w:p>
            <w:pPr>
              <w:spacing w:line="240" w:lineRule="exact"/>
              <w:jc w:val="center"/>
              <w:rPr>
                <w:rFonts w:ascii="宋体" w:cs="宋体"/>
              </w:rPr>
            </w:pPr>
            <w:r>
              <w:rPr>
                <w:rFonts w:hint="eastAsia" w:ascii="宋体" w:hAnsi="宋体" w:cs="宋体"/>
              </w:rPr>
              <w:t>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部门本年度实际支出的公用经费总额与预算安排的公用经费总额的比率，用以反映和考核部门对机构运转成本的实际控制程度。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公用经费控制率</w:t>
            </w:r>
            <w:r>
              <w:rPr>
                <w:rFonts w:ascii="宋体" w:hAnsi="宋体" w:cs="宋体"/>
              </w:rPr>
              <w:t>=</w:t>
            </w:r>
            <w:r>
              <w:rPr>
                <w:rFonts w:hint="eastAsia" w:ascii="宋体" w:hAnsi="宋体" w:cs="宋体"/>
              </w:rPr>
              <w:t>（实际支出公用经费总额</w:t>
            </w:r>
            <w:r>
              <w:rPr>
                <w:rFonts w:ascii="宋体" w:hAnsi="宋体" w:cs="宋体"/>
              </w:rPr>
              <w:t>/</w:t>
            </w:r>
            <w:r>
              <w:rPr>
                <w:rFonts w:hint="eastAsia" w:ascii="宋体" w:hAnsi="宋体" w:cs="宋体"/>
              </w:rPr>
              <w:t>预算安排公用经费总额）×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8"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部门本年度“三公经费”实际支出数与预算安排数的比率，用以反映和考核部门对“三公经费”的实际控制程度。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“三公经费”控制率</w:t>
            </w:r>
            <w:r>
              <w:rPr>
                <w:rFonts w:ascii="宋体" w:hAnsi="宋体" w:cs="宋体"/>
              </w:rPr>
              <w:t>=</w:t>
            </w:r>
            <w:r>
              <w:rPr>
                <w:rFonts w:hint="eastAsia" w:ascii="宋体" w:hAnsi="宋体" w:cs="宋体"/>
              </w:rPr>
              <w:t>（“三公经费”实际支出数</w:t>
            </w:r>
            <w:r>
              <w:rPr>
                <w:rFonts w:ascii="宋体" w:hAnsi="宋体" w:cs="宋体"/>
              </w:rPr>
              <w:t>/</w:t>
            </w:r>
            <w:r>
              <w:rPr>
                <w:rFonts w:hint="eastAsia" w:ascii="宋体" w:hAnsi="宋体" w:cs="宋体"/>
              </w:rPr>
              <w:t>“三公经费”预算安排数）×</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0"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政府采购</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部门本年度实际政府采购金额与年初政府采购预算的比率，用以反映和考核部门政府采购预算执行情况。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政府采购执行率</w:t>
            </w:r>
            <w:r>
              <w:rPr>
                <w:rFonts w:ascii="宋体" w:hAnsi="宋体" w:cs="宋体"/>
              </w:rPr>
              <w:t>=</w:t>
            </w:r>
            <w:r>
              <w:rPr>
                <w:rFonts w:hint="eastAsia" w:ascii="宋体" w:hAnsi="宋体" w:cs="宋体"/>
              </w:rPr>
              <w:t>（实际政府采购金额</w:t>
            </w:r>
            <w:r>
              <w:rPr>
                <w:rFonts w:ascii="宋体" w:hAnsi="宋体" w:cs="宋体"/>
              </w:rPr>
              <w:t>/</w:t>
            </w:r>
            <w:r>
              <w:rPr>
                <w:rFonts w:hint="eastAsia" w:ascii="宋体" w:hAnsi="宋体" w:cs="宋体"/>
              </w:rPr>
              <w:t>政府采购预算数）×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hAnsi="宋体" w:cs="宋体"/>
              </w:rPr>
            </w:pPr>
            <w:r>
              <w:rPr>
                <w:rFonts w:hint="eastAsia" w:ascii="宋体" w:hAnsi="宋体" w:cs="宋体"/>
              </w:rPr>
              <w:t>政府采购预算：采购机关根据事业发展计划和行政任务编制的、并经过规定程序批准的年度政府采购计划。</w:t>
            </w:r>
            <w:r>
              <w:rPr>
                <w:rFonts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9" w:hRule="atLeast"/>
          <w:jc w:val="center"/>
        </w:trPr>
        <w:tc>
          <w:tcPr>
            <w:tcW w:w="306" w:type="pct"/>
            <w:vMerge w:val="restart"/>
            <w:vAlign w:val="center"/>
          </w:tcPr>
          <w:p>
            <w:pPr>
              <w:spacing w:line="240" w:lineRule="exact"/>
              <w:jc w:val="center"/>
              <w:rPr>
                <w:rFonts w:ascii="宋体" w:cs="宋体"/>
              </w:rPr>
            </w:pPr>
            <w:r>
              <w:rPr>
                <w:rFonts w:hint="eastAsia" w:ascii="宋体" w:hAnsi="宋体" w:cs="宋体"/>
              </w:rPr>
              <w:t>过</w:t>
            </w:r>
          </w:p>
          <w:p>
            <w:pPr>
              <w:spacing w:line="240" w:lineRule="exact"/>
              <w:jc w:val="center"/>
              <w:rPr>
                <w:rFonts w:ascii="宋体" w:cs="宋体"/>
              </w:rPr>
            </w:pP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p>
            <w:pPr>
              <w:spacing w:line="240" w:lineRule="exact"/>
              <w:jc w:val="center"/>
              <w:rPr>
                <w:rFonts w:ascii="宋体" w:cs="宋体"/>
              </w:rPr>
            </w:pPr>
            <w:r>
              <w:rPr>
                <w:rFonts w:hint="eastAsia" w:ascii="宋体" w:hAnsi="宋体" w:cs="宋体"/>
              </w:rPr>
              <w:t>）</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部门为加强预算管理、规范财务行为而制定的管理制度是否健全完整，用以反映和考核部门预算管理制度对完成主要职责或促进事业发展的保障情况。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①是否已制定或具有预算资金管理办法、内部财务管理制度、会计核算制度等管理制度；</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②相关管理制度是否合法、合规、完整；</w:t>
            </w:r>
          </w:p>
          <w:p>
            <w:pPr>
              <w:spacing w:line="240" w:lineRule="exact"/>
              <w:ind w:left="105" w:leftChars="50" w:right="105" w:rightChars="50"/>
              <w:rPr>
                <w:rFonts w:ascii="宋体" w:cs="宋体"/>
              </w:rPr>
            </w:pPr>
            <w:r>
              <w:rPr>
                <w:rFonts w:hint="eastAsia" w:ascii="宋体" w:hAnsi="宋体" w:cs="宋体"/>
              </w:rPr>
              <w:t>③相关管理制度是否得到有效执行。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资金使用</w:t>
            </w:r>
          </w:p>
          <w:p>
            <w:pPr>
              <w:spacing w:line="240" w:lineRule="exact"/>
              <w:jc w:val="center"/>
              <w:rPr>
                <w:rFonts w:ascii="宋体" w:cs="宋体"/>
              </w:rPr>
            </w:pPr>
            <w:r>
              <w:rPr>
                <w:rFonts w:hint="eastAsia" w:ascii="宋体" w:hAnsi="宋体" w:cs="宋体"/>
              </w:rPr>
              <w:t>合规性（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部门使用预算资金是否符合相关的预算财务管理制度的规定，用以反映和考核部门预算资金的规范运行情况。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①是否符合国家财经法规和财务管理制度规定以及有关预算支出管理办法的规定；</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②资金的拨付是否有完整的审批程序和手续；</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③预算支出的重大开支是否经过评估论证；</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④是否符合部门预算批复的用途；</w:t>
            </w:r>
          </w:p>
          <w:p>
            <w:pPr>
              <w:spacing w:line="240" w:lineRule="exact"/>
              <w:ind w:left="105" w:leftChars="50" w:right="105" w:rightChars="50"/>
              <w:rPr>
                <w:rFonts w:ascii="宋体" w:cs="宋体"/>
              </w:rPr>
            </w:pPr>
            <w:r>
              <w:rPr>
                <w:rFonts w:hint="eastAsia" w:ascii="宋体" w:hAnsi="宋体" w:cs="宋体"/>
              </w:rPr>
              <w:t>⑤是否存在截留、挤占、挪用、虚列支出等情况。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2"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预决算信</w:t>
            </w:r>
          </w:p>
          <w:p>
            <w:pPr>
              <w:spacing w:line="240" w:lineRule="exact"/>
              <w:jc w:val="center"/>
              <w:rPr>
                <w:rFonts w:ascii="宋体" w:cs="宋体"/>
              </w:rPr>
            </w:pPr>
            <w:r>
              <w:rPr>
                <w:rFonts w:hint="eastAsia" w:ascii="宋体" w:hAnsi="宋体" w:cs="宋体"/>
              </w:rPr>
              <w:t>息公开性（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部门是否按照政府信息公开有关规定公开相关预决算信息，用以反映和考核部门预决算管理的公开透明情况。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①是否按规定内容公开预决算信息；</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②是否按规定时限公开预决算信息。</w:t>
            </w:r>
          </w:p>
          <w:p>
            <w:pPr>
              <w:spacing w:line="240" w:lineRule="exact"/>
              <w:ind w:left="105" w:leftChars="50" w:right="105" w:rightChars="50"/>
              <w:rPr>
                <w:rFonts w:ascii="宋体" w:cs="宋体"/>
              </w:rPr>
            </w:pPr>
            <w:r>
              <w:rPr>
                <w:rFonts w:hint="eastAsia" w:ascii="宋体" w:hAnsi="宋体" w:cs="宋体"/>
              </w:rPr>
              <w:t>预决算信息是指与部门预算、执行、决算、监督、绩效等管理相关的信息。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基础信息</w:t>
            </w:r>
          </w:p>
          <w:p>
            <w:pPr>
              <w:spacing w:line="240" w:lineRule="exact"/>
              <w:jc w:val="center"/>
              <w:rPr>
                <w:rFonts w:ascii="宋体" w:cs="宋体"/>
              </w:rPr>
            </w:pPr>
            <w:r>
              <w:rPr>
                <w:rFonts w:hint="eastAsia" w:ascii="宋体" w:hAnsi="宋体" w:cs="宋体"/>
              </w:rPr>
              <w:t>完善性（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部门基础信息是否完善，用以反映和考核基础信息对预算管理工作的支撑情况。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①基础数据信息和会计信息资料是否真实；</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②基础数据信息和会计信息资料是否完整；</w:t>
            </w:r>
          </w:p>
          <w:p>
            <w:pPr>
              <w:spacing w:line="240" w:lineRule="exact"/>
              <w:ind w:left="105" w:leftChars="50" w:right="105" w:rightChars="50"/>
              <w:rPr>
                <w:rFonts w:ascii="宋体" w:cs="宋体"/>
              </w:rPr>
            </w:pPr>
            <w:r>
              <w:rPr>
                <w:rFonts w:hint="eastAsia" w:ascii="宋体" w:hAnsi="宋体" w:cs="宋体"/>
              </w:rPr>
              <w:t>③基础数据信息和会计信息资料是否准确。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资产</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部门为加强资产管理、规范资产管理行为而制定的管理制度是否健全完整，用以反映和考核部门资产管理制度对完成主要职责或促进社会发展的保障情况。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①是否已制定或具有资产管理制度；</w:t>
            </w:r>
            <w:r>
              <w:rPr>
                <w:rFonts w:ascii="宋体" w:hAnsi="宋体" w:cs="宋体"/>
              </w:rPr>
              <w:t xml:space="preserve">           </w:t>
            </w:r>
            <w:r>
              <w:rPr>
                <w:rFonts w:hint="eastAsia" w:ascii="宋体" w:hAnsi="宋体" w:cs="宋体"/>
              </w:rPr>
              <w:t>②相关资金管理制度是否合法、合规、完整；</w:t>
            </w:r>
          </w:p>
          <w:p>
            <w:pPr>
              <w:spacing w:line="240" w:lineRule="exact"/>
              <w:ind w:left="105" w:leftChars="50" w:right="105" w:rightChars="50"/>
              <w:rPr>
                <w:rFonts w:ascii="宋体" w:cs="宋体"/>
              </w:rPr>
            </w:pPr>
            <w:r>
              <w:rPr>
                <w:rFonts w:hint="eastAsia" w:ascii="宋体" w:hAnsi="宋体" w:cs="宋体"/>
              </w:rPr>
              <w:t>③相关资产管理制度是否得到有效执行。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资产管理</w:t>
            </w:r>
          </w:p>
          <w:p>
            <w:pPr>
              <w:spacing w:line="240" w:lineRule="exact"/>
              <w:jc w:val="center"/>
              <w:rPr>
                <w:rFonts w:ascii="宋体" w:cs="宋体"/>
              </w:rPr>
            </w:pPr>
            <w:r>
              <w:rPr>
                <w:rFonts w:hint="eastAsia" w:ascii="宋体" w:hAnsi="宋体" w:cs="宋体"/>
              </w:rPr>
              <w:t>安全性（</w:t>
            </w:r>
            <w:r>
              <w:rPr>
                <w:rFonts w:ascii="宋体" w:hAnsi="宋体" w:cs="宋体"/>
              </w:rPr>
              <w:t>2</w:t>
            </w:r>
            <w:r>
              <w:rPr>
                <w:rFonts w:hint="eastAsia" w:ascii="宋体" w:hAnsi="宋体" w:cs="宋体"/>
              </w:rPr>
              <w:t>分）</w:t>
            </w:r>
          </w:p>
        </w:tc>
        <w:tc>
          <w:tcPr>
            <w:tcW w:w="375" w:type="pct"/>
            <w:vAlign w:val="center"/>
          </w:tcPr>
          <w:p>
            <w:pPr>
              <w:tabs>
                <w:tab w:val="left" w:pos="761"/>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761"/>
                <w:tab w:val="left" w:pos="2604"/>
              </w:tabs>
              <w:spacing w:line="240" w:lineRule="exact"/>
              <w:ind w:left="105" w:leftChars="50" w:right="105" w:rightChars="50" w:firstLine="96" w:firstLineChars="46"/>
              <w:rPr>
                <w:rFonts w:ascii="宋体" w:cs="宋体"/>
              </w:rPr>
            </w:pPr>
            <w:r>
              <w:rPr>
                <w:rFonts w:hint="eastAsia" w:ascii="宋体" w:hAnsi="宋体" w:cs="宋体"/>
              </w:rPr>
              <w:t>部门的资产是否保存完整、使用合规、配置合理、处置规范、收入及时足额上缴，用以反映和考核部门资产安全运行情况。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①资产保存是否完整；</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②资产配置是否合理；</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③资产处置是否规范；</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④资产账务管理是否合规，是否</w:t>
            </w:r>
            <w:r>
              <w:rPr>
                <w:rFonts w:hint="eastAsia" w:ascii="宋体" w:hAnsi="宋体" w:cs="宋体"/>
                <w:lang w:eastAsia="zh-CN"/>
              </w:rPr>
              <w:t>账</w:t>
            </w:r>
            <w:r>
              <w:rPr>
                <w:rFonts w:hint="eastAsia" w:ascii="宋体" w:hAnsi="宋体" w:cs="宋体"/>
              </w:rPr>
              <w:t>实相符；</w:t>
            </w:r>
          </w:p>
          <w:p>
            <w:pPr>
              <w:spacing w:line="240" w:lineRule="exact"/>
              <w:ind w:left="105" w:leftChars="50" w:right="105" w:rightChars="50"/>
              <w:rPr>
                <w:rFonts w:ascii="宋体" w:cs="宋体"/>
              </w:rPr>
            </w:pPr>
            <w:r>
              <w:rPr>
                <w:rFonts w:hint="eastAsia" w:ascii="宋体" w:hAnsi="宋体" w:cs="宋体"/>
              </w:rPr>
              <w:t>⑤资产是否有偿使用及处置收入及时足额上缴。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固定资产</w:t>
            </w:r>
          </w:p>
          <w:p>
            <w:pPr>
              <w:spacing w:line="240" w:lineRule="exact"/>
              <w:jc w:val="center"/>
              <w:rPr>
                <w:rFonts w:ascii="宋体" w:cs="宋体"/>
              </w:rPr>
            </w:pPr>
            <w:r>
              <w:rPr>
                <w:rFonts w:hint="eastAsia" w:ascii="宋体" w:hAnsi="宋体" w:cs="宋体"/>
              </w:rPr>
              <w:t>利用率（</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部门实际在用固定资产总额与所有固定资产总额的比率，用以反映和考核部门固定资产使用效率程度。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固定资产利用率</w:t>
            </w:r>
            <w:r>
              <w:rPr>
                <w:rFonts w:ascii="宋体" w:hAnsi="宋体" w:cs="宋体"/>
              </w:rPr>
              <w:t>=</w:t>
            </w:r>
            <w:r>
              <w:rPr>
                <w:rFonts w:hint="eastAsia" w:ascii="宋体" w:hAnsi="宋体" w:cs="宋体"/>
              </w:rPr>
              <w:t>（实际在用固定资产总额</w:t>
            </w:r>
            <w:r>
              <w:rPr>
                <w:rFonts w:ascii="宋体" w:hAnsi="宋体" w:cs="宋体"/>
              </w:rPr>
              <w:t>/</w:t>
            </w:r>
            <w:r>
              <w:rPr>
                <w:rFonts w:hint="eastAsia" w:ascii="宋体" w:hAnsi="宋体" w:cs="宋体"/>
              </w:rPr>
              <w:t>所有固定资产总额）×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1"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产</w:t>
            </w:r>
            <w:r>
              <w:rPr>
                <w:rFonts w:ascii="宋体" w:hAnsi="宋体" w:cs="宋体"/>
              </w:rPr>
              <w:t xml:space="preserve">   </w:t>
            </w:r>
            <w:r>
              <w:rPr>
                <w:rFonts w:hint="eastAsia" w:ascii="宋体" w:hAnsi="宋体" w:cs="宋体"/>
              </w:rPr>
              <w:t>出（</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职责</w:t>
            </w:r>
          </w:p>
          <w:p>
            <w:pPr>
              <w:spacing w:line="240" w:lineRule="exact"/>
              <w:jc w:val="center"/>
              <w:rPr>
                <w:rFonts w:ascii="宋体" w:cs="宋体"/>
              </w:rPr>
            </w:pPr>
            <w:r>
              <w:rPr>
                <w:rFonts w:hint="eastAsia" w:ascii="宋体" w:hAnsi="宋体" w:cs="宋体"/>
              </w:rPr>
              <w:t>履行（</w:t>
            </w:r>
            <w:r>
              <w:rPr>
                <w:rFonts w:ascii="宋体" w:hAnsi="宋体" w:cs="宋体"/>
              </w:rPr>
              <w:t>30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实际</w:t>
            </w:r>
          </w:p>
          <w:p>
            <w:pPr>
              <w:spacing w:line="240" w:lineRule="exact"/>
              <w:jc w:val="center"/>
              <w:rPr>
                <w:rFonts w:ascii="宋体" w:cs="宋体"/>
              </w:rPr>
            </w:pPr>
            <w:r>
              <w:rPr>
                <w:rFonts w:hint="eastAsia" w:ascii="宋体" w:hAnsi="宋体" w:cs="宋体"/>
              </w:rPr>
              <w:t>完成率（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8</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部门履行职责而实际完成工作数与计划工作数的比率，用以反映和考核部门履职工作任务目标的实现程度。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实际完成率</w:t>
            </w:r>
            <w:r>
              <w:rPr>
                <w:rFonts w:ascii="宋体" w:hAnsi="宋体" w:cs="宋体"/>
              </w:rPr>
              <w:t>=</w:t>
            </w:r>
            <w:r>
              <w:rPr>
                <w:rFonts w:hint="eastAsia" w:ascii="宋体" w:hAnsi="宋体" w:cs="宋体"/>
              </w:rPr>
              <w:t>（实际完成工作数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实际完成工作数：一定时期（年度或规划期）内部门实际完成工作任务的数量。</w:t>
            </w:r>
          </w:p>
          <w:p>
            <w:pPr>
              <w:spacing w:line="240" w:lineRule="exact"/>
              <w:ind w:left="105" w:leftChars="50" w:right="105" w:rightChars="50"/>
              <w:rPr>
                <w:rFonts w:ascii="宋体" w:cs="宋体"/>
              </w:rPr>
            </w:pPr>
            <w:r>
              <w:rPr>
                <w:rFonts w:hint="eastAsia" w:ascii="宋体" w:hAnsi="宋体" w:cs="宋体"/>
              </w:rPr>
              <w:t>计划工作数：部门整体绩效目标确定的一定时期（年度或规划期）内预计完成工作任务的数量。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3" w:hRule="atLeast"/>
          <w:jc w:val="center"/>
        </w:trPr>
        <w:tc>
          <w:tcPr>
            <w:tcW w:w="306" w:type="pct"/>
            <w:vMerge w:val="continue"/>
            <w:textDirection w:val="tbRlV"/>
            <w:vAlign w:val="center"/>
          </w:tcPr>
          <w:p>
            <w:pPr>
              <w:spacing w:line="240" w:lineRule="exact"/>
              <w:ind w:left="113"/>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完成</w:t>
            </w:r>
          </w:p>
          <w:p>
            <w:pPr>
              <w:spacing w:line="240" w:lineRule="exact"/>
              <w:jc w:val="center"/>
              <w:rPr>
                <w:rFonts w:ascii="宋体" w:cs="宋体"/>
              </w:rPr>
            </w:pPr>
            <w:r>
              <w:rPr>
                <w:rFonts w:hint="eastAsia" w:ascii="宋体" w:hAnsi="宋体" w:cs="宋体"/>
              </w:rPr>
              <w:t>及时率（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部门在规定时限内及时完成的实际工作数与计划工作数的比率</w:t>
            </w:r>
            <w:r>
              <w:rPr>
                <w:rFonts w:ascii="宋体" w:hAnsi="宋体" w:cs="宋体"/>
              </w:rPr>
              <w:t>,</w:t>
            </w:r>
            <w:r>
              <w:rPr>
                <w:rFonts w:hint="eastAsia" w:ascii="宋体" w:hAnsi="宋体" w:cs="宋体"/>
              </w:rPr>
              <w:t>用以反映和考核部门履职时效目标的实现程度。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完成及时率</w:t>
            </w:r>
            <w:r>
              <w:rPr>
                <w:rFonts w:ascii="宋体" w:hAnsi="宋体" w:cs="宋体"/>
              </w:rPr>
              <w:t>=</w:t>
            </w:r>
            <w:r>
              <w:rPr>
                <w:rFonts w:hint="eastAsia" w:ascii="宋体" w:hAnsi="宋体" w:cs="宋体"/>
              </w:rPr>
              <w:t>（及时完成实际工作数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及时完成实际工作数：部门按照整体绩效目标确定的时限实际完成的工作任务数量。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7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质量</w:t>
            </w:r>
          </w:p>
          <w:p>
            <w:pPr>
              <w:spacing w:line="240" w:lineRule="exact"/>
              <w:jc w:val="center"/>
              <w:rPr>
                <w:rFonts w:ascii="宋体" w:cs="宋体"/>
              </w:rPr>
            </w:pPr>
            <w:r>
              <w:rPr>
                <w:rFonts w:hint="eastAsia" w:ascii="宋体" w:hAnsi="宋体" w:cs="宋体"/>
              </w:rPr>
              <w:t>达标率（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7</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达到质量标准（绩效标准值）的实际工作数与计划工作数的比率</w:t>
            </w:r>
            <w:r>
              <w:rPr>
                <w:rFonts w:ascii="宋体" w:hAnsi="宋体" w:cs="宋体"/>
              </w:rPr>
              <w:t>,</w:t>
            </w:r>
            <w:r>
              <w:rPr>
                <w:rFonts w:hint="eastAsia" w:ascii="宋体" w:hAnsi="宋体" w:cs="宋体"/>
              </w:rPr>
              <w:t>用以反映和考核部门履职质量目标的实现程度。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质量达标率</w:t>
            </w:r>
            <w:r>
              <w:rPr>
                <w:rFonts w:ascii="宋体" w:hAnsi="宋体" w:cs="宋体"/>
              </w:rPr>
              <w:t>=</w:t>
            </w:r>
            <w:r>
              <w:rPr>
                <w:rFonts w:hint="eastAsia" w:ascii="宋体" w:hAnsi="宋体" w:cs="宋体"/>
              </w:rPr>
              <w:t>（质量达标实际工作数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质量达标实际工作数：一定时期（年度或规划期）内部门实际完成工作数中达到部门绩效目标要求（绩效标准值）的工作任务数量。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重点工作</w:t>
            </w:r>
          </w:p>
          <w:p>
            <w:pPr>
              <w:spacing w:line="240" w:lineRule="exact"/>
              <w:jc w:val="center"/>
              <w:rPr>
                <w:rFonts w:ascii="宋体" w:cs="宋体"/>
              </w:rPr>
            </w:pPr>
            <w:r>
              <w:rPr>
                <w:rFonts w:hint="eastAsia" w:ascii="宋体" w:hAnsi="宋体" w:cs="宋体"/>
              </w:rPr>
              <w:t>办结率（</w:t>
            </w:r>
            <w:r>
              <w:rPr>
                <w:rFonts w:ascii="宋体" w:hAnsi="宋体" w:cs="宋体"/>
              </w:rPr>
              <w:t>10</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10</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部门年度重点工作实际完成数与交办或下达数的比率，用以反映部门对重点工作的办理落实程度。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重点工作办结率</w:t>
            </w:r>
            <w:r>
              <w:rPr>
                <w:rFonts w:ascii="宋体" w:hAnsi="宋体" w:cs="宋体"/>
              </w:rPr>
              <w:t>=</w:t>
            </w:r>
            <w:r>
              <w:rPr>
                <w:rFonts w:hint="eastAsia" w:ascii="宋体" w:hAnsi="宋体" w:cs="宋体"/>
              </w:rPr>
              <w:t>（重点工作实际完成数</w:t>
            </w:r>
            <w:r>
              <w:rPr>
                <w:rFonts w:ascii="宋体" w:hAnsi="宋体" w:cs="宋体"/>
              </w:rPr>
              <w:t>/</w:t>
            </w:r>
            <w:r>
              <w:rPr>
                <w:rFonts w:hint="eastAsia" w:ascii="宋体" w:hAnsi="宋体" w:cs="宋体"/>
              </w:rPr>
              <w:t>交办或下达数）×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重点工作是指党委、政府、人大、相关部门交办或下达的工作任务。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效</w:t>
            </w:r>
            <w:r>
              <w:rPr>
                <w:rFonts w:ascii="宋体" w:hAnsi="宋体" w:cs="宋体"/>
              </w:rPr>
              <w:t xml:space="preserve">   </w:t>
            </w:r>
            <w:r>
              <w:rPr>
                <w:rFonts w:hint="eastAsia" w:ascii="宋体" w:hAnsi="宋体" w:cs="宋体"/>
              </w:rPr>
              <w:t>果（</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履职</w:t>
            </w:r>
          </w:p>
          <w:p>
            <w:pPr>
              <w:spacing w:line="240" w:lineRule="exact"/>
              <w:jc w:val="center"/>
              <w:rPr>
                <w:rFonts w:ascii="宋体" w:cs="宋体"/>
              </w:rPr>
            </w:pPr>
            <w:r>
              <w:rPr>
                <w:rFonts w:hint="eastAsia" w:ascii="宋体" w:hAnsi="宋体" w:cs="宋体"/>
              </w:rPr>
              <w:t>效益（</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经济效益（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部门履行职责对经济发展所带来的直接或间接影响。</w:t>
            </w:r>
          </w:p>
        </w:tc>
        <w:tc>
          <w:tcPr>
            <w:tcW w:w="1866" w:type="pct"/>
            <w:vMerge w:val="restar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此三项指标为设置部门整体支出绩效评价指标时必须考虑的共性要素，可根据部门实际并结合部门整体支出绩效目标设立情况有选择的进行设置，并将其细化为相应的个性化指标。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部门履行职责对社会发展所带来的直接或间接影响。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生态效益（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部门履行职责对生态环境所带来的直接或间接影响。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社会公众</w:t>
            </w:r>
          </w:p>
          <w:p>
            <w:pPr>
              <w:spacing w:line="240" w:lineRule="exact"/>
              <w:jc w:val="center"/>
              <w:rPr>
                <w:rFonts w:ascii="宋体" w:cs="宋体"/>
              </w:rPr>
            </w:pPr>
            <w:r>
              <w:rPr>
                <w:rFonts w:hint="eastAsia" w:ascii="宋体" w:hAnsi="宋体" w:cs="宋体"/>
              </w:rPr>
              <w:t>或服务对</w:t>
            </w:r>
          </w:p>
          <w:p>
            <w:pPr>
              <w:spacing w:line="240" w:lineRule="exact"/>
              <w:jc w:val="center"/>
              <w:rPr>
                <w:rFonts w:ascii="宋体" w:cs="宋体"/>
              </w:rPr>
            </w:pPr>
            <w:r>
              <w:rPr>
                <w:rFonts w:hint="eastAsia" w:ascii="宋体" w:hAnsi="宋体" w:cs="宋体"/>
              </w:rPr>
              <w:t>象满意度（</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社会公众或部门的服务对象对部门履职效果的满意程度。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社会公众或服务对象是指部门履行职责而影响到的部门、群体或个人。一般采取社会调查的方式。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jc w:val="center"/>
        </w:trPr>
        <w:tc>
          <w:tcPr>
            <w:tcW w:w="306" w:type="pct"/>
            <w:vAlign w:val="center"/>
          </w:tcPr>
          <w:p>
            <w:pPr>
              <w:spacing w:line="240" w:lineRule="exact"/>
              <w:rPr>
                <w:rFonts w:ascii="宋体" w:cs="宋体"/>
              </w:rPr>
            </w:pPr>
            <w:r>
              <w:rPr>
                <w:rFonts w:hint="eastAsia" w:ascii="宋体" w:hAnsi="宋体" w:cs="宋体"/>
              </w:rPr>
              <w:t>总分</w:t>
            </w:r>
          </w:p>
        </w:tc>
        <w:tc>
          <w:tcPr>
            <w:tcW w:w="375" w:type="pct"/>
            <w:vAlign w:val="center"/>
          </w:tcPr>
          <w:p>
            <w:pPr>
              <w:spacing w:line="240" w:lineRule="exact"/>
              <w:jc w:val="center"/>
              <w:rPr>
                <w:rFonts w:hint="default" w:ascii="宋体" w:eastAsia="宋体" w:cs="宋体"/>
                <w:lang w:val="en-US" w:eastAsia="zh-CN"/>
              </w:rPr>
            </w:pPr>
            <w:r>
              <w:rPr>
                <w:rFonts w:hint="eastAsia" w:ascii="宋体" w:cs="宋体"/>
                <w:lang w:val="en-US" w:eastAsia="zh-CN"/>
              </w:rPr>
              <w:t>90分</w:t>
            </w:r>
          </w:p>
        </w:tc>
        <w:tc>
          <w:tcPr>
            <w:tcW w:w="500" w:type="pct"/>
            <w:tcMar>
              <w:top w:w="10" w:type="dxa"/>
              <w:left w:w="10" w:type="dxa"/>
              <w:bottom w:w="0" w:type="dxa"/>
              <w:right w:w="10" w:type="dxa"/>
            </w:tcMar>
            <w:vAlign w:val="center"/>
          </w:tcPr>
          <w:p>
            <w:pPr>
              <w:spacing w:line="240" w:lineRule="exact"/>
              <w:jc w:val="center"/>
              <w:rPr>
                <w:rFonts w:ascii="宋体" w:cs="宋体"/>
              </w:rPr>
            </w:pPr>
          </w:p>
        </w:tc>
        <w:tc>
          <w:tcPr>
            <w:tcW w:w="375" w:type="pct"/>
          </w:tcPr>
          <w:p>
            <w:pPr>
              <w:tabs>
                <w:tab w:val="left" w:pos="2604"/>
              </w:tabs>
              <w:spacing w:line="240" w:lineRule="exact"/>
              <w:ind w:left="105" w:leftChars="50" w:right="105" w:rightChars="50" w:firstLine="96" w:firstLineChars="46"/>
              <w:rPr>
                <w:rFonts w:ascii="宋体" w:cs="宋体"/>
              </w:rPr>
            </w:pP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p>
        </w:tc>
      </w:tr>
    </w:tbl>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sectPr>
      <w:headerReference r:id="rId3" w:type="default"/>
      <w:footerReference r:id="rId4" w:type="default"/>
      <w:pgSz w:w="11907" w:h="16839"/>
      <w:pgMar w:top="1440" w:right="1797" w:bottom="1440" w:left="1797" w:header="1134"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onsolas">
    <w:altName w:val="Liberation Sans Narrow"/>
    <w:panose1 w:val="020B0609020204030204"/>
    <w:charset w:val="00"/>
    <w:family w:val="auto"/>
    <w:pitch w:val="default"/>
    <w:sig w:usb0="00000000" w:usb1="00000000" w:usb2="00000009" w:usb3="00000000" w:csb0="6000019F" w:csb1="DFD70000"/>
  </w:font>
  <w:font w:name="Liberation Sans Narrow">
    <w:panose1 w:val="020B0606020202030204"/>
    <w:charset w:val="00"/>
    <w:family w:val="auto"/>
    <w:pitch w:val="default"/>
    <w:sig w:usb0="A00002AF" w:usb1="500078FB" w:usb2="00000000" w:usb3="00000000" w:csb0="6000009F" w:csb1="DFD7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a:noFill/>
                      </a:ln>
                    </wps:spPr>
                    <wps:txbx>
                      <w:txbxContent>
                        <w:p>
                          <w:pPr>
                            <w:pStyle w:val="5"/>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w9kx90QAAAAMBAAAPAAAA&#10;AAAAAAEAIAAAADgAAABkcnMvZG93bnJldi54bWxQSwECFAAUAAAACACHTuJANv68ps0BAACXAwAA&#10;DgAAAAAAAAABACAAAAA2AQAAZHJzL2Uyb0RvYy54bWxQSwUGAAAAAAYABgBZAQAAdQUAAAAA&#10;">
              <v:fill on="f" focussize="0,0"/>
              <v:stroke on="f"/>
              <v:imagedata o:title=""/>
              <o:lock v:ext="edit" aspectratio="f"/>
              <v:textbox inset="0mm,0mm,0mm,0mm" style="mso-fit-shape-to-text:t;">
                <w:txbxContent>
                  <w:p>
                    <w:pPr>
                      <w:pStyle w:val="5"/>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0YjU4NTBjZjI5MWY2MDY0NThjNDVkYjYwNGQ2MzIifQ=="/>
  </w:docVars>
  <w:rsids>
    <w:rsidRoot w:val="00B31492"/>
    <w:rsid w:val="0000576B"/>
    <w:rsid w:val="0000765B"/>
    <w:rsid w:val="00015C04"/>
    <w:rsid w:val="00022090"/>
    <w:rsid w:val="00027999"/>
    <w:rsid w:val="00040749"/>
    <w:rsid w:val="00044ABC"/>
    <w:rsid w:val="00054DD5"/>
    <w:rsid w:val="000722B9"/>
    <w:rsid w:val="00073416"/>
    <w:rsid w:val="00080EF1"/>
    <w:rsid w:val="000900F1"/>
    <w:rsid w:val="00091451"/>
    <w:rsid w:val="0009535D"/>
    <w:rsid w:val="000A1134"/>
    <w:rsid w:val="000A5544"/>
    <w:rsid w:val="000B301B"/>
    <w:rsid w:val="000B5306"/>
    <w:rsid w:val="000C10FB"/>
    <w:rsid w:val="000C4D3C"/>
    <w:rsid w:val="000C731D"/>
    <w:rsid w:val="000D0F40"/>
    <w:rsid w:val="000D5127"/>
    <w:rsid w:val="000D57CB"/>
    <w:rsid w:val="000D747F"/>
    <w:rsid w:val="000E0B2B"/>
    <w:rsid w:val="000E2985"/>
    <w:rsid w:val="000E36C4"/>
    <w:rsid w:val="000E3F10"/>
    <w:rsid w:val="000E4EF8"/>
    <w:rsid w:val="000E57AB"/>
    <w:rsid w:val="0011120E"/>
    <w:rsid w:val="00117CF4"/>
    <w:rsid w:val="00123970"/>
    <w:rsid w:val="00131B2C"/>
    <w:rsid w:val="00134C35"/>
    <w:rsid w:val="00135095"/>
    <w:rsid w:val="00140798"/>
    <w:rsid w:val="00145A11"/>
    <w:rsid w:val="00145E64"/>
    <w:rsid w:val="0015632B"/>
    <w:rsid w:val="00163FD1"/>
    <w:rsid w:val="0016625A"/>
    <w:rsid w:val="00173782"/>
    <w:rsid w:val="001835CC"/>
    <w:rsid w:val="0019211B"/>
    <w:rsid w:val="001944C9"/>
    <w:rsid w:val="001A58D4"/>
    <w:rsid w:val="001B113D"/>
    <w:rsid w:val="001B3C1E"/>
    <w:rsid w:val="001C0145"/>
    <w:rsid w:val="001C3048"/>
    <w:rsid w:val="001C40F4"/>
    <w:rsid w:val="001C575F"/>
    <w:rsid w:val="001C5833"/>
    <w:rsid w:val="001D55E5"/>
    <w:rsid w:val="001D62E0"/>
    <w:rsid w:val="001E0A51"/>
    <w:rsid w:val="001F1A3F"/>
    <w:rsid w:val="001F1E9B"/>
    <w:rsid w:val="0020112F"/>
    <w:rsid w:val="002049ED"/>
    <w:rsid w:val="002063CE"/>
    <w:rsid w:val="00230CBD"/>
    <w:rsid w:val="002342D8"/>
    <w:rsid w:val="00247245"/>
    <w:rsid w:val="00252C84"/>
    <w:rsid w:val="0025648E"/>
    <w:rsid w:val="00275A2B"/>
    <w:rsid w:val="00283D7B"/>
    <w:rsid w:val="00292015"/>
    <w:rsid w:val="002931ED"/>
    <w:rsid w:val="002A3B44"/>
    <w:rsid w:val="002A4853"/>
    <w:rsid w:val="002A5CDE"/>
    <w:rsid w:val="002B12AA"/>
    <w:rsid w:val="002B32F1"/>
    <w:rsid w:val="002B6F7B"/>
    <w:rsid w:val="002C1348"/>
    <w:rsid w:val="002C7776"/>
    <w:rsid w:val="002C7EC5"/>
    <w:rsid w:val="002D1084"/>
    <w:rsid w:val="002D6947"/>
    <w:rsid w:val="002F3512"/>
    <w:rsid w:val="002F5762"/>
    <w:rsid w:val="0030782F"/>
    <w:rsid w:val="00311298"/>
    <w:rsid w:val="00331FAC"/>
    <w:rsid w:val="00336322"/>
    <w:rsid w:val="00340884"/>
    <w:rsid w:val="00347C80"/>
    <w:rsid w:val="00350547"/>
    <w:rsid w:val="00350A4D"/>
    <w:rsid w:val="00352D01"/>
    <w:rsid w:val="00355435"/>
    <w:rsid w:val="00360129"/>
    <w:rsid w:val="00366764"/>
    <w:rsid w:val="00366EE2"/>
    <w:rsid w:val="00372EF3"/>
    <w:rsid w:val="003948BE"/>
    <w:rsid w:val="003A190D"/>
    <w:rsid w:val="003A2BF3"/>
    <w:rsid w:val="003A53A5"/>
    <w:rsid w:val="003A7E51"/>
    <w:rsid w:val="003B5FA6"/>
    <w:rsid w:val="003B658E"/>
    <w:rsid w:val="003B7FAA"/>
    <w:rsid w:val="003C7C2B"/>
    <w:rsid w:val="003D29D9"/>
    <w:rsid w:val="003E72EB"/>
    <w:rsid w:val="003F19D9"/>
    <w:rsid w:val="003F35EB"/>
    <w:rsid w:val="003F5F53"/>
    <w:rsid w:val="003F73B4"/>
    <w:rsid w:val="00414B84"/>
    <w:rsid w:val="004212AA"/>
    <w:rsid w:val="004215E8"/>
    <w:rsid w:val="00440DA9"/>
    <w:rsid w:val="004515AD"/>
    <w:rsid w:val="00455622"/>
    <w:rsid w:val="00455834"/>
    <w:rsid w:val="00460940"/>
    <w:rsid w:val="00461D77"/>
    <w:rsid w:val="00462455"/>
    <w:rsid w:val="00464B98"/>
    <w:rsid w:val="0046525C"/>
    <w:rsid w:val="00467029"/>
    <w:rsid w:val="00467BC3"/>
    <w:rsid w:val="00467EF2"/>
    <w:rsid w:val="00471464"/>
    <w:rsid w:val="00473533"/>
    <w:rsid w:val="0047675A"/>
    <w:rsid w:val="004778F7"/>
    <w:rsid w:val="004927D2"/>
    <w:rsid w:val="00492B9B"/>
    <w:rsid w:val="00493F4C"/>
    <w:rsid w:val="004A303E"/>
    <w:rsid w:val="004A6D78"/>
    <w:rsid w:val="004B1A54"/>
    <w:rsid w:val="004C27E5"/>
    <w:rsid w:val="004D1774"/>
    <w:rsid w:val="004D17DD"/>
    <w:rsid w:val="004D6E5E"/>
    <w:rsid w:val="004E1C5B"/>
    <w:rsid w:val="004E5938"/>
    <w:rsid w:val="004E7365"/>
    <w:rsid w:val="004F5CC3"/>
    <w:rsid w:val="005029FA"/>
    <w:rsid w:val="005120D4"/>
    <w:rsid w:val="0051663A"/>
    <w:rsid w:val="005260E1"/>
    <w:rsid w:val="00527A87"/>
    <w:rsid w:val="00532E16"/>
    <w:rsid w:val="00534320"/>
    <w:rsid w:val="00536EFD"/>
    <w:rsid w:val="00541E92"/>
    <w:rsid w:val="00551F05"/>
    <w:rsid w:val="00561B93"/>
    <w:rsid w:val="00562E2F"/>
    <w:rsid w:val="005673CE"/>
    <w:rsid w:val="00567819"/>
    <w:rsid w:val="00573400"/>
    <w:rsid w:val="00576326"/>
    <w:rsid w:val="00580167"/>
    <w:rsid w:val="00582E1A"/>
    <w:rsid w:val="005919FA"/>
    <w:rsid w:val="00593C92"/>
    <w:rsid w:val="005A1A08"/>
    <w:rsid w:val="005A433C"/>
    <w:rsid w:val="005A6BE1"/>
    <w:rsid w:val="005A7B28"/>
    <w:rsid w:val="005B2710"/>
    <w:rsid w:val="005C3E6E"/>
    <w:rsid w:val="005C6524"/>
    <w:rsid w:val="005D153C"/>
    <w:rsid w:val="005D7D3B"/>
    <w:rsid w:val="005E00E8"/>
    <w:rsid w:val="005E28B1"/>
    <w:rsid w:val="005F253D"/>
    <w:rsid w:val="006049B8"/>
    <w:rsid w:val="006127F6"/>
    <w:rsid w:val="00615B61"/>
    <w:rsid w:val="006179F6"/>
    <w:rsid w:val="00620354"/>
    <w:rsid w:val="00620B87"/>
    <w:rsid w:val="00622068"/>
    <w:rsid w:val="006224CF"/>
    <w:rsid w:val="00635C4C"/>
    <w:rsid w:val="00644573"/>
    <w:rsid w:val="00657147"/>
    <w:rsid w:val="006611E6"/>
    <w:rsid w:val="00662342"/>
    <w:rsid w:val="00663274"/>
    <w:rsid w:val="00665EDA"/>
    <w:rsid w:val="0067028C"/>
    <w:rsid w:val="00673791"/>
    <w:rsid w:val="006819E5"/>
    <w:rsid w:val="00682504"/>
    <w:rsid w:val="00696039"/>
    <w:rsid w:val="006B1373"/>
    <w:rsid w:val="006B241E"/>
    <w:rsid w:val="006C3681"/>
    <w:rsid w:val="006E3D80"/>
    <w:rsid w:val="006E44A5"/>
    <w:rsid w:val="006E4909"/>
    <w:rsid w:val="006F3690"/>
    <w:rsid w:val="00706732"/>
    <w:rsid w:val="0070749B"/>
    <w:rsid w:val="00712F25"/>
    <w:rsid w:val="00723BF8"/>
    <w:rsid w:val="00723F2E"/>
    <w:rsid w:val="0072712F"/>
    <w:rsid w:val="00732A99"/>
    <w:rsid w:val="007418B5"/>
    <w:rsid w:val="00744462"/>
    <w:rsid w:val="007476FC"/>
    <w:rsid w:val="00756BD7"/>
    <w:rsid w:val="00776107"/>
    <w:rsid w:val="0078256C"/>
    <w:rsid w:val="00782AE4"/>
    <w:rsid w:val="00786AE5"/>
    <w:rsid w:val="0079503D"/>
    <w:rsid w:val="007958E0"/>
    <w:rsid w:val="007A646A"/>
    <w:rsid w:val="007A6BE0"/>
    <w:rsid w:val="007B4AC5"/>
    <w:rsid w:val="007B7B94"/>
    <w:rsid w:val="007C55B1"/>
    <w:rsid w:val="007D672B"/>
    <w:rsid w:val="007E63E6"/>
    <w:rsid w:val="007E69ED"/>
    <w:rsid w:val="007F0BE7"/>
    <w:rsid w:val="007F0C00"/>
    <w:rsid w:val="007F1081"/>
    <w:rsid w:val="007F1083"/>
    <w:rsid w:val="007F6C4B"/>
    <w:rsid w:val="007F6CBF"/>
    <w:rsid w:val="00810FAF"/>
    <w:rsid w:val="00815CCC"/>
    <w:rsid w:val="00820013"/>
    <w:rsid w:val="00821B72"/>
    <w:rsid w:val="008267BE"/>
    <w:rsid w:val="00837E36"/>
    <w:rsid w:val="008403BE"/>
    <w:rsid w:val="008441C6"/>
    <w:rsid w:val="008512EA"/>
    <w:rsid w:val="00851B4E"/>
    <w:rsid w:val="0085218E"/>
    <w:rsid w:val="008624AD"/>
    <w:rsid w:val="008654E7"/>
    <w:rsid w:val="00867BA9"/>
    <w:rsid w:val="00872997"/>
    <w:rsid w:val="00872F78"/>
    <w:rsid w:val="00876E9D"/>
    <w:rsid w:val="0088077B"/>
    <w:rsid w:val="00882F2B"/>
    <w:rsid w:val="0088593E"/>
    <w:rsid w:val="00887B1E"/>
    <w:rsid w:val="008905EF"/>
    <w:rsid w:val="00893A99"/>
    <w:rsid w:val="00897195"/>
    <w:rsid w:val="008A281B"/>
    <w:rsid w:val="008B1B10"/>
    <w:rsid w:val="008B4D0A"/>
    <w:rsid w:val="008B6109"/>
    <w:rsid w:val="008C027C"/>
    <w:rsid w:val="008C1252"/>
    <w:rsid w:val="008D0C29"/>
    <w:rsid w:val="008D275B"/>
    <w:rsid w:val="008D638C"/>
    <w:rsid w:val="008E7345"/>
    <w:rsid w:val="008F16D3"/>
    <w:rsid w:val="008F53CE"/>
    <w:rsid w:val="008F553D"/>
    <w:rsid w:val="00905316"/>
    <w:rsid w:val="00911DA7"/>
    <w:rsid w:val="00912398"/>
    <w:rsid w:val="00936154"/>
    <w:rsid w:val="00936C27"/>
    <w:rsid w:val="00940854"/>
    <w:rsid w:val="009445E0"/>
    <w:rsid w:val="00951EB4"/>
    <w:rsid w:val="009578ED"/>
    <w:rsid w:val="00962BF2"/>
    <w:rsid w:val="009639BD"/>
    <w:rsid w:val="00963E1B"/>
    <w:rsid w:val="00973951"/>
    <w:rsid w:val="0097405B"/>
    <w:rsid w:val="00974599"/>
    <w:rsid w:val="00985C91"/>
    <w:rsid w:val="00986CA5"/>
    <w:rsid w:val="00987D07"/>
    <w:rsid w:val="009B59C2"/>
    <w:rsid w:val="009C2D90"/>
    <w:rsid w:val="009C46DD"/>
    <w:rsid w:val="009C5D27"/>
    <w:rsid w:val="009D10B9"/>
    <w:rsid w:val="009D5685"/>
    <w:rsid w:val="009D57F3"/>
    <w:rsid w:val="009E6232"/>
    <w:rsid w:val="009F64FB"/>
    <w:rsid w:val="009F7575"/>
    <w:rsid w:val="00A014B9"/>
    <w:rsid w:val="00A0262A"/>
    <w:rsid w:val="00A25E38"/>
    <w:rsid w:val="00A324D4"/>
    <w:rsid w:val="00A32712"/>
    <w:rsid w:val="00A354B0"/>
    <w:rsid w:val="00A46247"/>
    <w:rsid w:val="00A462AF"/>
    <w:rsid w:val="00A533B0"/>
    <w:rsid w:val="00A56338"/>
    <w:rsid w:val="00A70D33"/>
    <w:rsid w:val="00A71BB7"/>
    <w:rsid w:val="00A72C2E"/>
    <w:rsid w:val="00A84FFE"/>
    <w:rsid w:val="00A92BA5"/>
    <w:rsid w:val="00A93F07"/>
    <w:rsid w:val="00AB22ED"/>
    <w:rsid w:val="00AB3024"/>
    <w:rsid w:val="00AB3869"/>
    <w:rsid w:val="00AC4C5B"/>
    <w:rsid w:val="00AC564C"/>
    <w:rsid w:val="00AD1A92"/>
    <w:rsid w:val="00AD5397"/>
    <w:rsid w:val="00AD6549"/>
    <w:rsid w:val="00AE1247"/>
    <w:rsid w:val="00AF00C6"/>
    <w:rsid w:val="00AF5133"/>
    <w:rsid w:val="00B02E40"/>
    <w:rsid w:val="00B14E06"/>
    <w:rsid w:val="00B217A7"/>
    <w:rsid w:val="00B31492"/>
    <w:rsid w:val="00B32B67"/>
    <w:rsid w:val="00B32F54"/>
    <w:rsid w:val="00B346D2"/>
    <w:rsid w:val="00B43DFD"/>
    <w:rsid w:val="00B4618B"/>
    <w:rsid w:val="00B5643B"/>
    <w:rsid w:val="00B57E3F"/>
    <w:rsid w:val="00B65CD6"/>
    <w:rsid w:val="00B66F03"/>
    <w:rsid w:val="00B712BB"/>
    <w:rsid w:val="00B72C80"/>
    <w:rsid w:val="00B75D17"/>
    <w:rsid w:val="00B84948"/>
    <w:rsid w:val="00B84CC2"/>
    <w:rsid w:val="00B8516C"/>
    <w:rsid w:val="00BA03BD"/>
    <w:rsid w:val="00BA788E"/>
    <w:rsid w:val="00BC20DD"/>
    <w:rsid w:val="00BC6D95"/>
    <w:rsid w:val="00BC7932"/>
    <w:rsid w:val="00BD2E88"/>
    <w:rsid w:val="00BD405F"/>
    <w:rsid w:val="00BE0554"/>
    <w:rsid w:val="00BE06DD"/>
    <w:rsid w:val="00BE32F3"/>
    <w:rsid w:val="00BE408A"/>
    <w:rsid w:val="00BE7B6C"/>
    <w:rsid w:val="00BF3B38"/>
    <w:rsid w:val="00C15A6D"/>
    <w:rsid w:val="00C22BD8"/>
    <w:rsid w:val="00C24CE7"/>
    <w:rsid w:val="00C25511"/>
    <w:rsid w:val="00C44090"/>
    <w:rsid w:val="00C66C3E"/>
    <w:rsid w:val="00C84862"/>
    <w:rsid w:val="00C84865"/>
    <w:rsid w:val="00CA0567"/>
    <w:rsid w:val="00CB1093"/>
    <w:rsid w:val="00CB28F5"/>
    <w:rsid w:val="00CB586D"/>
    <w:rsid w:val="00CB6201"/>
    <w:rsid w:val="00CB64C4"/>
    <w:rsid w:val="00CC087A"/>
    <w:rsid w:val="00CC2304"/>
    <w:rsid w:val="00CC30AE"/>
    <w:rsid w:val="00CC450D"/>
    <w:rsid w:val="00CC60BF"/>
    <w:rsid w:val="00CE0E0E"/>
    <w:rsid w:val="00CE3D2D"/>
    <w:rsid w:val="00CF0D45"/>
    <w:rsid w:val="00CF2F2D"/>
    <w:rsid w:val="00CF67BD"/>
    <w:rsid w:val="00CF67DB"/>
    <w:rsid w:val="00D046B5"/>
    <w:rsid w:val="00D15FEF"/>
    <w:rsid w:val="00D238EE"/>
    <w:rsid w:val="00D2549D"/>
    <w:rsid w:val="00D276E1"/>
    <w:rsid w:val="00D31D53"/>
    <w:rsid w:val="00D329E3"/>
    <w:rsid w:val="00D3432B"/>
    <w:rsid w:val="00D368B6"/>
    <w:rsid w:val="00D45CBE"/>
    <w:rsid w:val="00D46713"/>
    <w:rsid w:val="00D46F00"/>
    <w:rsid w:val="00D477A8"/>
    <w:rsid w:val="00D516DD"/>
    <w:rsid w:val="00D527A1"/>
    <w:rsid w:val="00D7722A"/>
    <w:rsid w:val="00D91E94"/>
    <w:rsid w:val="00D92CF5"/>
    <w:rsid w:val="00D93FBB"/>
    <w:rsid w:val="00D97C4A"/>
    <w:rsid w:val="00DA1265"/>
    <w:rsid w:val="00DA3C6C"/>
    <w:rsid w:val="00DA6269"/>
    <w:rsid w:val="00DB40E7"/>
    <w:rsid w:val="00DB5F91"/>
    <w:rsid w:val="00DC3E91"/>
    <w:rsid w:val="00DD29AE"/>
    <w:rsid w:val="00DD2A0E"/>
    <w:rsid w:val="00DD5B5F"/>
    <w:rsid w:val="00DD7C43"/>
    <w:rsid w:val="00DE2956"/>
    <w:rsid w:val="00E03477"/>
    <w:rsid w:val="00E051C2"/>
    <w:rsid w:val="00E12376"/>
    <w:rsid w:val="00E14B8C"/>
    <w:rsid w:val="00E17C65"/>
    <w:rsid w:val="00E24B6E"/>
    <w:rsid w:val="00E2539C"/>
    <w:rsid w:val="00E258B9"/>
    <w:rsid w:val="00E30DDC"/>
    <w:rsid w:val="00E37910"/>
    <w:rsid w:val="00E51D89"/>
    <w:rsid w:val="00E55A88"/>
    <w:rsid w:val="00E65A87"/>
    <w:rsid w:val="00E679DF"/>
    <w:rsid w:val="00E83671"/>
    <w:rsid w:val="00E865BE"/>
    <w:rsid w:val="00E872F7"/>
    <w:rsid w:val="00E90AE8"/>
    <w:rsid w:val="00EA28D3"/>
    <w:rsid w:val="00EB0201"/>
    <w:rsid w:val="00EB06F6"/>
    <w:rsid w:val="00EB0D38"/>
    <w:rsid w:val="00ED7329"/>
    <w:rsid w:val="00EE164F"/>
    <w:rsid w:val="00EE2E89"/>
    <w:rsid w:val="00EF3D96"/>
    <w:rsid w:val="00F14649"/>
    <w:rsid w:val="00F2232D"/>
    <w:rsid w:val="00F32CCF"/>
    <w:rsid w:val="00F349D7"/>
    <w:rsid w:val="00F35540"/>
    <w:rsid w:val="00F40986"/>
    <w:rsid w:val="00F522E1"/>
    <w:rsid w:val="00F85846"/>
    <w:rsid w:val="00F92DBA"/>
    <w:rsid w:val="00F95F8C"/>
    <w:rsid w:val="00FA734B"/>
    <w:rsid w:val="00FA7C92"/>
    <w:rsid w:val="00FB536E"/>
    <w:rsid w:val="00FC32CC"/>
    <w:rsid w:val="00FF141D"/>
    <w:rsid w:val="00FF32B9"/>
    <w:rsid w:val="017851C6"/>
    <w:rsid w:val="017A0458"/>
    <w:rsid w:val="01B60E76"/>
    <w:rsid w:val="01FC08A3"/>
    <w:rsid w:val="033D721B"/>
    <w:rsid w:val="03631ADA"/>
    <w:rsid w:val="03721629"/>
    <w:rsid w:val="040A0ABD"/>
    <w:rsid w:val="044E2BE0"/>
    <w:rsid w:val="04626D45"/>
    <w:rsid w:val="0470331E"/>
    <w:rsid w:val="04AB5E07"/>
    <w:rsid w:val="04F827CB"/>
    <w:rsid w:val="052218A9"/>
    <w:rsid w:val="055B059B"/>
    <w:rsid w:val="055C757F"/>
    <w:rsid w:val="0578569D"/>
    <w:rsid w:val="05CF6062"/>
    <w:rsid w:val="05F17CC7"/>
    <w:rsid w:val="061C763A"/>
    <w:rsid w:val="063615A1"/>
    <w:rsid w:val="068F337D"/>
    <w:rsid w:val="0733320C"/>
    <w:rsid w:val="081568B5"/>
    <w:rsid w:val="08421BC8"/>
    <w:rsid w:val="087676FA"/>
    <w:rsid w:val="08A01450"/>
    <w:rsid w:val="093141F9"/>
    <w:rsid w:val="096B4527"/>
    <w:rsid w:val="09971F30"/>
    <w:rsid w:val="099A26A5"/>
    <w:rsid w:val="09CC69DF"/>
    <w:rsid w:val="09D07C47"/>
    <w:rsid w:val="09E35157"/>
    <w:rsid w:val="09F54CD6"/>
    <w:rsid w:val="0A565F02"/>
    <w:rsid w:val="0AD80D95"/>
    <w:rsid w:val="0B3D25EC"/>
    <w:rsid w:val="0B79041E"/>
    <w:rsid w:val="0C074E58"/>
    <w:rsid w:val="0C2671FD"/>
    <w:rsid w:val="0CB91541"/>
    <w:rsid w:val="0CE762C8"/>
    <w:rsid w:val="0D470847"/>
    <w:rsid w:val="0D833CC3"/>
    <w:rsid w:val="0DC0642E"/>
    <w:rsid w:val="0E3E79BE"/>
    <w:rsid w:val="0E465D80"/>
    <w:rsid w:val="0E62446D"/>
    <w:rsid w:val="0E8128AD"/>
    <w:rsid w:val="0EAA60E0"/>
    <w:rsid w:val="0EE85134"/>
    <w:rsid w:val="0FC25973"/>
    <w:rsid w:val="0FDC05A2"/>
    <w:rsid w:val="105B502F"/>
    <w:rsid w:val="10722829"/>
    <w:rsid w:val="10E44496"/>
    <w:rsid w:val="10F468BD"/>
    <w:rsid w:val="110E6A3F"/>
    <w:rsid w:val="112359C1"/>
    <w:rsid w:val="11346BB9"/>
    <w:rsid w:val="115642ED"/>
    <w:rsid w:val="1230033C"/>
    <w:rsid w:val="12677DBA"/>
    <w:rsid w:val="128F7CF2"/>
    <w:rsid w:val="12E11965"/>
    <w:rsid w:val="130951AC"/>
    <w:rsid w:val="13476BCA"/>
    <w:rsid w:val="134F09D1"/>
    <w:rsid w:val="13CD7430"/>
    <w:rsid w:val="14B14FF7"/>
    <w:rsid w:val="14B619A1"/>
    <w:rsid w:val="14FB53C0"/>
    <w:rsid w:val="150671B1"/>
    <w:rsid w:val="15311591"/>
    <w:rsid w:val="153C0C1B"/>
    <w:rsid w:val="1558296C"/>
    <w:rsid w:val="156D4F4D"/>
    <w:rsid w:val="162D156A"/>
    <w:rsid w:val="1765329C"/>
    <w:rsid w:val="17BD20FF"/>
    <w:rsid w:val="19A17D34"/>
    <w:rsid w:val="19E27B58"/>
    <w:rsid w:val="1A1D6E8E"/>
    <w:rsid w:val="1A4935A8"/>
    <w:rsid w:val="1AC051D4"/>
    <w:rsid w:val="1AD436C1"/>
    <w:rsid w:val="1B07763C"/>
    <w:rsid w:val="1B0B46A1"/>
    <w:rsid w:val="1BB64F82"/>
    <w:rsid w:val="1BF3164C"/>
    <w:rsid w:val="1C032D7E"/>
    <w:rsid w:val="1C2806C3"/>
    <w:rsid w:val="1C66658E"/>
    <w:rsid w:val="1C86422F"/>
    <w:rsid w:val="1C8875C2"/>
    <w:rsid w:val="1C8879B4"/>
    <w:rsid w:val="1CB259F0"/>
    <w:rsid w:val="1DAC2903"/>
    <w:rsid w:val="1E0740D4"/>
    <w:rsid w:val="1E665C27"/>
    <w:rsid w:val="1E960A5A"/>
    <w:rsid w:val="1F76584A"/>
    <w:rsid w:val="1F881881"/>
    <w:rsid w:val="1FEA5F80"/>
    <w:rsid w:val="200D3D4A"/>
    <w:rsid w:val="207D3E14"/>
    <w:rsid w:val="20D1077A"/>
    <w:rsid w:val="215B4B6E"/>
    <w:rsid w:val="216A0283"/>
    <w:rsid w:val="22105F9D"/>
    <w:rsid w:val="229D1F54"/>
    <w:rsid w:val="22EE79A4"/>
    <w:rsid w:val="22F21DC3"/>
    <w:rsid w:val="23226D95"/>
    <w:rsid w:val="23F533AD"/>
    <w:rsid w:val="2409047A"/>
    <w:rsid w:val="240C3E58"/>
    <w:rsid w:val="249B048C"/>
    <w:rsid w:val="24CC6B72"/>
    <w:rsid w:val="250118B0"/>
    <w:rsid w:val="252D68F9"/>
    <w:rsid w:val="2554611C"/>
    <w:rsid w:val="26123B3D"/>
    <w:rsid w:val="262F0F1B"/>
    <w:rsid w:val="265C03E0"/>
    <w:rsid w:val="26A74346"/>
    <w:rsid w:val="273006B0"/>
    <w:rsid w:val="27EC37D2"/>
    <w:rsid w:val="27F024AF"/>
    <w:rsid w:val="27F84F81"/>
    <w:rsid w:val="27FD2479"/>
    <w:rsid w:val="280B3E7F"/>
    <w:rsid w:val="280B4B23"/>
    <w:rsid w:val="2851004E"/>
    <w:rsid w:val="28575C44"/>
    <w:rsid w:val="285D2309"/>
    <w:rsid w:val="287E6941"/>
    <w:rsid w:val="290F35A8"/>
    <w:rsid w:val="2926329E"/>
    <w:rsid w:val="295321C8"/>
    <w:rsid w:val="297067D9"/>
    <w:rsid w:val="2A3D576A"/>
    <w:rsid w:val="2A4D20D3"/>
    <w:rsid w:val="2AA35D6F"/>
    <w:rsid w:val="2AB52C7C"/>
    <w:rsid w:val="2B415103"/>
    <w:rsid w:val="2B581D66"/>
    <w:rsid w:val="2B76406C"/>
    <w:rsid w:val="2B8079EB"/>
    <w:rsid w:val="2BA03B6A"/>
    <w:rsid w:val="2BA801E5"/>
    <w:rsid w:val="2BF14481"/>
    <w:rsid w:val="2D5955B4"/>
    <w:rsid w:val="2DCB436E"/>
    <w:rsid w:val="2DE05B04"/>
    <w:rsid w:val="2E1B5892"/>
    <w:rsid w:val="2E2F3BA1"/>
    <w:rsid w:val="2EEE2746"/>
    <w:rsid w:val="2F2B3F19"/>
    <w:rsid w:val="2F3E02A1"/>
    <w:rsid w:val="2F876D2C"/>
    <w:rsid w:val="2FAE65EC"/>
    <w:rsid w:val="312C67A7"/>
    <w:rsid w:val="323859C6"/>
    <w:rsid w:val="32764BC9"/>
    <w:rsid w:val="32E91BA2"/>
    <w:rsid w:val="33260A5E"/>
    <w:rsid w:val="336E6ACD"/>
    <w:rsid w:val="33D120D7"/>
    <w:rsid w:val="33E3206A"/>
    <w:rsid w:val="34A758FF"/>
    <w:rsid w:val="353D5303"/>
    <w:rsid w:val="356625E4"/>
    <w:rsid w:val="358778C8"/>
    <w:rsid w:val="35955B8E"/>
    <w:rsid w:val="35D07222"/>
    <w:rsid w:val="35EF5204"/>
    <w:rsid w:val="35F52F65"/>
    <w:rsid w:val="363C7D0D"/>
    <w:rsid w:val="36A2445A"/>
    <w:rsid w:val="374C2B2E"/>
    <w:rsid w:val="37967102"/>
    <w:rsid w:val="37BF3CB2"/>
    <w:rsid w:val="37DB6523"/>
    <w:rsid w:val="387A0A59"/>
    <w:rsid w:val="388B2DF3"/>
    <w:rsid w:val="38F65C6C"/>
    <w:rsid w:val="39256815"/>
    <w:rsid w:val="395B7471"/>
    <w:rsid w:val="396D68CF"/>
    <w:rsid w:val="3A8F4AE5"/>
    <w:rsid w:val="3A972C80"/>
    <w:rsid w:val="3AA80595"/>
    <w:rsid w:val="3B5409BF"/>
    <w:rsid w:val="3B680449"/>
    <w:rsid w:val="3B743F5C"/>
    <w:rsid w:val="3BB90464"/>
    <w:rsid w:val="3BE94DB1"/>
    <w:rsid w:val="3C346509"/>
    <w:rsid w:val="3C632DF4"/>
    <w:rsid w:val="3C991AAE"/>
    <w:rsid w:val="3D4151D2"/>
    <w:rsid w:val="3D4631D3"/>
    <w:rsid w:val="3D474727"/>
    <w:rsid w:val="3DAA0380"/>
    <w:rsid w:val="3DB10B5C"/>
    <w:rsid w:val="3DF91F7F"/>
    <w:rsid w:val="3E28754B"/>
    <w:rsid w:val="3EF71EAA"/>
    <w:rsid w:val="3F0F3B88"/>
    <w:rsid w:val="3F320F34"/>
    <w:rsid w:val="3FEB2A26"/>
    <w:rsid w:val="40EA7C23"/>
    <w:rsid w:val="413A3F00"/>
    <w:rsid w:val="41595488"/>
    <w:rsid w:val="416F3E63"/>
    <w:rsid w:val="41934CF8"/>
    <w:rsid w:val="41CD4AC0"/>
    <w:rsid w:val="41DB333E"/>
    <w:rsid w:val="420F1BBE"/>
    <w:rsid w:val="42641245"/>
    <w:rsid w:val="44D073C1"/>
    <w:rsid w:val="44EB0D89"/>
    <w:rsid w:val="452847E4"/>
    <w:rsid w:val="45316C44"/>
    <w:rsid w:val="45467A41"/>
    <w:rsid w:val="456E0AB1"/>
    <w:rsid w:val="459865A3"/>
    <w:rsid w:val="45D634C8"/>
    <w:rsid w:val="46A4182D"/>
    <w:rsid w:val="46E713B1"/>
    <w:rsid w:val="47A206B4"/>
    <w:rsid w:val="47E266EC"/>
    <w:rsid w:val="47F12C7A"/>
    <w:rsid w:val="4824151F"/>
    <w:rsid w:val="48BF0F83"/>
    <w:rsid w:val="49214F13"/>
    <w:rsid w:val="49256DB2"/>
    <w:rsid w:val="49AC160F"/>
    <w:rsid w:val="4A114183"/>
    <w:rsid w:val="4A4A0EC5"/>
    <w:rsid w:val="4A590F64"/>
    <w:rsid w:val="4A5A3C1B"/>
    <w:rsid w:val="4AC95927"/>
    <w:rsid w:val="4AD06FF9"/>
    <w:rsid w:val="4B2C3FB9"/>
    <w:rsid w:val="4B362D73"/>
    <w:rsid w:val="4B5A002A"/>
    <w:rsid w:val="4BAD4D63"/>
    <w:rsid w:val="4BBA0D7E"/>
    <w:rsid w:val="4C025F8C"/>
    <w:rsid w:val="4CBF1324"/>
    <w:rsid w:val="4D0A0C33"/>
    <w:rsid w:val="4DC0279A"/>
    <w:rsid w:val="4DE8734A"/>
    <w:rsid w:val="4E782B52"/>
    <w:rsid w:val="4EB35B3E"/>
    <w:rsid w:val="4ECF6883"/>
    <w:rsid w:val="4F356F0D"/>
    <w:rsid w:val="4F573995"/>
    <w:rsid w:val="4FDFA5F2"/>
    <w:rsid w:val="50061F51"/>
    <w:rsid w:val="50DD219B"/>
    <w:rsid w:val="514670E4"/>
    <w:rsid w:val="51967CDB"/>
    <w:rsid w:val="519A27EF"/>
    <w:rsid w:val="51CE26B0"/>
    <w:rsid w:val="52154E23"/>
    <w:rsid w:val="523E5368"/>
    <w:rsid w:val="526F6B18"/>
    <w:rsid w:val="528323D3"/>
    <w:rsid w:val="52B17678"/>
    <w:rsid w:val="530864C9"/>
    <w:rsid w:val="53432C6D"/>
    <w:rsid w:val="53F63CF0"/>
    <w:rsid w:val="54125E50"/>
    <w:rsid w:val="546569EF"/>
    <w:rsid w:val="549F1CE7"/>
    <w:rsid w:val="54C55939"/>
    <w:rsid w:val="55D6790C"/>
    <w:rsid w:val="56902CC1"/>
    <w:rsid w:val="56C8194B"/>
    <w:rsid w:val="56E033B2"/>
    <w:rsid w:val="56F21DB6"/>
    <w:rsid w:val="578C4CFE"/>
    <w:rsid w:val="57D30EF3"/>
    <w:rsid w:val="58107308"/>
    <w:rsid w:val="584824A6"/>
    <w:rsid w:val="58B8306E"/>
    <w:rsid w:val="59BA0C02"/>
    <w:rsid w:val="5A0F0191"/>
    <w:rsid w:val="5A357637"/>
    <w:rsid w:val="5A6D3339"/>
    <w:rsid w:val="5ACF34A9"/>
    <w:rsid w:val="5B92329F"/>
    <w:rsid w:val="5BAC4663"/>
    <w:rsid w:val="5BFD428E"/>
    <w:rsid w:val="5BFF4E35"/>
    <w:rsid w:val="5C0A185A"/>
    <w:rsid w:val="5C4B39E5"/>
    <w:rsid w:val="5CFB1D51"/>
    <w:rsid w:val="5D601129"/>
    <w:rsid w:val="5D8E1997"/>
    <w:rsid w:val="5DB623E8"/>
    <w:rsid w:val="5DD02850"/>
    <w:rsid w:val="5DDF7A88"/>
    <w:rsid w:val="5E1171EA"/>
    <w:rsid w:val="5E6F565B"/>
    <w:rsid w:val="5E8432C6"/>
    <w:rsid w:val="5F4A09BC"/>
    <w:rsid w:val="5F824A2F"/>
    <w:rsid w:val="5FC57BB1"/>
    <w:rsid w:val="5FCB6F85"/>
    <w:rsid w:val="5FE81BFB"/>
    <w:rsid w:val="5FED128A"/>
    <w:rsid w:val="614E4113"/>
    <w:rsid w:val="619A43D0"/>
    <w:rsid w:val="61BA082B"/>
    <w:rsid w:val="61BF15F6"/>
    <w:rsid w:val="61C00E90"/>
    <w:rsid w:val="621F51C0"/>
    <w:rsid w:val="62FB16E5"/>
    <w:rsid w:val="6359707A"/>
    <w:rsid w:val="63850490"/>
    <w:rsid w:val="63B763EC"/>
    <w:rsid w:val="6406207C"/>
    <w:rsid w:val="6421554B"/>
    <w:rsid w:val="647F33B5"/>
    <w:rsid w:val="648B6175"/>
    <w:rsid w:val="6520209E"/>
    <w:rsid w:val="66D166A2"/>
    <w:rsid w:val="675BA551"/>
    <w:rsid w:val="67603F4C"/>
    <w:rsid w:val="67ED4E96"/>
    <w:rsid w:val="67F76E01"/>
    <w:rsid w:val="685A43CD"/>
    <w:rsid w:val="68757392"/>
    <w:rsid w:val="68BE36F5"/>
    <w:rsid w:val="68D549C9"/>
    <w:rsid w:val="69402640"/>
    <w:rsid w:val="694E5DA8"/>
    <w:rsid w:val="69B674BB"/>
    <w:rsid w:val="6A0E7976"/>
    <w:rsid w:val="6A1A637C"/>
    <w:rsid w:val="6AB05D5B"/>
    <w:rsid w:val="6B535152"/>
    <w:rsid w:val="6BFC024E"/>
    <w:rsid w:val="6C2E1DF8"/>
    <w:rsid w:val="6D324B91"/>
    <w:rsid w:val="6D480FC3"/>
    <w:rsid w:val="6D9C004C"/>
    <w:rsid w:val="6DCD311C"/>
    <w:rsid w:val="6E104455"/>
    <w:rsid w:val="6E9F12F5"/>
    <w:rsid w:val="6F1C5EEF"/>
    <w:rsid w:val="6F1D5620"/>
    <w:rsid w:val="6F5407F4"/>
    <w:rsid w:val="6F9F20E2"/>
    <w:rsid w:val="6FB45EDA"/>
    <w:rsid w:val="701557A9"/>
    <w:rsid w:val="70373012"/>
    <w:rsid w:val="7039065C"/>
    <w:rsid w:val="70E11CA8"/>
    <w:rsid w:val="70E176A7"/>
    <w:rsid w:val="711A118E"/>
    <w:rsid w:val="711D7258"/>
    <w:rsid w:val="71982D7F"/>
    <w:rsid w:val="728C0208"/>
    <w:rsid w:val="72B51535"/>
    <w:rsid w:val="72D06577"/>
    <w:rsid w:val="743F4A7D"/>
    <w:rsid w:val="74503B27"/>
    <w:rsid w:val="7457767C"/>
    <w:rsid w:val="746B1BF9"/>
    <w:rsid w:val="74C031EC"/>
    <w:rsid w:val="74FE544B"/>
    <w:rsid w:val="75672C3A"/>
    <w:rsid w:val="756807C7"/>
    <w:rsid w:val="76153982"/>
    <w:rsid w:val="76775080"/>
    <w:rsid w:val="767D0555"/>
    <w:rsid w:val="768A5358"/>
    <w:rsid w:val="78122D90"/>
    <w:rsid w:val="782354D2"/>
    <w:rsid w:val="78272F1E"/>
    <w:rsid w:val="7833477B"/>
    <w:rsid w:val="786C351A"/>
    <w:rsid w:val="78896628"/>
    <w:rsid w:val="78B81DC9"/>
    <w:rsid w:val="78CC6C21"/>
    <w:rsid w:val="79243DCA"/>
    <w:rsid w:val="79C54E29"/>
    <w:rsid w:val="79DA55A5"/>
    <w:rsid w:val="7A0C6344"/>
    <w:rsid w:val="7A5F0B02"/>
    <w:rsid w:val="7A7279BA"/>
    <w:rsid w:val="7ABA27FB"/>
    <w:rsid w:val="7BB7E18C"/>
    <w:rsid w:val="7BF22C25"/>
    <w:rsid w:val="7BFA0422"/>
    <w:rsid w:val="7C4214E9"/>
    <w:rsid w:val="7C9A6CB0"/>
    <w:rsid w:val="7CA05DDC"/>
    <w:rsid w:val="7CC741DE"/>
    <w:rsid w:val="7D6DF2D4"/>
    <w:rsid w:val="7DB25487"/>
    <w:rsid w:val="7DD73F51"/>
    <w:rsid w:val="7DE840BC"/>
    <w:rsid w:val="7DEE9328"/>
    <w:rsid w:val="7E483F23"/>
    <w:rsid w:val="7ED5D1E6"/>
    <w:rsid w:val="7EFFF310"/>
    <w:rsid w:val="7F59662A"/>
    <w:rsid w:val="7F5F62DB"/>
    <w:rsid w:val="7FBD2BF4"/>
    <w:rsid w:val="7FBE5B51"/>
    <w:rsid w:val="7FCBACA8"/>
    <w:rsid w:val="7FDF232C"/>
    <w:rsid w:val="7FDF5D97"/>
    <w:rsid w:val="7FE94A7D"/>
    <w:rsid w:val="7FFF2ABD"/>
    <w:rsid w:val="7FFFA206"/>
    <w:rsid w:val="877F918E"/>
    <w:rsid w:val="8BBB6D4A"/>
    <w:rsid w:val="B779D4C3"/>
    <w:rsid w:val="BDE1AA26"/>
    <w:rsid w:val="BFBF6D74"/>
    <w:rsid w:val="BFCBADC5"/>
    <w:rsid w:val="BFDEDCF7"/>
    <w:rsid w:val="CF6C26F2"/>
    <w:rsid w:val="CFDF57C8"/>
    <w:rsid w:val="CFEB0F6E"/>
    <w:rsid w:val="CFF582E8"/>
    <w:rsid w:val="D5D7439D"/>
    <w:rsid w:val="D7E86BA1"/>
    <w:rsid w:val="DD3F9BB5"/>
    <w:rsid w:val="DFA9FBB9"/>
    <w:rsid w:val="DFF778C4"/>
    <w:rsid w:val="E7F77295"/>
    <w:rsid w:val="EFBE8175"/>
    <w:rsid w:val="EFEF712F"/>
    <w:rsid w:val="EFF72046"/>
    <w:rsid w:val="EFF915E7"/>
    <w:rsid w:val="F3E7B01D"/>
    <w:rsid w:val="F7DFCD0F"/>
    <w:rsid w:val="FB9B5AAE"/>
    <w:rsid w:val="FBD67730"/>
    <w:rsid w:val="FCFF36F0"/>
    <w:rsid w:val="FEEB97DE"/>
    <w:rsid w:val="FEEFD12F"/>
    <w:rsid w:val="FF33EB27"/>
    <w:rsid w:val="FFE6F0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99"/>
    <w:pPr>
      <w:spacing w:after="120"/>
      <w:ind w:left="420" w:leftChars="200"/>
    </w:pPr>
  </w:style>
  <w:style w:type="paragraph" w:styleId="3">
    <w:name w:val="Date"/>
    <w:basedOn w:val="1"/>
    <w:next w:val="1"/>
    <w:qFormat/>
    <w:uiPriority w:val="0"/>
    <w:pPr>
      <w:ind w:left="100" w:leftChars="2500"/>
    </w:pPr>
  </w:style>
  <w:style w:type="paragraph" w:styleId="4">
    <w:name w:val="Balloon Text"/>
    <w:basedOn w:val="1"/>
    <w:link w:val="24"/>
    <w:qFormat/>
    <w:uiPriority w:val="0"/>
    <w:rPr>
      <w:sz w:val="18"/>
      <w:szCs w:val="18"/>
    </w:rPr>
  </w:style>
  <w:style w:type="paragraph" w:styleId="5">
    <w:name w:val="footer"/>
    <w:basedOn w:val="1"/>
    <w:link w:val="23"/>
    <w:qFormat/>
    <w:uiPriority w:val="99"/>
    <w:pPr>
      <w:tabs>
        <w:tab w:val="center" w:pos="4153"/>
        <w:tab w:val="right" w:pos="8306"/>
      </w:tabs>
      <w:snapToGrid w:val="0"/>
      <w:jc w:val="left"/>
    </w:pPr>
    <w:rPr>
      <w:sz w:val="18"/>
      <w:szCs w:val="18"/>
    </w:rPr>
  </w:style>
  <w:style w:type="paragraph" w:styleId="6">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qFormat/>
    <w:uiPriority w:val="0"/>
    <w:pPr>
      <w:widowControl w:val="0"/>
      <w:snapToGrid w:val="0"/>
    </w:pPr>
    <w:rPr>
      <w:rFonts w:ascii="Times New Roman" w:hAnsi="Times New Roman" w:eastAsia="宋体" w:cs="Times New Roman"/>
      <w:kern w:val="2"/>
      <w:sz w:val="18"/>
      <w:szCs w:val="18"/>
      <w:lang w:val="en-US" w:eastAsia="zh-CN" w:bidi="ar-SA"/>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9">
    <w:name w:val="Body Text First Indent 2"/>
    <w:basedOn w:val="2"/>
    <w:qFormat/>
    <w:uiPriority w:val="99"/>
    <w:pPr>
      <w:ind w:firstLine="420" w:firstLineChars="200"/>
    </w:p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FollowedHyperlink"/>
    <w:basedOn w:val="12"/>
    <w:qFormat/>
    <w:uiPriority w:val="0"/>
    <w:rPr>
      <w:color w:val="333333"/>
      <w:u w:val="none"/>
    </w:rPr>
  </w:style>
  <w:style w:type="character" w:styleId="16">
    <w:name w:val="Emphasis"/>
    <w:basedOn w:val="12"/>
    <w:qFormat/>
    <w:uiPriority w:val="20"/>
    <w:rPr>
      <w:i/>
      <w:iCs/>
    </w:rPr>
  </w:style>
  <w:style w:type="character" w:styleId="17">
    <w:name w:val="HTML Definition"/>
    <w:basedOn w:val="12"/>
    <w:qFormat/>
    <w:uiPriority w:val="0"/>
    <w:rPr>
      <w:i/>
      <w:iCs/>
    </w:rPr>
  </w:style>
  <w:style w:type="character" w:styleId="18">
    <w:name w:val="Hyperlink"/>
    <w:basedOn w:val="12"/>
    <w:qFormat/>
    <w:uiPriority w:val="0"/>
    <w:rPr>
      <w:color w:val="0000FF"/>
      <w:u w:val="single"/>
    </w:rPr>
  </w:style>
  <w:style w:type="character" w:styleId="19">
    <w:name w:val="HTML Code"/>
    <w:basedOn w:val="12"/>
    <w:qFormat/>
    <w:uiPriority w:val="0"/>
    <w:rPr>
      <w:rFonts w:hint="default" w:ascii="Consolas" w:hAnsi="Consolas" w:eastAsia="Consolas" w:cs="Consolas"/>
      <w:color w:val="C7254E"/>
      <w:sz w:val="21"/>
      <w:szCs w:val="21"/>
      <w:shd w:val="clear" w:fill="F9F2F4"/>
    </w:rPr>
  </w:style>
  <w:style w:type="character" w:styleId="20">
    <w:name w:val="footnote reference"/>
    <w:qFormat/>
    <w:uiPriority w:val="0"/>
    <w:rPr>
      <w:vertAlign w:val="superscript"/>
    </w:rPr>
  </w:style>
  <w:style w:type="character" w:styleId="21">
    <w:name w:val="HTML Keyboard"/>
    <w:basedOn w:val="12"/>
    <w:qFormat/>
    <w:uiPriority w:val="0"/>
    <w:rPr>
      <w:rFonts w:hint="default" w:ascii="Consolas" w:hAnsi="Consolas" w:eastAsia="Consolas" w:cs="Consolas"/>
      <w:color w:val="FFFFFF"/>
      <w:sz w:val="21"/>
      <w:szCs w:val="21"/>
      <w:shd w:val="clear" w:fill="333333"/>
    </w:rPr>
  </w:style>
  <w:style w:type="character" w:styleId="22">
    <w:name w:val="HTML Sample"/>
    <w:basedOn w:val="12"/>
    <w:qFormat/>
    <w:uiPriority w:val="0"/>
    <w:rPr>
      <w:rFonts w:ascii="Consolas" w:hAnsi="Consolas" w:eastAsia="Consolas" w:cs="Consolas"/>
      <w:sz w:val="21"/>
      <w:szCs w:val="21"/>
    </w:rPr>
  </w:style>
  <w:style w:type="character" w:customStyle="1" w:styleId="23">
    <w:name w:val="页脚 Char"/>
    <w:basedOn w:val="12"/>
    <w:link w:val="5"/>
    <w:qFormat/>
    <w:uiPriority w:val="99"/>
    <w:rPr>
      <w:kern w:val="2"/>
      <w:sz w:val="18"/>
      <w:szCs w:val="18"/>
    </w:rPr>
  </w:style>
  <w:style w:type="character" w:customStyle="1" w:styleId="24">
    <w:name w:val="批注框文本 Char"/>
    <w:basedOn w:val="12"/>
    <w:link w:val="4"/>
    <w:qFormat/>
    <w:uiPriority w:val="0"/>
    <w:rPr>
      <w:kern w:val="2"/>
      <w:sz w:val="18"/>
      <w:szCs w:val="18"/>
    </w:rPr>
  </w:style>
  <w:style w:type="character" w:customStyle="1" w:styleId="25">
    <w:name w:val="Character Style 2"/>
    <w:qFormat/>
    <w:uiPriority w:val="0"/>
    <w:rPr>
      <w:sz w:val="20"/>
      <w:szCs w:val="20"/>
    </w:rPr>
  </w:style>
  <w:style w:type="character" w:customStyle="1" w:styleId="26">
    <w:name w:val="页眉 Char"/>
    <w:basedOn w:val="12"/>
    <w:link w:val="6"/>
    <w:qFormat/>
    <w:uiPriority w:val="99"/>
    <w:rPr>
      <w:kern w:val="2"/>
      <w:sz w:val="18"/>
      <w:szCs w:val="18"/>
    </w:rPr>
  </w:style>
  <w:style w:type="paragraph" w:customStyle="1" w:styleId="27">
    <w:name w:val="Char Char Char Char Char Char1 Char Char Char Char Char Char Char Char Char Char Char Char Char"/>
    <w:basedOn w:val="1"/>
    <w:qFormat/>
    <w:uiPriority w:val="0"/>
    <w:pPr>
      <w:tabs>
        <w:tab w:val="left" w:pos="360"/>
      </w:tabs>
    </w:pPr>
    <w:rPr>
      <w:sz w:val="24"/>
    </w:rPr>
  </w:style>
  <w:style w:type="paragraph" w:customStyle="1" w:styleId="28">
    <w:name w:val="myindent"/>
    <w:basedOn w:val="1"/>
    <w:qFormat/>
    <w:uiPriority w:val="0"/>
    <w:pPr>
      <w:widowControl/>
      <w:spacing w:before="100" w:beforeAutospacing="1" w:after="100" w:afterAutospacing="1"/>
      <w:jc w:val="left"/>
    </w:pPr>
    <w:rPr>
      <w:rFonts w:ascii="宋体" w:hAnsi="宋体" w:cs="宋体"/>
      <w:kern w:val="0"/>
      <w:sz w:val="24"/>
    </w:rPr>
  </w:style>
  <w:style w:type="character" w:customStyle="1" w:styleId="29">
    <w:name w:val="text"/>
    <w:basedOn w:val="12"/>
    <w:qFormat/>
    <w:uiPriority w:val="0"/>
    <w:rPr>
      <w:color w:val="666666"/>
    </w:rPr>
  </w:style>
  <w:style w:type="character" w:customStyle="1" w:styleId="30">
    <w:name w:val="cgreen"/>
    <w:basedOn w:val="12"/>
    <w:qFormat/>
    <w:uiPriority w:val="0"/>
    <w:rPr>
      <w:color w:val="0A9100"/>
    </w:rPr>
  </w:style>
  <w:style w:type="character" w:customStyle="1" w:styleId="31">
    <w:name w:val="cgreen1"/>
    <w:basedOn w:val="12"/>
    <w:qFormat/>
    <w:uiPriority w:val="0"/>
    <w:rPr>
      <w:color w:val="0A9100"/>
    </w:rPr>
  </w:style>
  <w:style w:type="character" w:customStyle="1" w:styleId="32">
    <w:name w:val="last"/>
    <w:basedOn w:val="12"/>
    <w:qFormat/>
    <w:uiPriority w:val="0"/>
  </w:style>
  <w:style w:type="character" w:customStyle="1" w:styleId="33">
    <w:name w:val="after"/>
    <w:basedOn w:val="12"/>
    <w:qFormat/>
    <w:uiPriority w:val="0"/>
    <w:rPr>
      <w:shd w:val="clear" w:fill="FFFFFF"/>
    </w:rPr>
  </w:style>
  <w:style w:type="character" w:customStyle="1" w:styleId="34">
    <w:name w:val="hover23"/>
    <w:basedOn w:val="12"/>
    <w:qFormat/>
    <w:uiPriority w:val="0"/>
    <w:rPr>
      <w:shd w:val="clear" w:fill="0069AE"/>
    </w:rPr>
  </w:style>
  <w:style w:type="character" w:customStyle="1" w:styleId="35">
    <w:name w:val="hover24"/>
    <w:basedOn w:val="12"/>
    <w:qFormat/>
    <w:uiPriority w:val="0"/>
    <w:rPr>
      <w:color w:val="000000"/>
      <w:shd w:val="clear" w:fill="FFFFFF"/>
    </w:rPr>
  </w:style>
  <w:style w:type="character" w:customStyle="1" w:styleId="36">
    <w:name w:val="wx-space"/>
    <w:basedOn w:val="12"/>
    <w:qFormat/>
    <w:uiPriority w:val="0"/>
  </w:style>
  <w:style w:type="character" w:customStyle="1" w:styleId="37">
    <w:name w:val="bsharetext"/>
    <w:basedOn w:val="12"/>
    <w:qFormat/>
    <w:uiPriority w:val="0"/>
  </w:style>
  <w:style w:type="character" w:customStyle="1" w:styleId="38">
    <w:name w:val="wx-space1"/>
    <w:basedOn w:val="12"/>
    <w:qFormat/>
    <w:uiPriority w:val="0"/>
  </w:style>
  <w:style w:type="character" w:customStyle="1" w:styleId="39">
    <w:name w:val="select2-selection__rendered"/>
    <w:basedOn w:val="12"/>
    <w:qFormat/>
    <w:uiPriority w:val="0"/>
    <w:rPr>
      <w:sz w:val="18"/>
      <w:szCs w:val="18"/>
    </w:rPr>
  </w:style>
  <w:style w:type="character" w:customStyle="1" w:styleId="40">
    <w:name w:val="active18"/>
    <w:basedOn w:val="12"/>
    <w:qFormat/>
    <w:uiPriority w:val="0"/>
    <w:rPr>
      <w:color w:val="FFFFFF"/>
      <w:shd w:val="clear" w:fill="0069AE"/>
    </w:rPr>
  </w:style>
  <w:style w:type="character" w:customStyle="1" w:styleId="41">
    <w:name w:val="active19"/>
    <w:basedOn w:val="12"/>
    <w:qFormat/>
    <w:uiPriority w:val="0"/>
    <w:rPr>
      <w:shd w:val="clear" w:fill="20A0E4"/>
    </w:rPr>
  </w:style>
  <w:style w:type="character" w:customStyle="1" w:styleId="42">
    <w:name w:val="time"/>
    <w:basedOn w:val="12"/>
    <w:qFormat/>
    <w:uiPriority w:val="0"/>
    <w:rPr>
      <w:rFonts w:ascii="Arial" w:hAnsi="Arial" w:cs="Arial"/>
      <w:color w:val="999999"/>
      <w:sz w:val="21"/>
      <w:szCs w:val="21"/>
    </w:rPr>
  </w:style>
  <w:style w:type="character" w:customStyle="1" w:styleId="43">
    <w:name w:val="box6"/>
    <w:basedOn w:val="12"/>
    <w:qFormat/>
    <w:uiPriority w:val="0"/>
    <w:rPr>
      <w:rFonts w:ascii="微软雅黑" w:hAnsi="微软雅黑" w:eastAsia="微软雅黑" w:cs="微软雅黑"/>
      <w:sz w:val="21"/>
      <w:szCs w:val="21"/>
    </w:rPr>
  </w:style>
  <w:style w:type="character" w:customStyle="1" w:styleId="44">
    <w:name w:val="hover54"/>
    <w:basedOn w:val="12"/>
    <w:qFormat/>
    <w:uiPriority w:val="0"/>
    <w:rPr>
      <w:color w:val="000000"/>
      <w:shd w:val="clear" w:fill="FFFFFF"/>
    </w:rPr>
  </w:style>
  <w:style w:type="character" w:customStyle="1" w:styleId="45">
    <w:name w:val="active2"/>
    <w:basedOn w:val="12"/>
    <w:qFormat/>
    <w:uiPriority w:val="0"/>
    <w:rPr>
      <w:color w:val="FFFFFF"/>
      <w:shd w:val="clear" w:fill="0069AE"/>
    </w:rPr>
  </w:style>
  <w:style w:type="character" w:customStyle="1" w:styleId="46">
    <w:name w:val="active3"/>
    <w:basedOn w:val="12"/>
    <w:qFormat/>
    <w:uiPriority w:val="0"/>
    <w:rPr>
      <w:shd w:val="clear" w:fill="20A0E4"/>
    </w:rPr>
  </w:style>
  <w:style w:type="character" w:customStyle="1" w:styleId="47">
    <w:name w:val="hover47"/>
    <w:basedOn w:val="12"/>
    <w:qFormat/>
    <w:uiPriority w:val="0"/>
    <w:rPr>
      <w:color w:val="000000"/>
      <w:shd w:val="clear" w:fill="FFFFFF"/>
    </w:rPr>
  </w:style>
  <w:style w:type="character" w:customStyle="1" w:styleId="48">
    <w:name w:val="hover"/>
    <w:basedOn w:val="12"/>
    <w:qFormat/>
    <w:uiPriority w:val="0"/>
    <w:rPr>
      <w:color w:val="000000"/>
      <w:shd w:val="clear" w:fill="FFFFFF"/>
    </w:rPr>
  </w:style>
  <w:style w:type="character" w:customStyle="1" w:styleId="49">
    <w:name w:val="active"/>
    <w:basedOn w:val="12"/>
    <w:qFormat/>
    <w:uiPriority w:val="0"/>
    <w:rPr>
      <w:shd w:val="clear" w:fill="20A0E4"/>
    </w:rPr>
  </w:style>
  <w:style w:type="character" w:customStyle="1" w:styleId="50">
    <w:name w:val="active1"/>
    <w:basedOn w:val="12"/>
    <w:qFormat/>
    <w:uiPriority w:val="0"/>
    <w:rPr>
      <w:color w:val="FFFFFF"/>
      <w:shd w:val="clear" w:fill="0069AE"/>
    </w:rPr>
  </w:style>
  <w:style w:type="character" w:customStyle="1" w:styleId="51">
    <w:name w:val="box"/>
    <w:basedOn w:val="12"/>
    <w:qFormat/>
    <w:uiPriority w:val="0"/>
    <w:rPr>
      <w:rFonts w:ascii="微软雅黑" w:hAnsi="微软雅黑" w:eastAsia="微软雅黑" w:cs="微软雅黑"/>
      <w:color w:val="666666"/>
      <w:sz w:val="21"/>
      <w:szCs w:val="21"/>
      <w:shd w:val="clear" w:fill="FFFFFF"/>
    </w:rPr>
  </w:style>
  <w:style w:type="character" w:customStyle="1" w:styleId="52">
    <w:name w:val="before4"/>
    <w:basedOn w:val="12"/>
    <w:qFormat/>
    <w:uiPriority w:val="0"/>
    <w:rPr>
      <w:shd w:val="clear" w:fill="DCDCDC"/>
    </w:rPr>
  </w:style>
  <w:style w:type="character" w:customStyle="1" w:styleId="53">
    <w:name w:val="before5"/>
    <w:basedOn w:val="12"/>
    <w:qFormat/>
    <w:uiPriority w:val="0"/>
    <w:rPr>
      <w:shd w:val="clear" w:fill="0466C7"/>
    </w:rPr>
  </w:style>
  <w:style w:type="character" w:customStyle="1" w:styleId="54">
    <w:name w:val="before6"/>
    <w:basedOn w:val="12"/>
    <w:qFormat/>
    <w:uiPriority w:val="0"/>
  </w:style>
  <w:style w:type="character" w:customStyle="1" w:styleId="55">
    <w:name w:val="before7"/>
    <w:basedOn w:val="12"/>
    <w:qFormat/>
    <w:uiPriority w:val="0"/>
    <w:rPr>
      <w:shd w:val="clear" w:fill="0466C7"/>
    </w:rPr>
  </w:style>
  <w:style w:type="character" w:customStyle="1" w:styleId="56">
    <w:name w:val="logo_img"/>
    <w:basedOn w:val="12"/>
    <w:qFormat/>
    <w:uiPriority w:val="0"/>
  </w:style>
  <w:style w:type="character" w:customStyle="1" w:styleId="57">
    <w:name w:val="logo_img1"/>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15</Pages>
  <Words>8504</Words>
  <Characters>8984</Characters>
  <Lines>3</Lines>
  <Paragraphs>7</Paragraphs>
  <TotalTime>0</TotalTime>
  <ScaleCrop>false</ScaleCrop>
  <LinksUpToDate>false</LinksUpToDate>
  <CharactersWithSpaces>9015</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2021-07-01T23:55:00Z</dcterms:created>
  <dc:creator>admin</dc:creator>
  <cp:lastModifiedBy>kylin</cp:lastModifiedBy>
  <cp:lastPrinted>2025-06-30T15:00:49Z</cp:lastPrinted>
  <dcterms:modified xsi:type="dcterms:W3CDTF">2025-06-30T15:24:22Z</dcterms:modified>
  <dc:title>派 车 存 单              湘潭市公务用车派车单</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9A950C4FCA665164550E62684F83ED39</vt:lpwstr>
  </property>
</Properties>
</file>