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B5E21">
      <w:pPr>
        <w:widowControl/>
        <w:spacing w:line="576"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rPr>
        <w:t>2024年度湘潭</w:t>
      </w:r>
      <w:r>
        <w:rPr>
          <w:rFonts w:ascii="宋体" w:hAnsi="宋体" w:cs="仿宋_GB2312"/>
          <w:b/>
          <w:bCs/>
          <w:color w:val="000000"/>
          <w:kern w:val="0"/>
          <w:sz w:val="36"/>
          <w:szCs w:val="36"/>
        </w:rPr>
        <w:t>县</w:t>
      </w:r>
      <w:r>
        <w:rPr>
          <w:rFonts w:hint="eastAsia" w:ascii="宋体" w:hAnsi="宋体" w:cs="仿宋_GB2312"/>
          <w:b/>
          <w:bCs/>
          <w:color w:val="000000"/>
          <w:kern w:val="0"/>
          <w:sz w:val="36"/>
          <w:szCs w:val="36"/>
        </w:rPr>
        <w:t>一中藕塘南侧挡墙应急抢险工程</w:t>
      </w:r>
    </w:p>
    <w:p w14:paraId="3C7A1F7D">
      <w:pPr>
        <w:widowControl/>
        <w:spacing w:line="576"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rPr>
        <w:t>项目支出绩效评价报告</w:t>
      </w:r>
    </w:p>
    <w:p w14:paraId="7D4B96DA">
      <w:pPr>
        <w:widowControl/>
        <w:spacing w:line="576" w:lineRule="exact"/>
        <w:jc w:val="center"/>
        <w:rPr>
          <w:rFonts w:ascii="方正小标宋_GBK" w:hAnsi="方正小标宋_GBK" w:eastAsia="方正小标宋_GBK" w:cs="方正小标宋_GBK"/>
          <w:sz w:val="36"/>
          <w:szCs w:val="36"/>
          <w:u w:val="single"/>
        </w:rPr>
      </w:pPr>
    </w:p>
    <w:tbl>
      <w:tblPr>
        <w:tblStyle w:val="4"/>
        <w:tblpPr w:leftFromText="180" w:rightFromText="180" w:vertAnchor="text" w:horzAnchor="margin" w:tblpXSpec="center" w:tblpY="189"/>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912"/>
      </w:tblGrid>
      <w:tr w14:paraId="7BCC1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vAlign w:val="center"/>
          </w:tcPr>
          <w:p w14:paraId="696143C8">
            <w:pPr>
              <w:spacing w:line="576" w:lineRule="exact"/>
              <w:jc w:val="center"/>
              <w:rPr>
                <w:rFonts w:ascii="仿宋_GB2312" w:hAnsi="宋体" w:eastAsia="仿宋_GB2312" w:cs="宋体"/>
                <w:szCs w:val="32"/>
              </w:rPr>
            </w:pPr>
            <w:r>
              <w:rPr>
                <w:rFonts w:hint="eastAsia" w:ascii="仿宋_GB2312" w:hAnsi="宋体" w:eastAsia="仿宋_GB2312" w:cs="宋体"/>
                <w:szCs w:val="32"/>
              </w:rPr>
              <w:t>部门概况</w:t>
            </w:r>
          </w:p>
        </w:tc>
        <w:tc>
          <w:tcPr>
            <w:tcW w:w="1985" w:type="dxa"/>
            <w:vAlign w:val="center"/>
          </w:tcPr>
          <w:p w14:paraId="10305EE9">
            <w:pPr>
              <w:spacing w:line="576" w:lineRule="exact"/>
              <w:jc w:val="center"/>
              <w:rPr>
                <w:rFonts w:ascii="仿宋_GB2312" w:hAnsi="宋体" w:eastAsia="仿宋_GB2312" w:cs="宋体"/>
                <w:szCs w:val="32"/>
              </w:rPr>
            </w:pPr>
            <w:r>
              <w:rPr>
                <w:rFonts w:hint="eastAsia" w:ascii="仿宋_GB2312" w:hAnsi="宋体" w:eastAsia="仿宋_GB2312" w:cs="宋体"/>
                <w:szCs w:val="32"/>
              </w:rPr>
              <w:t>专项名称</w:t>
            </w:r>
          </w:p>
        </w:tc>
        <w:tc>
          <w:tcPr>
            <w:tcW w:w="5912" w:type="dxa"/>
            <w:vAlign w:val="center"/>
          </w:tcPr>
          <w:p w14:paraId="06ADA9A2">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2024年度湘潭县一中藕塘南侧挡墙应急抢险工程</w:t>
            </w:r>
          </w:p>
        </w:tc>
      </w:tr>
      <w:tr w14:paraId="0FFFF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027F23FB">
            <w:pPr>
              <w:spacing w:line="576" w:lineRule="exact"/>
              <w:jc w:val="center"/>
              <w:rPr>
                <w:rFonts w:ascii="仿宋_GB2312" w:hAnsi="宋体" w:eastAsia="仿宋_GB2312" w:cs="宋体"/>
                <w:szCs w:val="32"/>
              </w:rPr>
            </w:pPr>
          </w:p>
        </w:tc>
        <w:tc>
          <w:tcPr>
            <w:tcW w:w="1985" w:type="dxa"/>
            <w:vAlign w:val="center"/>
          </w:tcPr>
          <w:p w14:paraId="34D19283">
            <w:pPr>
              <w:spacing w:line="576" w:lineRule="exact"/>
              <w:jc w:val="center"/>
              <w:rPr>
                <w:rFonts w:ascii="仿宋_GB2312" w:hAnsi="宋体" w:eastAsia="仿宋_GB2312" w:cs="宋体"/>
                <w:szCs w:val="32"/>
              </w:rPr>
            </w:pPr>
            <w:r>
              <w:rPr>
                <w:rFonts w:hint="eastAsia" w:ascii="仿宋_GB2312" w:hAnsi="宋体" w:eastAsia="仿宋_GB2312" w:cs="宋体"/>
                <w:szCs w:val="32"/>
              </w:rPr>
              <w:t>年度预算金额</w:t>
            </w:r>
          </w:p>
        </w:tc>
        <w:tc>
          <w:tcPr>
            <w:tcW w:w="5912" w:type="dxa"/>
            <w:vAlign w:val="center"/>
          </w:tcPr>
          <w:p w14:paraId="3E9106B3">
            <w:pPr>
              <w:spacing w:line="576" w:lineRule="exact"/>
              <w:ind w:right="880" w:rightChars="419"/>
              <w:jc w:val="center"/>
              <w:rPr>
                <w:rFonts w:ascii="仿宋_GB2312" w:hAnsi="宋体" w:eastAsia="仿宋_GB2312" w:cs="宋体"/>
                <w:szCs w:val="32"/>
              </w:rPr>
            </w:pPr>
            <w:r>
              <w:rPr>
                <w:rFonts w:ascii="仿宋_GB2312" w:hAnsi="宋体" w:eastAsia="仿宋_GB2312" w:cs="宋体"/>
                <w:szCs w:val="32"/>
              </w:rPr>
              <w:t>40.4679</w:t>
            </w:r>
            <w:r>
              <w:rPr>
                <w:rFonts w:hint="eastAsia" w:ascii="仿宋_GB2312" w:hAnsi="宋体" w:eastAsia="仿宋_GB2312" w:cs="宋体"/>
                <w:szCs w:val="32"/>
              </w:rPr>
              <w:t>万</w:t>
            </w:r>
            <w:r>
              <w:rPr>
                <w:rFonts w:ascii="仿宋_GB2312" w:hAnsi="宋体" w:eastAsia="仿宋_GB2312" w:cs="宋体"/>
                <w:szCs w:val="32"/>
              </w:rPr>
              <w:t>元</w:t>
            </w:r>
          </w:p>
        </w:tc>
      </w:tr>
      <w:tr w14:paraId="3F69A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4E7A3008">
            <w:pPr>
              <w:spacing w:line="576" w:lineRule="exact"/>
              <w:jc w:val="center"/>
              <w:rPr>
                <w:rFonts w:ascii="仿宋_GB2312" w:hAnsi="宋体" w:eastAsia="仿宋_GB2312" w:cs="宋体"/>
                <w:szCs w:val="32"/>
              </w:rPr>
            </w:pPr>
          </w:p>
        </w:tc>
        <w:tc>
          <w:tcPr>
            <w:tcW w:w="1985" w:type="dxa"/>
            <w:vAlign w:val="center"/>
          </w:tcPr>
          <w:p w14:paraId="2FDB5A6F">
            <w:pPr>
              <w:spacing w:line="576" w:lineRule="exact"/>
              <w:jc w:val="center"/>
              <w:rPr>
                <w:rFonts w:ascii="仿宋_GB2312" w:hAnsi="宋体" w:eastAsia="仿宋_GB2312" w:cs="宋体"/>
                <w:szCs w:val="32"/>
              </w:rPr>
            </w:pPr>
            <w:r>
              <w:rPr>
                <w:rFonts w:hint="eastAsia" w:ascii="仿宋_GB2312" w:hAnsi="宋体" w:eastAsia="仿宋_GB2312" w:cs="宋体"/>
                <w:szCs w:val="32"/>
              </w:rPr>
              <w:t>项目主管部门</w:t>
            </w:r>
          </w:p>
        </w:tc>
        <w:tc>
          <w:tcPr>
            <w:tcW w:w="5912" w:type="dxa"/>
            <w:vAlign w:val="center"/>
          </w:tcPr>
          <w:p w14:paraId="3D996F5E">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湘潭县住房和城乡建设局</w:t>
            </w:r>
          </w:p>
        </w:tc>
      </w:tr>
      <w:tr w14:paraId="1D04F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29A8A49B">
            <w:pPr>
              <w:spacing w:line="576" w:lineRule="exact"/>
              <w:jc w:val="center"/>
              <w:rPr>
                <w:rFonts w:ascii="仿宋_GB2312" w:hAnsi="宋体" w:eastAsia="仿宋_GB2312" w:cs="宋体"/>
                <w:szCs w:val="32"/>
              </w:rPr>
            </w:pPr>
          </w:p>
        </w:tc>
        <w:tc>
          <w:tcPr>
            <w:tcW w:w="1985" w:type="dxa"/>
            <w:vAlign w:val="center"/>
          </w:tcPr>
          <w:p w14:paraId="1C16BB92">
            <w:pPr>
              <w:spacing w:line="576" w:lineRule="exact"/>
              <w:jc w:val="center"/>
              <w:rPr>
                <w:rFonts w:ascii="仿宋_GB2312" w:hAnsi="宋体" w:eastAsia="仿宋_GB2312" w:cs="宋体"/>
                <w:szCs w:val="32"/>
              </w:rPr>
            </w:pPr>
            <w:r>
              <w:rPr>
                <w:rFonts w:hint="eastAsia" w:ascii="仿宋_GB2312" w:hAnsi="宋体" w:eastAsia="仿宋_GB2312" w:cs="宋体"/>
                <w:szCs w:val="32"/>
              </w:rPr>
              <w:t>项目立项目的</w:t>
            </w:r>
          </w:p>
        </w:tc>
        <w:tc>
          <w:tcPr>
            <w:tcW w:w="5912" w:type="dxa"/>
            <w:vAlign w:val="center"/>
          </w:tcPr>
          <w:p w14:paraId="5D59E7A6">
            <w:pPr>
              <w:spacing w:line="360" w:lineRule="auto"/>
              <w:ind w:firstLine="420" w:firstLineChars="200"/>
              <w:rPr>
                <w:rFonts w:ascii="仿宋_GB2312" w:hAnsi="宋体" w:eastAsia="仿宋_GB2312" w:cs="宋体"/>
                <w:szCs w:val="32"/>
              </w:rPr>
            </w:pPr>
            <w:r>
              <w:rPr>
                <w:rFonts w:hint="eastAsia" w:ascii="仿宋_GB2312" w:hAnsi="宋体" w:eastAsia="仿宋_GB2312"/>
              </w:rPr>
              <w:t>2</w:t>
            </w:r>
            <w:r>
              <w:rPr>
                <w:rFonts w:hint="eastAsia" w:ascii="仿宋_GB2312" w:hAnsi="宋体" w:eastAsia="仿宋_GB2312" w:cs="宋体"/>
                <w:szCs w:val="32"/>
              </w:rPr>
              <w:t>024年6月26日，湘潭县一中藕塘南侧挡墙局部发生滑坡，对贵竹安置区14#栋可能造成安全隐患。</w:t>
            </w:r>
          </w:p>
          <w:p w14:paraId="0861C196">
            <w:pPr>
              <w:spacing w:line="360" w:lineRule="auto"/>
              <w:ind w:firstLine="420" w:firstLineChars="200"/>
              <w:jc w:val="left"/>
              <w:rPr>
                <w:rFonts w:ascii="仿宋_GB2312" w:hAnsi="宋体" w:eastAsia="仿宋_GB2312" w:cs="宋体"/>
                <w:szCs w:val="32"/>
              </w:rPr>
            </w:pPr>
            <w:r>
              <w:rPr>
                <w:rFonts w:hint="eastAsia" w:ascii="仿宋_GB2312" w:hAnsi="宋体" w:eastAsia="仿宋_GB2312" w:cs="宋体"/>
                <w:szCs w:val="32"/>
              </w:rPr>
              <w:t>根据湘潭县住房和城乡建设局《关于湘潭县一中藕塘南侧挡墙应急抢险工程有关情况报告》，</w:t>
            </w:r>
            <w:r>
              <w:rPr>
                <w:rFonts w:hint="eastAsia" w:ascii="仿宋_GB2312" w:hAnsi="宋体" w:eastAsia="仿宋_GB2312"/>
              </w:rPr>
              <w:t>当天下午，</w:t>
            </w:r>
            <w:r>
              <w:rPr>
                <w:rFonts w:hint="eastAsia" w:ascii="仿宋_GB2312" w:hAnsi="宋体" w:eastAsia="仿宋_GB2312" w:cs="宋体"/>
                <w:szCs w:val="32"/>
              </w:rPr>
              <w:t>天易经开区常务副主任武强组织相关部门召开紧急会议进行调度。根据会议安排，由县住建局组织抢险工作。</w:t>
            </w:r>
          </w:p>
        </w:tc>
      </w:tr>
      <w:tr w14:paraId="3F979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567" w:type="dxa"/>
            <w:vMerge w:val="restart"/>
            <w:vAlign w:val="center"/>
          </w:tcPr>
          <w:p w14:paraId="4D7F3215">
            <w:pPr>
              <w:spacing w:line="576" w:lineRule="exact"/>
              <w:jc w:val="center"/>
              <w:rPr>
                <w:rFonts w:ascii="仿宋_GB2312" w:hAnsi="宋体" w:eastAsia="仿宋_GB2312" w:cs="宋体"/>
                <w:szCs w:val="32"/>
              </w:rPr>
            </w:pPr>
            <w:r>
              <w:rPr>
                <w:rFonts w:hint="eastAsia" w:ascii="仿宋_GB2312" w:hAnsi="宋体" w:eastAsia="仿宋_GB2312" w:cs="宋体"/>
                <w:szCs w:val="32"/>
              </w:rPr>
              <w:t>绩效情况</w:t>
            </w:r>
          </w:p>
        </w:tc>
        <w:tc>
          <w:tcPr>
            <w:tcW w:w="1985" w:type="dxa"/>
            <w:vAlign w:val="center"/>
          </w:tcPr>
          <w:p w14:paraId="10DCB7F0">
            <w:pPr>
              <w:spacing w:line="576" w:lineRule="exact"/>
              <w:jc w:val="center"/>
              <w:rPr>
                <w:rFonts w:ascii="仿宋_GB2312" w:hAnsi="宋体" w:eastAsia="仿宋_GB2312" w:cs="宋体"/>
                <w:szCs w:val="32"/>
              </w:rPr>
            </w:pPr>
            <w:r>
              <w:rPr>
                <w:rFonts w:hint="eastAsia" w:ascii="仿宋_GB2312" w:hAnsi="宋体" w:eastAsia="仿宋_GB2312" w:cs="宋体"/>
                <w:szCs w:val="32"/>
              </w:rPr>
              <w:t>项目支出管理和使用基本情况</w:t>
            </w:r>
          </w:p>
        </w:tc>
        <w:tc>
          <w:tcPr>
            <w:tcW w:w="5912" w:type="dxa"/>
            <w:vAlign w:val="center"/>
          </w:tcPr>
          <w:p w14:paraId="4CE1446F">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1、资金到位情况</w:t>
            </w:r>
          </w:p>
          <w:p w14:paraId="65E1192C">
            <w:pPr>
              <w:spacing w:before="194" w:line="480" w:lineRule="auto"/>
              <w:ind w:left="90" w:leftChars="43" w:firstLine="420" w:firstLineChars="200"/>
              <w:outlineLvl w:val="0"/>
              <w:rPr>
                <w:rFonts w:ascii="仿宋_GB2312" w:hAnsi="宋体" w:eastAsia="仿宋_GB2312" w:cs="宋体"/>
                <w:szCs w:val="32"/>
              </w:rPr>
            </w:pPr>
            <w:r>
              <w:rPr>
                <w:rFonts w:ascii="仿宋_GB2312" w:hAnsi="宋体" w:eastAsia="仿宋_GB2312" w:cs="宋体"/>
                <w:szCs w:val="32"/>
              </w:rPr>
              <w:t>2024年</w:t>
            </w:r>
            <w:r>
              <w:rPr>
                <w:rFonts w:hint="eastAsia" w:ascii="仿宋_GB2312" w:hAnsi="宋体" w:eastAsia="仿宋_GB2312" w:cs="宋体"/>
                <w:szCs w:val="32"/>
              </w:rPr>
              <w:t>度县财政安排湘潭县一中藕塘南侧挡墙应急抢险工程4</w:t>
            </w:r>
            <w:r>
              <w:rPr>
                <w:rFonts w:ascii="仿宋_GB2312" w:hAnsi="宋体" w:eastAsia="仿宋_GB2312" w:cs="宋体"/>
                <w:szCs w:val="32"/>
              </w:rPr>
              <w:t>0.4679</w:t>
            </w:r>
            <w:r>
              <w:rPr>
                <w:rFonts w:hint="eastAsia" w:ascii="仿宋_GB2312" w:hAnsi="宋体" w:eastAsia="仿宋_GB2312" w:cs="宋体"/>
                <w:szCs w:val="32"/>
              </w:rPr>
              <w:t>万元，资金已全部由湘潭县财政局拨付至湘潭县住房和城乡建设局，项目资金到位率为100%。</w:t>
            </w:r>
          </w:p>
          <w:p w14:paraId="4C5A8714">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2、资金使用情况</w:t>
            </w:r>
          </w:p>
          <w:p w14:paraId="0DE87C04">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资金实际支付情况：2024年</w:t>
            </w:r>
            <w:r>
              <w:rPr>
                <w:rFonts w:ascii="仿宋_GB2312" w:hAnsi="宋体" w:eastAsia="仿宋_GB2312" w:cs="宋体"/>
                <w:szCs w:val="32"/>
              </w:rPr>
              <w:t>9</w:t>
            </w:r>
            <w:r>
              <w:rPr>
                <w:rFonts w:hint="eastAsia" w:ascii="仿宋_GB2312" w:hAnsi="宋体" w:eastAsia="仿宋_GB2312" w:cs="宋体"/>
                <w:szCs w:val="32"/>
              </w:rPr>
              <w:t>月支付湘潭县一中藕塘南侧挡墙应急抢险工程4</w:t>
            </w:r>
            <w:r>
              <w:rPr>
                <w:rFonts w:ascii="仿宋_GB2312" w:hAnsi="宋体" w:eastAsia="仿宋_GB2312" w:cs="宋体"/>
                <w:szCs w:val="32"/>
              </w:rPr>
              <w:t>0.4679</w:t>
            </w:r>
            <w:r>
              <w:rPr>
                <w:rFonts w:hint="eastAsia" w:ascii="仿宋_GB2312" w:hAnsi="宋体" w:eastAsia="仿宋_GB2312" w:cs="宋体"/>
                <w:szCs w:val="32"/>
              </w:rPr>
              <w:t>万元。支付明细如下：</w:t>
            </w:r>
          </w:p>
          <w:tbl>
            <w:tblPr>
              <w:tblStyle w:val="4"/>
              <w:tblW w:w="5720" w:type="dxa"/>
              <w:tblInd w:w="0" w:type="dxa"/>
              <w:tblLayout w:type="fixed"/>
              <w:tblCellMar>
                <w:top w:w="0" w:type="dxa"/>
                <w:left w:w="108" w:type="dxa"/>
                <w:bottom w:w="0" w:type="dxa"/>
                <w:right w:w="108" w:type="dxa"/>
              </w:tblCellMar>
            </w:tblPr>
            <w:tblGrid>
              <w:gridCol w:w="474"/>
              <w:gridCol w:w="236"/>
              <w:gridCol w:w="270"/>
              <w:gridCol w:w="580"/>
              <w:gridCol w:w="2740"/>
              <w:gridCol w:w="1420"/>
            </w:tblGrid>
            <w:tr w14:paraId="73CFB815">
              <w:tblPrEx>
                <w:tblCellMar>
                  <w:top w:w="0" w:type="dxa"/>
                  <w:left w:w="108" w:type="dxa"/>
                  <w:bottom w:w="0" w:type="dxa"/>
                  <w:right w:w="108" w:type="dxa"/>
                </w:tblCellMar>
              </w:tblPrEx>
              <w:trPr>
                <w:trHeight w:val="402" w:hRule="atLeast"/>
              </w:trPr>
              <w:tc>
                <w:tcPr>
                  <w:tcW w:w="9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3410E">
                  <w:pPr>
                    <w:widowControl/>
                    <w:jc w:val="center"/>
                    <w:rPr>
                      <w:rFonts w:ascii="仿宋_GB2312" w:hAnsi="宋体" w:eastAsia="仿宋_GB2312" w:cs="宋体"/>
                      <w:szCs w:val="32"/>
                    </w:rPr>
                  </w:pPr>
                  <w:r>
                    <w:rPr>
                      <w:rFonts w:hint="eastAsia" w:ascii="仿宋_GB2312" w:hAnsi="宋体" w:eastAsia="仿宋_GB2312" w:cs="宋体"/>
                      <w:szCs w:val="32"/>
                    </w:rPr>
                    <w:t>日期</w:t>
                  </w:r>
                </w:p>
              </w:tc>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6C9D8">
                  <w:pPr>
                    <w:widowControl/>
                    <w:jc w:val="center"/>
                    <w:rPr>
                      <w:rFonts w:ascii="仿宋_GB2312" w:hAnsi="宋体" w:eastAsia="仿宋_GB2312" w:cs="宋体"/>
                      <w:szCs w:val="32"/>
                    </w:rPr>
                  </w:pPr>
                  <w:r>
                    <w:rPr>
                      <w:rFonts w:hint="eastAsia" w:ascii="仿宋_GB2312" w:hAnsi="宋体" w:eastAsia="仿宋_GB2312" w:cs="宋体"/>
                      <w:szCs w:val="32"/>
                    </w:rPr>
                    <w:t>凭证字号</w:t>
                  </w:r>
                </w:p>
              </w:tc>
              <w:tc>
                <w:tcPr>
                  <w:tcW w:w="2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56CE50">
                  <w:pPr>
                    <w:widowControl/>
                    <w:jc w:val="center"/>
                    <w:rPr>
                      <w:rFonts w:ascii="仿宋_GB2312" w:hAnsi="宋体" w:eastAsia="仿宋_GB2312" w:cs="宋体"/>
                      <w:szCs w:val="32"/>
                    </w:rPr>
                  </w:pPr>
                  <w:r>
                    <w:rPr>
                      <w:rFonts w:hint="eastAsia" w:ascii="仿宋_GB2312" w:hAnsi="宋体" w:eastAsia="仿宋_GB2312" w:cs="宋体"/>
                      <w:szCs w:val="32"/>
                    </w:rPr>
                    <w:t>摘要</w:t>
                  </w:r>
                </w:p>
              </w:tc>
              <w:tc>
                <w:tcPr>
                  <w:tcW w:w="142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BE673">
                  <w:pPr>
                    <w:widowControl/>
                    <w:jc w:val="center"/>
                    <w:rPr>
                      <w:rFonts w:ascii="仿宋_GB2312" w:hAnsi="宋体" w:eastAsia="仿宋_GB2312" w:cs="宋体"/>
                      <w:szCs w:val="32"/>
                    </w:rPr>
                  </w:pPr>
                  <w:r>
                    <w:rPr>
                      <w:rFonts w:hint="eastAsia" w:ascii="仿宋_GB2312" w:hAnsi="宋体" w:eastAsia="仿宋_GB2312" w:cs="宋体"/>
                      <w:szCs w:val="32"/>
                    </w:rPr>
                    <w:t>支付金额</w:t>
                  </w:r>
                </w:p>
              </w:tc>
            </w:tr>
            <w:tr w14:paraId="5FF43534">
              <w:tblPrEx>
                <w:tblCellMar>
                  <w:top w:w="0" w:type="dxa"/>
                  <w:left w:w="108" w:type="dxa"/>
                  <w:bottom w:w="0" w:type="dxa"/>
                  <w:right w:w="108" w:type="dxa"/>
                </w:tblCellMar>
              </w:tblPrEx>
              <w:trPr>
                <w:trHeight w:val="402"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7ED4FDC8">
                  <w:pPr>
                    <w:widowControl/>
                    <w:rPr>
                      <w:rFonts w:ascii="仿宋_GB2312" w:hAnsi="宋体" w:eastAsia="仿宋_GB2312" w:cs="宋体"/>
                      <w:b/>
                      <w:bCs/>
                      <w:kern w:val="0"/>
                      <w:szCs w:val="21"/>
                    </w:rPr>
                  </w:pPr>
                  <w:r>
                    <w:rPr>
                      <w:rFonts w:hint="eastAsia" w:ascii="仿宋_GB2312" w:hAnsi="宋体" w:eastAsia="仿宋_GB2312" w:cs="宋体"/>
                      <w:b/>
                      <w:bCs/>
                      <w:kern w:val="0"/>
                      <w:szCs w:val="21"/>
                    </w:rPr>
                    <w:t>年</w:t>
                  </w:r>
                </w:p>
              </w:tc>
              <w:tc>
                <w:tcPr>
                  <w:tcW w:w="236" w:type="dxa"/>
                  <w:tcBorders>
                    <w:top w:val="nil"/>
                    <w:left w:val="nil"/>
                    <w:bottom w:val="single" w:color="000000" w:sz="4" w:space="0"/>
                    <w:right w:val="single" w:color="000000" w:sz="4" w:space="0"/>
                  </w:tcBorders>
                  <w:shd w:val="clear" w:color="auto" w:fill="auto"/>
                  <w:noWrap/>
                  <w:vAlign w:val="center"/>
                </w:tcPr>
                <w:p w14:paraId="42F2FDFD">
                  <w:pPr>
                    <w:widowControl/>
                    <w:rPr>
                      <w:rFonts w:ascii="仿宋_GB2312" w:hAnsi="宋体" w:eastAsia="仿宋_GB2312" w:cs="宋体"/>
                      <w:b/>
                      <w:bCs/>
                      <w:kern w:val="0"/>
                      <w:szCs w:val="21"/>
                    </w:rPr>
                  </w:pPr>
                  <w:r>
                    <w:rPr>
                      <w:rFonts w:hint="eastAsia" w:ascii="仿宋_GB2312" w:hAnsi="宋体" w:eastAsia="仿宋_GB2312" w:cs="宋体"/>
                      <w:b/>
                      <w:bCs/>
                      <w:kern w:val="0"/>
                      <w:szCs w:val="21"/>
                    </w:rPr>
                    <w:t>月</w:t>
                  </w:r>
                </w:p>
              </w:tc>
              <w:tc>
                <w:tcPr>
                  <w:tcW w:w="270" w:type="dxa"/>
                  <w:tcBorders>
                    <w:top w:val="nil"/>
                    <w:left w:val="nil"/>
                    <w:bottom w:val="single" w:color="000000" w:sz="4" w:space="0"/>
                    <w:right w:val="single" w:color="000000" w:sz="4" w:space="0"/>
                  </w:tcBorders>
                  <w:shd w:val="clear" w:color="auto" w:fill="auto"/>
                  <w:noWrap/>
                  <w:vAlign w:val="center"/>
                </w:tcPr>
                <w:p w14:paraId="4D73BC2E">
                  <w:pPr>
                    <w:widowControl/>
                    <w:rPr>
                      <w:rFonts w:ascii="仿宋_GB2312" w:hAnsi="宋体" w:eastAsia="仿宋_GB2312" w:cs="宋体"/>
                      <w:b/>
                      <w:bCs/>
                      <w:kern w:val="0"/>
                      <w:szCs w:val="21"/>
                    </w:rPr>
                  </w:pPr>
                  <w:r>
                    <w:rPr>
                      <w:rFonts w:hint="eastAsia" w:ascii="仿宋_GB2312" w:hAnsi="宋体" w:eastAsia="仿宋_GB2312" w:cs="宋体"/>
                      <w:b/>
                      <w:bCs/>
                      <w:kern w:val="0"/>
                      <w:szCs w:val="21"/>
                    </w:rPr>
                    <w:t>日</w:t>
                  </w:r>
                </w:p>
              </w:tc>
              <w:tc>
                <w:tcPr>
                  <w:tcW w:w="580" w:type="dxa"/>
                  <w:vMerge w:val="continue"/>
                  <w:tcBorders>
                    <w:top w:val="single" w:color="000000" w:sz="4" w:space="0"/>
                    <w:left w:val="single" w:color="000000" w:sz="4" w:space="0"/>
                    <w:bottom w:val="single" w:color="000000" w:sz="4" w:space="0"/>
                    <w:right w:val="single" w:color="000000" w:sz="4" w:space="0"/>
                  </w:tcBorders>
                  <w:vAlign w:val="center"/>
                </w:tcPr>
                <w:p w14:paraId="5B00A611">
                  <w:pPr>
                    <w:widowControl/>
                    <w:jc w:val="left"/>
                    <w:rPr>
                      <w:rFonts w:ascii="仿宋_GB2312" w:hAnsi="宋体" w:eastAsia="仿宋_GB2312" w:cs="宋体"/>
                      <w:b/>
                      <w:bCs/>
                      <w:kern w:val="0"/>
                      <w:sz w:val="22"/>
                      <w:szCs w:val="22"/>
                    </w:rPr>
                  </w:pPr>
                </w:p>
              </w:tc>
              <w:tc>
                <w:tcPr>
                  <w:tcW w:w="2740" w:type="dxa"/>
                  <w:vMerge w:val="continue"/>
                  <w:tcBorders>
                    <w:top w:val="single" w:color="000000" w:sz="4" w:space="0"/>
                    <w:left w:val="single" w:color="000000" w:sz="4" w:space="0"/>
                    <w:bottom w:val="single" w:color="000000" w:sz="4" w:space="0"/>
                    <w:right w:val="single" w:color="000000" w:sz="4" w:space="0"/>
                  </w:tcBorders>
                  <w:vAlign w:val="center"/>
                </w:tcPr>
                <w:p w14:paraId="31A9F6B5">
                  <w:pPr>
                    <w:widowControl/>
                    <w:jc w:val="left"/>
                    <w:rPr>
                      <w:rFonts w:ascii="仿宋_GB2312" w:hAnsi="宋体" w:eastAsia="仿宋_GB2312" w:cs="宋体"/>
                      <w:b/>
                      <w:bCs/>
                      <w:kern w:val="0"/>
                      <w:sz w:val="22"/>
                      <w:szCs w:val="22"/>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14:paraId="4221393E">
                  <w:pPr>
                    <w:widowControl/>
                    <w:jc w:val="left"/>
                    <w:rPr>
                      <w:rFonts w:ascii="仿宋_GB2312" w:hAnsi="宋体" w:eastAsia="仿宋_GB2312" w:cs="宋体"/>
                      <w:b/>
                      <w:bCs/>
                      <w:kern w:val="0"/>
                      <w:sz w:val="22"/>
                      <w:szCs w:val="22"/>
                    </w:rPr>
                  </w:pPr>
                </w:p>
              </w:tc>
            </w:tr>
            <w:tr w14:paraId="23E67B82">
              <w:tblPrEx>
                <w:tblCellMar>
                  <w:top w:w="0" w:type="dxa"/>
                  <w:left w:w="108" w:type="dxa"/>
                  <w:bottom w:w="0" w:type="dxa"/>
                  <w:right w:w="108" w:type="dxa"/>
                </w:tblCellMar>
              </w:tblPrEx>
              <w:trPr>
                <w:trHeight w:val="127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21FB2DC2">
                  <w:pPr>
                    <w:widowControl/>
                    <w:jc w:val="left"/>
                    <w:rPr>
                      <w:rFonts w:ascii="仿宋_GB2312" w:hAnsi="宋体" w:eastAsia="仿宋_GB2312" w:cs="宋体"/>
                      <w:szCs w:val="32"/>
                    </w:rPr>
                  </w:pPr>
                  <w:r>
                    <w:rPr>
                      <w:rFonts w:hint="eastAsia" w:ascii="仿宋_GB2312" w:hAnsi="宋体" w:eastAsia="仿宋_GB2312" w:cs="宋体"/>
                      <w:szCs w:val="32"/>
                    </w:rPr>
                    <w:t>2024</w:t>
                  </w:r>
                </w:p>
              </w:tc>
              <w:tc>
                <w:tcPr>
                  <w:tcW w:w="236" w:type="dxa"/>
                  <w:tcBorders>
                    <w:top w:val="nil"/>
                    <w:left w:val="nil"/>
                    <w:bottom w:val="single" w:color="000000" w:sz="4" w:space="0"/>
                    <w:right w:val="single" w:color="000000" w:sz="4" w:space="0"/>
                  </w:tcBorders>
                  <w:shd w:val="clear" w:color="auto" w:fill="auto"/>
                  <w:noWrap/>
                  <w:vAlign w:val="center"/>
                </w:tcPr>
                <w:p w14:paraId="2291997E">
                  <w:pPr>
                    <w:widowControl/>
                    <w:jc w:val="left"/>
                    <w:rPr>
                      <w:rFonts w:ascii="仿宋_GB2312" w:hAnsi="宋体" w:eastAsia="仿宋_GB2312" w:cs="宋体"/>
                      <w:szCs w:val="32"/>
                    </w:rPr>
                  </w:pPr>
                  <w:r>
                    <w:rPr>
                      <w:rFonts w:hint="eastAsia" w:ascii="仿宋_GB2312" w:hAnsi="宋体" w:eastAsia="仿宋_GB2312" w:cs="宋体"/>
                      <w:szCs w:val="32"/>
                    </w:rPr>
                    <w:t>9</w:t>
                  </w:r>
                </w:p>
              </w:tc>
              <w:tc>
                <w:tcPr>
                  <w:tcW w:w="270" w:type="dxa"/>
                  <w:tcBorders>
                    <w:top w:val="nil"/>
                    <w:left w:val="nil"/>
                    <w:bottom w:val="single" w:color="000000" w:sz="4" w:space="0"/>
                    <w:right w:val="single" w:color="000000" w:sz="4" w:space="0"/>
                  </w:tcBorders>
                  <w:shd w:val="clear" w:color="auto" w:fill="auto"/>
                  <w:noWrap/>
                  <w:vAlign w:val="center"/>
                </w:tcPr>
                <w:p w14:paraId="347BB09B">
                  <w:pPr>
                    <w:widowControl/>
                    <w:jc w:val="left"/>
                    <w:rPr>
                      <w:rFonts w:ascii="仿宋_GB2312" w:hAnsi="宋体" w:eastAsia="仿宋_GB2312" w:cs="宋体"/>
                      <w:szCs w:val="32"/>
                    </w:rPr>
                  </w:pPr>
                  <w:r>
                    <w:rPr>
                      <w:rFonts w:hint="eastAsia" w:ascii="仿宋_GB2312" w:hAnsi="宋体" w:eastAsia="仿宋_GB2312" w:cs="宋体"/>
                      <w:szCs w:val="32"/>
                    </w:rPr>
                    <w:t>5</w:t>
                  </w:r>
                </w:p>
              </w:tc>
              <w:tc>
                <w:tcPr>
                  <w:tcW w:w="580" w:type="dxa"/>
                  <w:tcBorders>
                    <w:top w:val="nil"/>
                    <w:left w:val="nil"/>
                    <w:bottom w:val="single" w:color="000000" w:sz="4" w:space="0"/>
                    <w:right w:val="single" w:color="000000" w:sz="4" w:space="0"/>
                  </w:tcBorders>
                  <w:shd w:val="clear" w:color="auto" w:fill="auto"/>
                  <w:vAlign w:val="center"/>
                </w:tcPr>
                <w:p w14:paraId="5E6E49F6">
                  <w:pPr>
                    <w:widowControl/>
                    <w:jc w:val="left"/>
                    <w:rPr>
                      <w:rFonts w:ascii="仿宋_GB2312" w:hAnsi="宋体" w:eastAsia="仿宋_GB2312" w:cs="宋体"/>
                      <w:szCs w:val="32"/>
                    </w:rPr>
                  </w:pPr>
                  <w:r>
                    <w:rPr>
                      <w:rFonts w:hint="eastAsia" w:ascii="仿宋_GB2312" w:hAnsi="宋体" w:eastAsia="仿宋_GB2312" w:cs="宋体"/>
                      <w:szCs w:val="32"/>
                    </w:rPr>
                    <w:t>记账-0004</w:t>
                  </w:r>
                </w:p>
              </w:tc>
              <w:tc>
                <w:tcPr>
                  <w:tcW w:w="2740" w:type="dxa"/>
                  <w:tcBorders>
                    <w:top w:val="nil"/>
                    <w:left w:val="nil"/>
                    <w:bottom w:val="single" w:color="000000" w:sz="4" w:space="0"/>
                    <w:right w:val="single" w:color="000000" w:sz="4" w:space="0"/>
                  </w:tcBorders>
                  <w:shd w:val="clear" w:color="auto" w:fill="auto"/>
                  <w:vAlign w:val="center"/>
                </w:tcPr>
                <w:p w14:paraId="72E67B0E">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县住建局付四川美城建筑规划公司县一中藕塘南侧挡墙滑坡抢险工程设计费</w:t>
                  </w:r>
                </w:p>
              </w:tc>
              <w:tc>
                <w:tcPr>
                  <w:tcW w:w="1420" w:type="dxa"/>
                  <w:tcBorders>
                    <w:top w:val="nil"/>
                    <w:left w:val="nil"/>
                    <w:bottom w:val="single" w:color="000000" w:sz="4" w:space="0"/>
                    <w:right w:val="single" w:color="000000" w:sz="4" w:space="0"/>
                  </w:tcBorders>
                  <w:shd w:val="clear" w:color="auto" w:fill="auto"/>
                  <w:noWrap/>
                  <w:vAlign w:val="center"/>
                </w:tcPr>
                <w:p w14:paraId="72D220A3">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12,000.00</w:t>
                  </w:r>
                </w:p>
              </w:tc>
            </w:tr>
            <w:tr w14:paraId="16D91450">
              <w:tblPrEx>
                <w:tblCellMar>
                  <w:top w:w="0" w:type="dxa"/>
                  <w:left w:w="108" w:type="dxa"/>
                  <w:bottom w:w="0" w:type="dxa"/>
                  <w:right w:w="108" w:type="dxa"/>
                </w:tblCellMar>
              </w:tblPrEx>
              <w:trPr>
                <w:trHeight w:val="127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4B357ACF">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2024</w:t>
                  </w:r>
                </w:p>
              </w:tc>
              <w:tc>
                <w:tcPr>
                  <w:tcW w:w="236" w:type="dxa"/>
                  <w:tcBorders>
                    <w:top w:val="nil"/>
                    <w:left w:val="nil"/>
                    <w:bottom w:val="single" w:color="000000" w:sz="4" w:space="0"/>
                    <w:right w:val="single" w:color="000000" w:sz="4" w:space="0"/>
                  </w:tcBorders>
                  <w:shd w:val="clear" w:color="auto" w:fill="auto"/>
                  <w:noWrap/>
                  <w:vAlign w:val="center"/>
                </w:tcPr>
                <w:p w14:paraId="7D21F7F2">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270" w:type="dxa"/>
                  <w:tcBorders>
                    <w:top w:val="nil"/>
                    <w:left w:val="nil"/>
                    <w:bottom w:val="single" w:color="000000" w:sz="4" w:space="0"/>
                    <w:right w:val="single" w:color="000000" w:sz="4" w:space="0"/>
                  </w:tcBorders>
                  <w:shd w:val="clear" w:color="auto" w:fill="auto"/>
                  <w:noWrap/>
                  <w:vAlign w:val="center"/>
                </w:tcPr>
                <w:p w14:paraId="2D76F462">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580" w:type="dxa"/>
                  <w:tcBorders>
                    <w:top w:val="nil"/>
                    <w:left w:val="nil"/>
                    <w:bottom w:val="single" w:color="000000" w:sz="4" w:space="0"/>
                    <w:right w:val="single" w:color="000000" w:sz="4" w:space="0"/>
                  </w:tcBorders>
                  <w:shd w:val="clear" w:color="auto" w:fill="auto"/>
                  <w:vAlign w:val="center"/>
                </w:tcPr>
                <w:p w14:paraId="6B304EC1">
                  <w:pPr>
                    <w:widowControl/>
                    <w:jc w:val="left"/>
                    <w:rPr>
                      <w:rFonts w:ascii="仿宋_GB2312" w:hAnsi="宋体" w:eastAsia="仿宋_GB2312" w:cs="宋体"/>
                      <w:kern w:val="0"/>
                      <w:szCs w:val="21"/>
                    </w:rPr>
                  </w:pPr>
                  <w:r>
                    <w:rPr>
                      <w:rFonts w:hint="eastAsia" w:ascii="仿宋_GB2312" w:hAnsi="宋体" w:eastAsia="仿宋_GB2312" w:cs="宋体"/>
                      <w:kern w:val="0"/>
                      <w:szCs w:val="21"/>
                    </w:rPr>
                    <w:t>记账-0005</w:t>
                  </w:r>
                </w:p>
              </w:tc>
              <w:tc>
                <w:tcPr>
                  <w:tcW w:w="2740" w:type="dxa"/>
                  <w:tcBorders>
                    <w:top w:val="nil"/>
                    <w:left w:val="nil"/>
                    <w:bottom w:val="single" w:color="000000" w:sz="4" w:space="0"/>
                    <w:right w:val="single" w:color="000000" w:sz="4" w:space="0"/>
                  </w:tcBorders>
                  <w:shd w:val="clear" w:color="auto" w:fill="auto"/>
                  <w:vAlign w:val="center"/>
                </w:tcPr>
                <w:p w14:paraId="553E25EB">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县住建局付湖南金阙建筑设计咨询公司县一中藕塘南侧挡墙滑坡抢险工程设计咨询费</w:t>
                  </w:r>
                </w:p>
              </w:tc>
              <w:tc>
                <w:tcPr>
                  <w:tcW w:w="1420" w:type="dxa"/>
                  <w:tcBorders>
                    <w:top w:val="nil"/>
                    <w:left w:val="nil"/>
                    <w:bottom w:val="single" w:color="000000" w:sz="4" w:space="0"/>
                    <w:right w:val="single" w:color="000000" w:sz="4" w:space="0"/>
                  </w:tcBorders>
                  <w:shd w:val="clear" w:color="auto" w:fill="auto"/>
                  <w:noWrap/>
                  <w:vAlign w:val="center"/>
                </w:tcPr>
                <w:p w14:paraId="5D043D2C">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9,800.00</w:t>
                  </w:r>
                </w:p>
              </w:tc>
            </w:tr>
            <w:tr w14:paraId="45606849">
              <w:tblPrEx>
                <w:tblCellMar>
                  <w:top w:w="0" w:type="dxa"/>
                  <w:left w:w="108" w:type="dxa"/>
                  <w:bottom w:w="0" w:type="dxa"/>
                  <w:right w:w="108" w:type="dxa"/>
                </w:tblCellMar>
              </w:tblPrEx>
              <w:trPr>
                <w:trHeight w:val="127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1E6AF56A">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2024</w:t>
                  </w:r>
                </w:p>
              </w:tc>
              <w:tc>
                <w:tcPr>
                  <w:tcW w:w="236" w:type="dxa"/>
                  <w:tcBorders>
                    <w:top w:val="nil"/>
                    <w:left w:val="nil"/>
                    <w:bottom w:val="single" w:color="000000" w:sz="4" w:space="0"/>
                    <w:right w:val="single" w:color="000000" w:sz="4" w:space="0"/>
                  </w:tcBorders>
                  <w:shd w:val="clear" w:color="auto" w:fill="auto"/>
                  <w:noWrap/>
                  <w:vAlign w:val="center"/>
                </w:tcPr>
                <w:p w14:paraId="2E3F4F70">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270" w:type="dxa"/>
                  <w:tcBorders>
                    <w:top w:val="nil"/>
                    <w:left w:val="nil"/>
                    <w:bottom w:val="single" w:color="000000" w:sz="4" w:space="0"/>
                    <w:right w:val="single" w:color="000000" w:sz="4" w:space="0"/>
                  </w:tcBorders>
                  <w:shd w:val="clear" w:color="auto" w:fill="auto"/>
                  <w:noWrap/>
                  <w:vAlign w:val="center"/>
                </w:tcPr>
                <w:p w14:paraId="4405BD85">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580" w:type="dxa"/>
                  <w:tcBorders>
                    <w:top w:val="nil"/>
                    <w:left w:val="nil"/>
                    <w:bottom w:val="single" w:color="000000" w:sz="4" w:space="0"/>
                    <w:right w:val="single" w:color="000000" w:sz="4" w:space="0"/>
                  </w:tcBorders>
                  <w:shd w:val="clear" w:color="auto" w:fill="auto"/>
                  <w:vAlign w:val="center"/>
                </w:tcPr>
                <w:p w14:paraId="5588A96A">
                  <w:pPr>
                    <w:widowControl/>
                    <w:jc w:val="left"/>
                    <w:rPr>
                      <w:rFonts w:ascii="仿宋_GB2312" w:hAnsi="宋体" w:eastAsia="仿宋_GB2312" w:cs="宋体"/>
                      <w:kern w:val="0"/>
                      <w:szCs w:val="21"/>
                    </w:rPr>
                  </w:pPr>
                  <w:r>
                    <w:rPr>
                      <w:rFonts w:hint="eastAsia" w:ascii="仿宋_GB2312" w:hAnsi="宋体" w:eastAsia="仿宋_GB2312" w:cs="宋体"/>
                      <w:kern w:val="0"/>
                      <w:szCs w:val="21"/>
                    </w:rPr>
                    <w:t>记账-0006</w:t>
                  </w:r>
                </w:p>
              </w:tc>
              <w:tc>
                <w:tcPr>
                  <w:tcW w:w="2740" w:type="dxa"/>
                  <w:tcBorders>
                    <w:top w:val="nil"/>
                    <w:left w:val="nil"/>
                    <w:bottom w:val="single" w:color="000000" w:sz="4" w:space="0"/>
                    <w:right w:val="single" w:color="000000" w:sz="4" w:space="0"/>
                  </w:tcBorders>
                  <w:shd w:val="clear" w:color="auto" w:fill="auto"/>
                  <w:vAlign w:val="center"/>
                </w:tcPr>
                <w:p w14:paraId="78702FF7">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县住建局付湖南万通建设集团公司县一中藕塘南侧挡墙滑坡抢险工程工程款</w:t>
                  </w:r>
                </w:p>
              </w:tc>
              <w:tc>
                <w:tcPr>
                  <w:tcW w:w="1420" w:type="dxa"/>
                  <w:tcBorders>
                    <w:top w:val="nil"/>
                    <w:left w:val="nil"/>
                    <w:bottom w:val="single" w:color="000000" w:sz="4" w:space="0"/>
                    <w:right w:val="single" w:color="000000" w:sz="4" w:space="0"/>
                  </w:tcBorders>
                  <w:shd w:val="clear" w:color="auto" w:fill="auto"/>
                  <w:noWrap/>
                  <w:vAlign w:val="center"/>
                </w:tcPr>
                <w:p w14:paraId="4745FCDF">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362,879.00</w:t>
                  </w:r>
                </w:p>
              </w:tc>
            </w:tr>
            <w:tr w14:paraId="47FBFB9B">
              <w:tblPrEx>
                <w:tblCellMar>
                  <w:top w:w="0" w:type="dxa"/>
                  <w:left w:w="108" w:type="dxa"/>
                  <w:bottom w:w="0" w:type="dxa"/>
                  <w:right w:w="108" w:type="dxa"/>
                </w:tblCellMar>
              </w:tblPrEx>
              <w:trPr>
                <w:trHeight w:val="127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712583BB">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2024</w:t>
                  </w:r>
                </w:p>
              </w:tc>
              <w:tc>
                <w:tcPr>
                  <w:tcW w:w="236" w:type="dxa"/>
                  <w:tcBorders>
                    <w:top w:val="nil"/>
                    <w:left w:val="nil"/>
                    <w:bottom w:val="single" w:color="000000" w:sz="4" w:space="0"/>
                    <w:right w:val="single" w:color="000000" w:sz="4" w:space="0"/>
                  </w:tcBorders>
                  <w:shd w:val="clear" w:color="auto" w:fill="auto"/>
                  <w:noWrap/>
                  <w:vAlign w:val="center"/>
                </w:tcPr>
                <w:p w14:paraId="49E6FEDE">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270" w:type="dxa"/>
                  <w:tcBorders>
                    <w:top w:val="nil"/>
                    <w:left w:val="nil"/>
                    <w:bottom w:val="single" w:color="000000" w:sz="4" w:space="0"/>
                    <w:right w:val="single" w:color="000000" w:sz="4" w:space="0"/>
                  </w:tcBorders>
                  <w:shd w:val="clear" w:color="auto" w:fill="auto"/>
                  <w:noWrap/>
                  <w:vAlign w:val="center"/>
                </w:tcPr>
                <w:p w14:paraId="0F5EAC0E">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580" w:type="dxa"/>
                  <w:tcBorders>
                    <w:top w:val="nil"/>
                    <w:left w:val="nil"/>
                    <w:bottom w:val="single" w:color="000000" w:sz="4" w:space="0"/>
                    <w:right w:val="single" w:color="000000" w:sz="4" w:space="0"/>
                  </w:tcBorders>
                  <w:shd w:val="clear" w:color="auto" w:fill="auto"/>
                  <w:vAlign w:val="center"/>
                </w:tcPr>
                <w:p w14:paraId="219108D6">
                  <w:pPr>
                    <w:widowControl/>
                    <w:jc w:val="left"/>
                    <w:rPr>
                      <w:rFonts w:ascii="仿宋_GB2312" w:hAnsi="宋体" w:eastAsia="仿宋_GB2312" w:cs="宋体"/>
                      <w:kern w:val="0"/>
                      <w:szCs w:val="21"/>
                    </w:rPr>
                  </w:pPr>
                  <w:r>
                    <w:rPr>
                      <w:rFonts w:hint="eastAsia" w:ascii="仿宋_GB2312" w:hAnsi="宋体" w:eastAsia="仿宋_GB2312" w:cs="宋体"/>
                      <w:kern w:val="0"/>
                      <w:szCs w:val="21"/>
                    </w:rPr>
                    <w:t>记账-0007</w:t>
                  </w:r>
                </w:p>
              </w:tc>
              <w:tc>
                <w:tcPr>
                  <w:tcW w:w="2740" w:type="dxa"/>
                  <w:tcBorders>
                    <w:top w:val="nil"/>
                    <w:left w:val="nil"/>
                    <w:bottom w:val="single" w:color="000000" w:sz="4" w:space="0"/>
                    <w:right w:val="single" w:color="000000" w:sz="4" w:space="0"/>
                  </w:tcBorders>
                  <w:shd w:val="clear" w:color="auto" w:fill="auto"/>
                  <w:vAlign w:val="center"/>
                </w:tcPr>
                <w:p w14:paraId="20B8B84B">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县住建局付中元天纬测绘公司县一中藕塘南侧挡墙滑坡抢险工程测量费</w:t>
                  </w:r>
                </w:p>
              </w:tc>
              <w:tc>
                <w:tcPr>
                  <w:tcW w:w="1420" w:type="dxa"/>
                  <w:tcBorders>
                    <w:top w:val="nil"/>
                    <w:left w:val="nil"/>
                    <w:bottom w:val="single" w:color="000000" w:sz="4" w:space="0"/>
                    <w:right w:val="single" w:color="000000" w:sz="4" w:space="0"/>
                  </w:tcBorders>
                  <w:shd w:val="clear" w:color="auto" w:fill="auto"/>
                  <w:noWrap/>
                  <w:vAlign w:val="center"/>
                </w:tcPr>
                <w:p w14:paraId="3AB442C5">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18,000.00</w:t>
                  </w:r>
                </w:p>
              </w:tc>
            </w:tr>
            <w:tr w14:paraId="1C33892C">
              <w:tblPrEx>
                <w:tblCellMar>
                  <w:top w:w="0" w:type="dxa"/>
                  <w:left w:w="108" w:type="dxa"/>
                  <w:bottom w:w="0" w:type="dxa"/>
                  <w:right w:w="108" w:type="dxa"/>
                </w:tblCellMar>
              </w:tblPrEx>
              <w:trPr>
                <w:trHeight w:val="127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28944E99">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2024</w:t>
                  </w:r>
                </w:p>
              </w:tc>
              <w:tc>
                <w:tcPr>
                  <w:tcW w:w="236" w:type="dxa"/>
                  <w:tcBorders>
                    <w:top w:val="nil"/>
                    <w:left w:val="nil"/>
                    <w:bottom w:val="single" w:color="000000" w:sz="4" w:space="0"/>
                    <w:right w:val="single" w:color="000000" w:sz="4" w:space="0"/>
                  </w:tcBorders>
                  <w:shd w:val="clear" w:color="auto" w:fill="auto"/>
                  <w:noWrap/>
                  <w:vAlign w:val="center"/>
                </w:tcPr>
                <w:p w14:paraId="47A9A627">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270" w:type="dxa"/>
                  <w:tcBorders>
                    <w:top w:val="nil"/>
                    <w:left w:val="nil"/>
                    <w:bottom w:val="single" w:color="000000" w:sz="4" w:space="0"/>
                    <w:right w:val="single" w:color="000000" w:sz="4" w:space="0"/>
                  </w:tcBorders>
                  <w:shd w:val="clear" w:color="auto" w:fill="auto"/>
                  <w:noWrap/>
                  <w:vAlign w:val="center"/>
                </w:tcPr>
                <w:p w14:paraId="58727803">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580" w:type="dxa"/>
                  <w:tcBorders>
                    <w:top w:val="nil"/>
                    <w:left w:val="nil"/>
                    <w:bottom w:val="single" w:color="000000" w:sz="4" w:space="0"/>
                    <w:right w:val="single" w:color="000000" w:sz="4" w:space="0"/>
                  </w:tcBorders>
                  <w:shd w:val="clear" w:color="auto" w:fill="auto"/>
                  <w:vAlign w:val="center"/>
                </w:tcPr>
                <w:p w14:paraId="5409AB88">
                  <w:pPr>
                    <w:widowControl/>
                    <w:jc w:val="left"/>
                    <w:rPr>
                      <w:rFonts w:ascii="仿宋_GB2312" w:hAnsi="宋体" w:eastAsia="仿宋_GB2312" w:cs="宋体"/>
                      <w:kern w:val="0"/>
                      <w:szCs w:val="21"/>
                    </w:rPr>
                  </w:pPr>
                  <w:r>
                    <w:rPr>
                      <w:rFonts w:hint="eastAsia" w:ascii="仿宋_GB2312" w:hAnsi="宋体" w:eastAsia="仿宋_GB2312" w:cs="宋体"/>
                      <w:kern w:val="0"/>
                      <w:szCs w:val="21"/>
                    </w:rPr>
                    <w:t>记账-0008</w:t>
                  </w:r>
                </w:p>
              </w:tc>
              <w:tc>
                <w:tcPr>
                  <w:tcW w:w="2740" w:type="dxa"/>
                  <w:tcBorders>
                    <w:top w:val="nil"/>
                    <w:left w:val="nil"/>
                    <w:bottom w:val="single" w:color="000000" w:sz="4" w:space="0"/>
                    <w:right w:val="single" w:color="000000" w:sz="4" w:space="0"/>
                  </w:tcBorders>
                  <w:shd w:val="clear" w:color="auto" w:fill="auto"/>
                  <w:vAlign w:val="center"/>
                </w:tcPr>
                <w:p w14:paraId="1B2DC91F">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县住建局付县一中藕塘南侧挡墙滑坡抢险工程造价咨询费</w:t>
                  </w:r>
                </w:p>
              </w:tc>
              <w:tc>
                <w:tcPr>
                  <w:tcW w:w="1420" w:type="dxa"/>
                  <w:tcBorders>
                    <w:top w:val="nil"/>
                    <w:left w:val="nil"/>
                    <w:bottom w:val="single" w:color="000000" w:sz="4" w:space="0"/>
                    <w:right w:val="single" w:color="000000" w:sz="4" w:space="0"/>
                  </w:tcBorders>
                  <w:shd w:val="clear" w:color="auto" w:fill="auto"/>
                  <w:noWrap/>
                  <w:vAlign w:val="center"/>
                </w:tcPr>
                <w:p w14:paraId="0DAB5E90">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2,000.00</w:t>
                  </w:r>
                </w:p>
              </w:tc>
            </w:tr>
            <w:tr w14:paraId="5A75F584">
              <w:tblPrEx>
                <w:tblCellMar>
                  <w:top w:w="0" w:type="dxa"/>
                  <w:left w:w="108" w:type="dxa"/>
                  <w:bottom w:w="0" w:type="dxa"/>
                  <w:right w:w="108" w:type="dxa"/>
                </w:tblCellMar>
              </w:tblPrEx>
              <w:trPr>
                <w:trHeight w:val="705" w:hRule="atLeast"/>
              </w:trPr>
              <w:tc>
                <w:tcPr>
                  <w:tcW w:w="474" w:type="dxa"/>
                  <w:tcBorders>
                    <w:top w:val="nil"/>
                    <w:left w:val="single" w:color="000000" w:sz="4" w:space="0"/>
                    <w:bottom w:val="single" w:color="000000" w:sz="4" w:space="0"/>
                    <w:right w:val="single" w:color="000000" w:sz="4" w:space="0"/>
                  </w:tcBorders>
                  <w:shd w:val="clear" w:color="auto" w:fill="auto"/>
                  <w:noWrap/>
                  <w:vAlign w:val="center"/>
                </w:tcPr>
                <w:p w14:paraId="78CB8787">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36" w:type="dxa"/>
                  <w:tcBorders>
                    <w:top w:val="nil"/>
                    <w:left w:val="nil"/>
                    <w:bottom w:val="single" w:color="000000" w:sz="4" w:space="0"/>
                    <w:right w:val="single" w:color="000000" w:sz="4" w:space="0"/>
                  </w:tcBorders>
                  <w:shd w:val="clear" w:color="auto" w:fill="auto"/>
                  <w:noWrap/>
                  <w:vAlign w:val="center"/>
                </w:tcPr>
                <w:p w14:paraId="7A70D0D3">
                  <w:pPr>
                    <w:widowControl/>
                    <w:jc w:val="left"/>
                    <w:rPr>
                      <w:rFonts w:ascii="仿宋_GB2312" w:hAnsi="宋体" w:eastAsia="仿宋_GB2312" w:cs="宋体"/>
                      <w:kern w:val="0"/>
                      <w:sz w:val="22"/>
                      <w:szCs w:val="22"/>
                    </w:rPr>
                  </w:pPr>
                </w:p>
              </w:tc>
              <w:tc>
                <w:tcPr>
                  <w:tcW w:w="270" w:type="dxa"/>
                  <w:tcBorders>
                    <w:top w:val="nil"/>
                    <w:left w:val="nil"/>
                    <w:bottom w:val="single" w:color="000000" w:sz="4" w:space="0"/>
                    <w:right w:val="single" w:color="000000" w:sz="4" w:space="0"/>
                  </w:tcBorders>
                  <w:shd w:val="clear" w:color="auto" w:fill="auto"/>
                  <w:noWrap/>
                  <w:vAlign w:val="center"/>
                </w:tcPr>
                <w:p w14:paraId="78EB6DDA">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580" w:type="dxa"/>
                  <w:tcBorders>
                    <w:top w:val="nil"/>
                    <w:left w:val="nil"/>
                    <w:bottom w:val="single" w:color="000000" w:sz="4" w:space="0"/>
                    <w:right w:val="single" w:color="000000" w:sz="4" w:space="0"/>
                  </w:tcBorders>
                  <w:shd w:val="clear" w:color="auto" w:fill="auto"/>
                  <w:noWrap/>
                  <w:vAlign w:val="center"/>
                </w:tcPr>
                <w:p w14:paraId="1B352834">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40" w:type="dxa"/>
                  <w:tcBorders>
                    <w:top w:val="nil"/>
                    <w:left w:val="nil"/>
                    <w:bottom w:val="single" w:color="000000" w:sz="4" w:space="0"/>
                    <w:right w:val="single" w:color="000000" w:sz="4" w:space="0"/>
                  </w:tcBorders>
                  <w:shd w:val="clear" w:color="auto" w:fill="auto"/>
                  <w:vAlign w:val="center"/>
                </w:tcPr>
                <w:p w14:paraId="7C9263A6">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420" w:type="dxa"/>
                  <w:tcBorders>
                    <w:top w:val="nil"/>
                    <w:left w:val="nil"/>
                    <w:bottom w:val="single" w:color="000000" w:sz="4" w:space="0"/>
                    <w:right w:val="single" w:color="000000" w:sz="4" w:space="0"/>
                  </w:tcBorders>
                  <w:shd w:val="clear" w:color="auto" w:fill="auto"/>
                  <w:noWrap/>
                  <w:vAlign w:val="center"/>
                </w:tcPr>
                <w:p w14:paraId="2DCD5CE3">
                  <w:pPr>
                    <w:widowControl/>
                    <w:jc w:val="righ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404,679.00</w:t>
                  </w:r>
                </w:p>
              </w:tc>
            </w:tr>
          </w:tbl>
          <w:p w14:paraId="7CFA3293">
            <w:pPr>
              <w:pStyle w:val="2"/>
            </w:pPr>
          </w:p>
          <w:p w14:paraId="1FB97AE6">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3、资金管理情况</w:t>
            </w:r>
          </w:p>
          <w:p w14:paraId="7F8A021A">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在项目资金管理和使用上，严格按照《湘潭县财政专项资金管理暂行办法》、《湘潭县住房和城乡建设局财务管理制度》的规定，严格按预算执行，项目资金专款专用、专项核算制度，由计划财务股进行资金监管，做到了支出合法、合规，无虚列、截留、超标准、超预算支出情况；</w:t>
            </w:r>
          </w:p>
        </w:tc>
      </w:tr>
      <w:tr w14:paraId="6814A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tcPr>
          <w:p w14:paraId="21AEA2C2">
            <w:pPr>
              <w:spacing w:line="576" w:lineRule="exact"/>
              <w:jc w:val="center"/>
              <w:rPr>
                <w:rFonts w:ascii="仿宋_GB2312" w:hAnsi="宋体" w:eastAsia="仿宋_GB2312" w:cs="宋体"/>
                <w:szCs w:val="32"/>
              </w:rPr>
            </w:pPr>
          </w:p>
        </w:tc>
        <w:tc>
          <w:tcPr>
            <w:tcW w:w="1985" w:type="dxa"/>
            <w:vAlign w:val="center"/>
          </w:tcPr>
          <w:p w14:paraId="057E6199">
            <w:pPr>
              <w:spacing w:line="576" w:lineRule="exact"/>
              <w:jc w:val="center"/>
              <w:rPr>
                <w:rFonts w:ascii="仿宋_GB2312" w:hAnsi="宋体" w:eastAsia="仿宋_GB2312" w:cs="宋体"/>
                <w:szCs w:val="32"/>
              </w:rPr>
            </w:pPr>
            <w:r>
              <w:rPr>
                <w:rFonts w:hint="eastAsia" w:ascii="仿宋_GB2312" w:hAnsi="宋体" w:eastAsia="仿宋_GB2312" w:cs="宋体"/>
                <w:szCs w:val="32"/>
              </w:rPr>
              <w:t>项目绩效目标完成情况</w:t>
            </w:r>
          </w:p>
        </w:tc>
        <w:tc>
          <w:tcPr>
            <w:tcW w:w="5912" w:type="dxa"/>
            <w:vAlign w:val="center"/>
          </w:tcPr>
          <w:p w14:paraId="04A481EA">
            <w:pPr>
              <w:spacing w:line="360" w:lineRule="auto"/>
              <w:ind w:firstLine="420" w:firstLineChars="200"/>
              <w:rPr>
                <w:rFonts w:ascii="仿宋_GB2312" w:hAnsi="宋体" w:eastAsia="仿宋_GB2312"/>
              </w:rPr>
            </w:pPr>
            <w:r>
              <w:rPr>
                <w:rFonts w:hint="eastAsia" w:ascii="仿宋_GB2312" w:hAnsi="宋体" w:eastAsia="仿宋_GB2312"/>
              </w:rPr>
              <w:t>接到该抢险任务后，县住建局立即组织专家进行现场查勘，并请设计单位和专家出具了应急处理方案，由湖南万通建设集团有限公司具体实施，组织施工人员和机械设备清理场地，对挡土墙上部实施截水措施。根据应急处理方案，采取砂包反压的措施确保险情不再扩大，应急处置挡墙安全，至6月30日下午，挡墙垮塌处已采用砂包封堵，开裂、鼓包现象的地方均采取砂包反压的措施进行处理。经专家组现场调查踏勘，认为抢险措施可行有效，可临时保证挡墙安全。同时专家组提出了“抢险措施进一步意见”，根据该意见，抢险工作人员进行了现场围护、进行了现场围护、警示、巡查监测、完善反压砂包堆砌坡度和增加高度等工作。至7月4日下午。该抢险工程已全面完工，后期，我局已委托第三方监测机构，对挡墙上部建筑(贵竹安置区14栋) 和挡墙进行为期一个月沉降监测和位移监测，及时防范风险。</w:t>
            </w:r>
          </w:p>
          <w:p w14:paraId="77FD9823">
            <w:pPr>
              <w:rPr>
                <w:rFonts w:ascii="仿宋_GB2312" w:hAnsi="宋体" w:eastAsia="仿宋_GB2312" w:cs="宋体"/>
                <w:szCs w:val="32"/>
              </w:rPr>
            </w:pPr>
          </w:p>
        </w:tc>
      </w:tr>
      <w:tr w14:paraId="670B7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67" w:type="dxa"/>
            <w:vMerge w:val="restart"/>
            <w:vAlign w:val="center"/>
          </w:tcPr>
          <w:p w14:paraId="126EA437">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vAlign w:val="center"/>
          </w:tcPr>
          <w:p w14:paraId="0D663D5C">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w:t>
            </w:r>
          </w:p>
        </w:tc>
        <w:tc>
          <w:tcPr>
            <w:tcW w:w="5912" w:type="dxa"/>
            <w:vAlign w:val="center"/>
          </w:tcPr>
          <w:p w14:paraId="5010E844">
            <w:pPr>
              <w:spacing w:line="576" w:lineRule="exact"/>
              <w:ind w:firstLine="2310" w:firstLineChars="1100"/>
              <w:rPr>
                <w:rFonts w:ascii="仿宋_GB2312" w:hAnsi="宋体" w:eastAsia="仿宋_GB2312" w:cs="宋体"/>
                <w:szCs w:val="32"/>
              </w:rPr>
            </w:pPr>
            <w:r>
              <w:rPr>
                <w:rFonts w:hint="eastAsia" w:ascii="仿宋_GB2312" w:hAnsi="宋体" w:eastAsia="仿宋_GB2312" w:cs="宋体"/>
                <w:szCs w:val="32"/>
              </w:rPr>
              <w:t>无</w:t>
            </w:r>
          </w:p>
        </w:tc>
      </w:tr>
      <w:tr w14:paraId="2F919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tcPr>
          <w:p w14:paraId="29D94CE2">
            <w:pPr>
              <w:spacing w:line="576" w:lineRule="exact"/>
              <w:jc w:val="center"/>
              <w:rPr>
                <w:rFonts w:ascii="仿宋_GB2312" w:hAnsi="宋体" w:eastAsia="仿宋_GB2312" w:cs="宋体"/>
                <w:szCs w:val="32"/>
              </w:rPr>
            </w:pPr>
          </w:p>
        </w:tc>
        <w:tc>
          <w:tcPr>
            <w:tcW w:w="1985" w:type="dxa"/>
            <w:vAlign w:val="center"/>
          </w:tcPr>
          <w:p w14:paraId="74180F1F">
            <w:pPr>
              <w:spacing w:line="576" w:lineRule="exact"/>
              <w:jc w:val="center"/>
              <w:rPr>
                <w:rFonts w:ascii="仿宋_GB2312" w:hAnsi="宋体" w:eastAsia="仿宋_GB2312" w:cs="宋体"/>
                <w:szCs w:val="32"/>
              </w:rPr>
            </w:pPr>
            <w:r>
              <w:rPr>
                <w:rFonts w:hint="eastAsia" w:ascii="仿宋_GB2312" w:hAnsi="宋体" w:eastAsia="仿宋_GB2312" w:cs="宋体"/>
                <w:szCs w:val="32"/>
              </w:rPr>
              <w:t>改进措施</w:t>
            </w:r>
          </w:p>
        </w:tc>
        <w:tc>
          <w:tcPr>
            <w:tcW w:w="5912" w:type="dxa"/>
            <w:vAlign w:val="center"/>
          </w:tcPr>
          <w:p w14:paraId="60F77287">
            <w:pPr>
              <w:spacing w:line="576" w:lineRule="exact"/>
              <w:ind w:firstLine="2310" w:firstLineChars="1100"/>
              <w:rPr>
                <w:rFonts w:ascii="仿宋_GB2312" w:hAnsi="宋体" w:eastAsia="仿宋_GB2312" w:cs="宋体"/>
                <w:szCs w:val="32"/>
              </w:rPr>
            </w:pPr>
            <w:r>
              <w:rPr>
                <w:rFonts w:hint="eastAsia" w:ascii="仿宋_GB2312" w:hAnsi="宋体" w:eastAsia="仿宋_GB2312" w:cs="宋体"/>
                <w:szCs w:val="32"/>
              </w:rPr>
              <w:t>无</w:t>
            </w:r>
          </w:p>
        </w:tc>
      </w:tr>
      <w:tr w14:paraId="5C07E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tcPr>
          <w:p w14:paraId="4F7B5D38">
            <w:pPr>
              <w:spacing w:line="576" w:lineRule="exact"/>
              <w:jc w:val="center"/>
              <w:rPr>
                <w:rFonts w:ascii="仿宋_GB2312" w:hAnsi="宋体" w:eastAsia="仿宋_GB2312" w:cs="宋体"/>
                <w:szCs w:val="32"/>
              </w:rPr>
            </w:pPr>
          </w:p>
        </w:tc>
        <w:tc>
          <w:tcPr>
            <w:tcW w:w="1985" w:type="dxa"/>
            <w:vAlign w:val="center"/>
          </w:tcPr>
          <w:p w14:paraId="645504C9">
            <w:pPr>
              <w:spacing w:line="576" w:lineRule="exact"/>
              <w:jc w:val="center"/>
              <w:rPr>
                <w:rFonts w:ascii="仿宋_GB2312" w:hAnsi="宋体" w:eastAsia="仿宋_GB2312" w:cs="宋体"/>
                <w:szCs w:val="32"/>
              </w:rPr>
            </w:pPr>
            <w:r>
              <w:rPr>
                <w:rFonts w:hint="eastAsia" w:ascii="仿宋_GB2312" w:hAnsi="宋体" w:eastAsia="仿宋_GB2312" w:cs="宋体"/>
                <w:szCs w:val="32"/>
              </w:rPr>
              <w:t>其他需要说明问题</w:t>
            </w:r>
          </w:p>
        </w:tc>
        <w:tc>
          <w:tcPr>
            <w:tcW w:w="5912" w:type="dxa"/>
            <w:vAlign w:val="center"/>
          </w:tcPr>
          <w:p w14:paraId="0EA43296">
            <w:pPr>
              <w:spacing w:line="576" w:lineRule="exact"/>
              <w:ind w:right="880" w:rightChars="419"/>
              <w:jc w:val="center"/>
              <w:rPr>
                <w:rFonts w:ascii="仿宋_GB2312" w:hAnsi="宋体" w:eastAsia="仿宋_GB2312" w:cs="宋体"/>
                <w:szCs w:val="32"/>
              </w:rPr>
            </w:pPr>
            <w:bookmarkStart w:id="0" w:name="_GoBack"/>
            <w:bookmarkEnd w:id="0"/>
            <w:r>
              <w:rPr>
                <w:rFonts w:hint="eastAsia" w:ascii="仿宋_GB2312" w:hAnsi="宋体" w:eastAsia="仿宋_GB2312" w:cs="宋体"/>
                <w:szCs w:val="32"/>
              </w:rPr>
              <w:t>无</w:t>
            </w:r>
          </w:p>
        </w:tc>
      </w:tr>
    </w:tbl>
    <w:p w14:paraId="1782D9F1">
      <w:pPr>
        <w:snapToGrid w:val="0"/>
        <w:spacing w:line="540" w:lineRule="exact"/>
        <w:rPr>
          <w:rFonts w:ascii="仿宋_GB2312" w:hAnsi="宋体" w:eastAsia="仿宋_GB2312" w:cs="宋体"/>
          <w:kern w:val="0"/>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欔߸卆䵇豔ऎ뀀Å剦ଳÅ殤߸卆䵇貸ऎ뀀Å剦ଳÅ水߸卆䵇讜ऎ뀀Å剦ଳÅ泄߸卆䵇謀ऎ뀀Å剦ଳÅ剦ଳÅ浔߸&amp;֪૝⌮⾷ǹ倀׍ࠐက䀀＀＀Ʃ⁸؅"/>
  </w:docVars>
  <w:rsids>
    <w:rsidRoot w:val="00CA3E94"/>
    <w:rsid w:val="00002856"/>
    <w:rsid w:val="000212DA"/>
    <w:rsid w:val="000E0013"/>
    <w:rsid w:val="000E2F4B"/>
    <w:rsid w:val="000E4C9E"/>
    <w:rsid w:val="00150B0D"/>
    <w:rsid w:val="0019364D"/>
    <w:rsid w:val="0022282C"/>
    <w:rsid w:val="002E5623"/>
    <w:rsid w:val="0030020D"/>
    <w:rsid w:val="00324AFA"/>
    <w:rsid w:val="00327676"/>
    <w:rsid w:val="00356A35"/>
    <w:rsid w:val="003E602D"/>
    <w:rsid w:val="00495D08"/>
    <w:rsid w:val="004E4640"/>
    <w:rsid w:val="00524B0E"/>
    <w:rsid w:val="00592B25"/>
    <w:rsid w:val="006315A7"/>
    <w:rsid w:val="00654625"/>
    <w:rsid w:val="00673601"/>
    <w:rsid w:val="00775052"/>
    <w:rsid w:val="007C0F62"/>
    <w:rsid w:val="00847EFC"/>
    <w:rsid w:val="00857157"/>
    <w:rsid w:val="00885151"/>
    <w:rsid w:val="008C0B59"/>
    <w:rsid w:val="008D49C7"/>
    <w:rsid w:val="00925CB2"/>
    <w:rsid w:val="00985C2A"/>
    <w:rsid w:val="009A317B"/>
    <w:rsid w:val="00AD5267"/>
    <w:rsid w:val="00AF7718"/>
    <w:rsid w:val="00B84B90"/>
    <w:rsid w:val="00BE0A61"/>
    <w:rsid w:val="00C30F9E"/>
    <w:rsid w:val="00C34BDB"/>
    <w:rsid w:val="00CA3E94"/>
    <w:rsid w:val="00D933D5"/>
    <w:rsid w:val="00DE75D5"/>
    <w:rsid w:val="00EC35AA"/>
    <w:rsid w:val="00F21D7A"/>
    <w:rsid w:val="00F713F6"/>
    <w:rsid w:val="00FA7B3A"/>
    <w:rsid w:val="00FB2034"/>
    <w:rsid w:val="00FD35DF"/>
    <w:rsid w:val="23C260F1"/>
    <w:rsid w:val="40390FC9"/>
    <w:rsid w:val="5F7539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Times New Roman" w:hAnsi="Times New Roman" w:eastAsia="宋体" w:cs="Times New Roman"/>
      <w:sz w:val="18"/>
      <w:szCs w:val="18"/>
    </w:rPr>
  </w:style>
  <w:style w:type="character" w:customStyle="1" w:styleId="7">
    <w:name w:val="页眉 字符"/>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1113</Words>
  <Characters>1237</Characters>
  <Lines>9</Lines>
  <Paragraphs>2</Paragraphs>
  <TotalTime>191</TotalTime>
  <ScaleCrop>false</ScaleCrop>
  <LinksUpToDate>false</LinksUpToDate>
  <CharactersWithSpaces>1244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2023-04-28T08:19:00Z</dcterms:created>
  <dc:creator>微软用户</dc:creator>
  <cp:lastModifiedBy>lenovo</cp:lastModifiedBy>
  <dcterms:modified xsi:type="dcterms:W3CDTF">2025-06-30T03:54:07Z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29A0BD66825449C7B833F5A2DFE12E7B_12</vt:lpwstr>
  </property>
  <property fmtid="{D5CDD505-2E9C-101B-9397-08002B2CF9AE}" pid="4" name="KSOTemplateDocerSaveRecord">
    <vt:lpwstr>eyJoZGlkIjoiM2UxYTVjYjg0YjNiZWEwY2MwY2E3YTQ5ZjgwNzc4M2IifQ==</vt:lpwstr>
  </property>
</Properties>
</file>