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2FA4D0">
      <w:pPr>
        <w:widowControl/>
        <w:spacing w:line="576" w:lineRule="exact"/>
        <w:jc w:val="center"/>
        <w:rPr>
          <w:rFonts w:ascii="宋体" w:hAnsi="宋体" w:cs="仿宋_GB2312"/>
          <w:b/>
          <w:bCs/>
          <w:color w:val="000000"/>
          <w:kern w:val="0"/>
          <w:sz w:val="36"/>
          <w:szCs w:val="36"/>
        </w:rPr>
      </w:pPr>
      <w:r>
        <w:rPr>
          <w:rFonts w:hint="eastAsia" w:ascii="宋体" w:hAnsi="宋体" w:cs="仿宋_GB2312"/>
          <w:b/>
          <w:bCs/>
          <w:color w:val="000000"/>
          <w:kern w:val="0"/>
          <w:sz w:val="36"/>
          <w:szCs w:val="36"/>
        </w:rPr>
        <w:t>2024年度湘潭</w:t>
      </w:r>
      <w:r>
        <w:rPr>
          <w:rFonts w:ascii="宋体" w:hAnsi="宋体" w:cs="仿宋_GB2312"/>
          <w:b/>
          <w:bCs/>
          <w:color w:val="000000"/>
          <w:kern w:val="0"/>
          <w:sz w:val="36"/>
          <w:szCs w:val="36"/>
        </w:rPr>
        <w:t>县</w:t>
      </w:r>
      <w:r>
        <w:rPr>
          <w:rFonts w:hint="eastAsia" w:ascii="宋体" w:hAnsi="宋体" w:cs="仿宋_GB2312"/>
          <w:b/>
          <w:bCs/>
          <w:color w:val="000000"/>
          <w:kern w:val="0"/>
          <w:sz w:val="36"/>
          <w:szCs w:val="36"/>
        </w:rPr>
        <w:t>农村危房改造项目</w:t>
      </w:r>
    </w:p>
    <w:p w14:paraId="2BD04795">
      <w:pPr>
        <w:widowControl/>
        <w:spacing w:line="576" w:lineRule="exact"/>
        <w:jc w:val="center"/>
        <w:rPr>
          <w:rFonts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支出绩效评价报告</w:t>
      </w:r>
    </w:p>
    <w:tbl>
      <w:tblPr>
        <w:tblStyle w:val="4"/>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14:paraId="6DD37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vAlign w:val="center"/>
          </w:tcPr>
          <w:p w14:paraId="4F2F391E">
            <w:pPr>
              <w:spacing w:line="576" w:lineRule="exact"/>
              <w:jc w:val="center"/>
              <w:rPr>
                <w:rFonts w:ascii="仿宋_GB2312" w:hAnsi="宋体" w:eastAsia="仿宋_GB2312" w:cs="宋体"/>
                <w:szCs w:val="32"/>
              </w:rPr>
            </w:pPr>
            <w:r>
              <w:rPr>
                <w:rFonts w:hint="eastAsia" w:ascii="仿宋_GB2312" w:hAnsi="宋体" w:eastAsia="仿宋_GB2312" w:cs="宋体"/>
                <w:szCs w:val="32"/>
              </w:rPr>
              <w:t>部门概况</w:t>
            </w:r>
          </w:p>
        </w:tc>
        <w:tc>
          <w:tcPr>
            <w:tcW w:w="1985" w:type="dxa"/>
            <w:vAlign w:val="center"/>
          </w:tcPr>
          <w:p w14:paraId="5F6C8533">
            <w:pPr>
              <w:spacing w:line="576" w:lineRule="exact"/>
              <w:jc w:val="center"/>
              <w:rPr>
                <w:rFonts w:ascii="仿宋_GB2312" w:hAnsi="宋体" w:eastAsia="仿宋_GB2312" w:cs="宋体"/>
                <w:szCs w:val="32"/>
              </w:rPr>
            </w:pPr>
            <w:r>
              <w:rPr>
                <w:rFonts w:hint="eastAsia" w:ascii="仿宋_GB2312" w:hAnsi="宋体" w:eastAsia="仿宋_GB2312" w:cs="宋体"/>
                <w:szCs w:val="32"/>
              </w:rPr>
              <w:t>专项名称</w:t>
            </w:r>
          </w:p>
        </w:tc>
        <w:tc>
          <w:tcPr>
            <w:tcW w:w="5670" w:type="dxa"/>
            <w:vAlign w:val="center"/>
          </w:tcPr>
          <w:p w14:paraId="2686C2AB">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2024年度湘潭县农村危房改造</w:t>
            </w:r>
          </w:p>
        </w:tc>
      </w:tr>
      <w:tr w14:paraId="282FC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14:paraId="08555C53">
            <w:pPr>
              <w:spacing w:line="576" w:lineRule="exact"/>
              <w:jc w:val="center"/>
              <w:rPr>
                <w:rFonts w:ascii="仿宋_GB2312" w:hAnsi="宋体" w:eastAsia="仿宋_GB2312" w:cs="宋体"/>
                <w:szCs w:val="32"/>
              </w:rPr>
            </w:pPr>
          </w:p>
        </w:tc>
        <w:tc>
          <w:tcPr>
            <w:tcW w:w="1985" w:type="dxa"/>
            <w:vAlign w:val="center"/>
          </w:tcPr>
          <w:p w14:paraId="260C821E">
            <w:pPr>
              <w:spacing w:line="576" w:lineRule="exact"/>
              <w:jc w:val="center"/>
              <w:rPr>
                <w:rFonts w:ascii="仿宋_GB2312" w:hAnsi="宋体" w:eastAsia="仿宋_GB2312" w:cs="宋体"/>
                <w:szCs w:val="32"/>
              </w:rPr>
            </w:pPr>
            <w:r>
              <w:rPr>
                <w:rFonts w:hint="eastAsia" w:ascii="仿宋_GB2312" w:hAnsi="宋体" w:eastAsia="仿宋_GB2312" w:cs="宋体"/>
                <w:szCs w:val="32"/>
              </w:rPr>
              <w:t>年度预算金额</w:t>
            </w:r>
          </w:p>
        </w:tc>
        <w:tc>
          <w:tcPr>
            <w:tcW w:w="5670" w:type="dxa"/>
            <w:vAlign w:val="center"/>
          </w:tcPr>
          <w:p w14:paraId="7E150DBF">
            <w:pPr>
              <w:spacing w:line="576" w:lineRule="exact"/>
              <w:ind w:right="880" w:rightChars="419"/>
              <w:jc w:val="center"/>
              <w:rPr>
                <w:rFonts w:ascii="仿宋_GB2312" w:hAnsi="宋体" w:eastAsia="仿宋_GB2312" w:cs="宋体"/>
                <w:szCs w:val="32"/>
              </w:rPr>
            </w:pPr>
            <w:r>
              <w:rPr>
                <w:rFonts w:ascii="仿宋_GB2312" w:hAnsi="宋体" w:eastAsia="仿宋_GB2312" w:cs="宋体"/>
                <w:szCs w:val="32"/>
              </w:rPr>
              <w:t>238</w:t>
            </w:r>
            <w:r>
              <w:rPr>
                <w:rFonts w:hint="eastAsia" w:ascii="仿宋_GB2312" w:hAnsi="宋体" w:eastAsia="仿宋_GB2312" w:cs="宋体"/>
                <w:szCs w:val="32"/>
              </w:rPr>
              <w:t>万</w:t>
            </w:r>
            <w:r>
              <w:rPr>
                <w:rFonts w:ascii="仿宋_GB2312" w:hAnsi="宋体" w:eastAsia="仿宋_GB2312" w:cs="宋体"/>
                <w:szCs w:val="32"/>
              </w:rPr>
              <w:t>元</w:t>
            </w:r>
          </w:p>
        </w:tc>
      </w:tr>
      <w:tr w14:paraId="1C767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14:paraId="2601FC13">
            <w:pPr>
              <w:spacing w:line="576" w:lineRule="exact"/>
              <w:jc w:val="center"/>
              <w:rPr>
                <w:rFonts w:ascii="仿宋_GB2312" w:hAnsi="宋体" w:eastAsia="仿宋_GB2312" w:cs="宋体"/>
                <w:szCs w:val="32"/>
              </w:rPr>
            </w:pPr>
          </w:p>
        </w:tc>
        <w:tc>
          <w:tcPr>
            <w:tcW w:w="1985" w:type="dxa"/>
            <w:vAlign w:val="center"/>
          </w:tcPr>
          <w:p w14:paraId="0F9D6464">
            <w:pPr>
              <w:spacing w:line="576" w:lineRule="exact"/>
              <w:jc w:val="center"/>
              <w:rPr>
                <w:rFonts w:ascii="仿宋_GB2312" w:hAnsi="宋体" w:eastAsia="仿宋_GB2312" w:cs="宋体"/>
                <w:szCs w:val="32"/>
              </w:rPr>
            </w:pPr>
            <w:r>
              <w:rPr>
                <w:rFonts w:hint="eastAsia" w:ascii="仿宋_GB2312" w:hAnsi="宋体" w:eastAsia="仿宋_GB2312" w:cs="宋体"/>
                <w:szCs w:val="32"/>
              </w:rPr>
              <w:t>项目主管部门</w:t>
            </w:r>
          </w:p>
        </w:tc>
        <w:tc>
          <w:tcPr>
            <w:tcW w:w="5670" w:type="dxa"/>
            <w:vAlign w:val="center"/>
          </w:tcPr>
          <w:p w14:paraId="0FE2E77D">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湘潭县住房和城乡建设局</w:t>
            </w:r>
          </w:p>
        </w:tc>
      </w:tr>
      <w:tr w14:paraId="4C2A7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tcPr>
          <w:p w14:paraId="76A813B5">
            <w:pPr>
              <w:spacing w:line="576" w:lineRule="exact"/>
              <w:jc w:val="center"/>
              <w:rPr>
                <w:rFonts w:ascii="仿宋_GB2312" w:hAnsi="宋体" w:eastAsia="仿宋_GB2312" w:cs="宋体"/>
                <w:szCs w:val="32"/>
              </w:rPr>
            </w:pPr>
          </w:p>
        </w:tc>
        <w:tc>
          <w:tcPr>
            <w:tcW w:w="1985" w:type="dxa"/>
            <w:vAlign w:val="center"/>
          </w:tcPr>
          <w:p w14:paraId="111F8D02">
            <w:pPr>
              <w:spacing w:line="576" w:lineRule="exact"/>
              <w:jc w:val="center"/>
              <w:rPr>
                <w:rFonts w:ascii="仿宋_GB2312" w:hAnsi="宋体" w:eastAsia="仿宋_GB2312" w:cs="宋体"/>
                <w:szCs w:val="32"/>
              </w:rPr>
            </w:pPr>
            <w:r>
              <w:rPr>
                <w:rFonts w:hint="eastAsia" w:ascii="仿宋_GB2312" w:hAnsi="宋体" w:eastAsia="仿宋_GB2312" w:cs="宋体"/>
                <w:szCs w:val="32"/>
              </w:rPr>
              <w:t>项目立项目的</w:t>
            </w:r>
          </w:p>
        </w:tc>
        <w:tc>
          <w:tcPr>
            <w:tcW w:w="5670" w:type="dxa"/>
            <w:vAlign w:val="center"/>
          </w:tcPr>
          <w:p w14:paraId="29EF96FF">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为了贯彻落实《中共中央国务院关于实现巩固拓展脱贫攻坚成果同乡村振兴有效衔接的意见》精神，继续实施农村农村危房改造和地震高烈度设防地区农房搞震改造，逐步建立农村低收入人口住房安全保障长效机制，本项目2024年度资金计划投入为</w:t>
            </w:r>
            <w:r>
              <w:rPr>
                <w:rFonts w:ascii="仿宋_GB2312" w:hAnsi="宋体" w:eastAsia="仿宋_GB2312" w:cs="宋体"/>
                <w:szCs w:val="32"/>
              </w:rPr>
              <w:t>238</w:t>
            </w:r>
            <w:r>
              <w:rPr>
                <w:rFonts w:hint="eastAsia" w:ascii="仿宋_GB2312" w:hAnsi="宋体" w:eastAsia="仿宋_GB2312" w:cs="宋体"/>
                <w:szCs w:val="32"/>
              </w:rPr>
              <w:t>万元（本级农村危房改造专项配套资金</w:t>
            </w:r>
            <w:r>
              <w:rPr>
                <w:rFonts w:ascii="仿宋_GB2312" w:hAnsi="宋体" w:eastAsia="仿宋_GB2312" w:cs="宋体"/>
                <w:szCs w:val="32"/>
              </w:rPr>
              <w:t>5</w:t>
            </w:r>
            <w:r>
              <w:rPr>
                <w:rFonts w:hint="eastAsia" w:ascii="仿宋_GB2312" w:hAnsi="宋体" w:eastAsia="仿宋_GB2312" w:cs="宋体"/>
                <w:szCs w:val="32"/>
              </w:rPr>
              <w:t>万元，上级补助拨款</w:t>
            </w:r>
            <w:r>
              <w:rPr>
                <w:rFonts w:ascii="仿宋_GB2312" w:hAnsi="宋体" w:eastAsia="仿宋_GB2312" w:cs="宋体"/>
                <w:szCs w:val="32"/>
              </w:rPr>
              <w:t>233</w:t>
            </w:r>
            <w:r>
              <w:rPr>
                <w:rFonts w:hint="eastAsia" w:ascii="仿宋_GB2312" w:hAnsi="宋体" w:eastAsia="仿宋_GB2312" w:cs="宋体"/>
                <w:szCs w:val="32"/>
              </w:rPr>
              <w:t>万元），本专项资金全部用于全县2024年应改尽改户（115户）农村危房改造。</w:t>
            </w:r>
          </w:p>
        </w:tc>
      </w:tr>
      <w:tr w14:paraId="4AE0C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vAlign w:val="center"/>
          </w:tcPr>
          <w:p w14:paraId="73A5235B">
            <w:pPr>
              <w:spacing w:line="576" w:lineRule="exact"/>
              <w:jc w:val="center"/>
              <w:rPr>
                <w:rFonts w:ascii="仿宋_GB2312" w:hAnsi="宋体" w:eastAsia="仿宋_GB2312" w:cs="宋体"/>
                <w:szCs w:val="32"/>
              </w:rPr>
            </w:pPr>
            <w:r>
              <w:rPr>
                <w:rFonts w:hint="eastAsia" w:ascii="仿宋_GB2312" w:hAnsi="宋体" w:eastAsia="仿宋_GB2312" w:cs="宋体"/>
                <w:szCs w:val="32"/>
              </w:rPr>
              <w:t>绩效情况</w:t>
            </w:r>
          </w:p>
        </w:tc>
        <w:tc>
          <w:tcPr>
            <w:tcW w:w="1985" w:type="dxa"/>
            <w:vAlign w:val="center"/>
          </w:tcPr>
          <w:p w14:paraId="641AEA87">
            <w:pPr>
              <w:spacing w:line="576" w:lineRule="exact"/>
              <w:jc w:val="center"/>
              <w:rPr>
                <w:rFonts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vAlign w:val="center"/>
          </w:tcPr>
          <w:p w14:paraId="599ED0A2">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1、资金到位情况</w:t>
            </w:r>
          </w:p>
          <w:p w14:paraId="22D415BE">
            <w:pPr>
              <w:spacing w:before="194" w:line="480" w:lineRule="auto"/>
              <w:ind w:left="90" w:leftChars="43" w:firstLine="420" w:firstLineChars="200"/>
              <w:outlineLvl w:val="0"/>
              <w:rPr>
                <w:rFonts w:ascii="仿宋_GB2312" w:hAnsi="宋体" w:eastAsia="仿宋_GB2312" w:cs="宋体"/>
                <w:szCs w:val="32"/>
              </w:rPr>
            </w:pPr>
            <w:r>
              <w:rPr>
                <w:rFonts w:ascii="仿宋_GB2312" w:hAnsi="宋体" w:eastAsia="仿宋_GB2312" w:cs="宋体"/>
                <w:szCs w:val="32"/>
              </w:rPr>
              <w:t>2024年</w:t>
            </w:r>
            <w:r>
              <w:rPr>
                <w:rFonts w:hint="eastAsia" w:ascii="仿宋_GB2312" w:hAnsi="宋体" w:eastAsia="仿宋_GB2312" w:cs="宋体"/>
                <w:szCs w:val="32"/>
              </w:rPr>
              <w:t>度中央</w:t>
            </w:r>
            <w:r>
              <w:rPr>
                <w:rFonts w:ascii="仿宋_GB2312" w:hAnsi="宋体" w:eastAsia="仿宋_GB2312" w:cs="宋体"/>
                <w:szCs w:val="32"/>
              </w:rPr>
              <w:t>下达我县</w:t>
            </w:r>
            <w:r>
              <w:rPr>
                <w:rFonts w:hint="eastAsia" w:ascii="仿宋_GB2312" w:hAnsi="宋体" w:eastAsia="仿宋_GB2312" w:cs="宋体"/>
                <w:szCs w:val="32"/>
              </w:rPr>
              <w:t>农村危房改造</w:t>
            </w:r>
            <w:r>
              <w:rPr>
                <w:rFonts w:ascii="仿宋_GB2312" w:hAnsi="宋体" w:eastAsia="仿宋_GB2312" w:cs="宋体"/>
                <w:szCs w:val="32"/>
              </w:rPr>
              <w:t>补助资金</w:t>
            </w:r>
            <w:r>
              <w:rPr>
                <w:rFonts w:hint="eastAsia" w:ascii="仿宋_GB2312" w:hAnsi="宋体" w:eastAsia="仿宋_GB2312" w:cs="宋体"/>
                <w:szCs w:val="32"/>
              </w:rPr>
              <w:t>44</w:t>
            </w:r>
            <w:r>
              <w:rPr>
                <w:rFonts w:ascii="仿宋_GB2312" w:hAnsi="宋体" w:eastAsia="仿宋_GB2312" w:cs="宋体"/>
                <w:szCs w:val="32"/>
              </w:rPr>
              <w:t>万元</w:t>
            </w:r>
            <w:r>
              <w:rPr>
                <w:rFonts w:hint="eastAsia" w:ascii="仿宋_GB2312" w:hAnsi="宋体" w:eastAsia="仿宋_GB2312" w:cs="宋体"/>
                <w:szCs w:val="32"/>
              </w:rPr>
              <w:t>，县级配套资金5万元，资金到位率20.59%。本年实际发放农村危房改造补助资金64.6万元，执行率</w:t>
            </w:r>
            <w:r>
              <w:rPr>
                <w:rFonts w:ascii="仿宋_GB2312" w:hAnsi="宋体" w:eastAsia="仿宋_GB2312" w:cs="宋体"/>
                <w:szCs w:val="32"/>
              </w:rPr>
              <w:t>131.84</w:t>
            </w:r>
            <w:r>
              <w:rPr>
                <w:rFonts w:hint="eastAsia" w:ascii="仿宋_GB2312" w:hAnsi="宋体" w:eastAsia="仿宋_GB2312" w:cs="宋体"/>
                <w:szCs w:val="32"/>
              </w:rPr>
              <w:t>%。</w:t>
            </w:r>
          </w:p>
          <w:p w14:paraId="217EEEFD">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2、资金使用情况</w:t>
            </w:r>
          </w:p>
          <w:p w14:paraId="487AD118">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资金实际支付情况：2024年12月发放“六类重点对象”农村危房改造40户补助资金64.6万元。</w:t>
            </w:r>
          </w:p>
          <w:p w14:paraId="61B13230">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3、资金管理情况</w:t>
            </w:r>
          </w:p>
          <w:p w14:paraId="4DA14C1F">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为加强专项资金管理，县危房改造领导小组办公室制定了《湘潭县农村危房改造专项资金管理办法》，从制度上规范财政专项资金的日常管理和使用，严格按照相关要求审核拨付专项资金，没有不合规、虚列项目支出、超标准开支的情况，无截留、挤占、挪用项目资金情况。</w:t>
            </w:r>
          </w:p>
          <w:p w14:paraId="20832D6A">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4、项目组织和管理情况</w:t>
            </w:r>
          </w:p>
          <w:p w14:paraId="61B063E9">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为了更好地加强对项目的管理，湘潭县成立了农村危房改造领导小组，由分管副县长担任组长，县住建、民政、财政等相关部门为小组成员单位，并将此项工作纳入工作重点，各乡镇也明确了相应的机构，切实加强了对危房改造工作的领导和指导。</w:t>
            </w:r>
          </w:p>
        </w:tc>
      </w:tr>
      <w:tr w14:paraId="3D454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tcPr>
          <w:p w14:paraId="3C95095B">
            <w:pPr>
              <w:spacing w:line="576" w:lineRule="exact"/>
              <w:jc w:val="center"/>
              <w:rPr>
                <w:rFonts w:ascii="仿宋_GB2312" w:hAnsi="宋体" w:eastAsia="仿宋_GB2312" w:cs="宋体"/>
                <w:szCs w:val="32"/>
              </w:rPr>
            </w:pPr>
          </w:p>
        </w:tc>
        <w:tc>
          <w:tcPr>
            <w:tcW w:w="1985" w:type="dxa"/>
            <w:vAlign w:val="center"/>
          </w:tcPr>
          <w:p w14:paraId="77E10924">
            <w:pPr>
              <w:spacing w:line="576" w:lineRule="exact"/>
              <w:jc w:val="center"/>
              <w:rPr>
                <w:rFonts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vAlign w:val="center"/>
          </w:tcPr>
          <w:p w14:paraId="4FA6C2B4">
            <w:pPr>
              <w:spacing w:line="576" w:lineRule="exact"/>
              <w:ind w:firstLine="420" w:firstLineChars="200"/>
              <w:jc w:val="left"/>
              <w:rPr>
                <w:rFonts w:ascii="仿宋_GB2312" w:hAnsi="宋体" w:eastAsia="仿宋_GB2312" w:cs="宋体"/>
                <w:szCs w:val="32"/>
              </w:rPr>
            </w:pPr>
            <w:r>
              <w:rPr>
                <w:rFonts w:ascii="仿宋_GB2312" w:hAnsi="宋体" w:eastAsia="仿宋_GB2312" w:cs="宋体"/>
                <w:szCs w:val="32"/>
              </w:rPr>
              <w:t>1</w:t>
            </w:r>
            <w:r>
              <w:rPr>
                <w:rFonts w:hint="eastAsia" w:ascii="仿宋_GB2312" w:hAnsi="宋体" w:eastAsia="仿宋_GB2312" w:cs="宋体"/>
                <w:szCs w:val="32"/>
              </w:rPr>
              <w:t>、2024年1-6月完成农村危房改造建设前期摸底调查工作，2024年1-12月组织项目实施，2024年12月项目竣工验收阶段；</w:t>
            </w:r>
          </w:p>
          <w:p w14:paraId="42E01064">
            <w:pPr>
              <w:spacing w:line="576" w:lineRule="exact"/>
              <w:ind w:firstLine="420" w:firstLineChars="200"/>
              <w:jc w:val="left"/>
              <w:rPr>
                <w:rFonts w:ascii="仿宋_GB2312" w:hAnsi="宋体" w:eastAsia="仿宋_GB2312" w:cs="宋体"/>
                <w:szCs w:val="32"/>
              </w:rPr>
            </w:pPr>
            <w:r>
              <w:rPr>
                <w:rFonts w:ascii="仿宋_GB2312" w:hAnsi="宋体" w:eastAsia="仿宋_GB2312" w:cs="宋体"/>
                <w:szCs w:val="32"/>
              </w:rPr>
              <w:t>2</w:t>
            </w:r>
            <w:r>
              <w:rPr>
                <w:rFonts w:hint="eastAsia" w:ascii="仿宋_GB2312" w:hAnsi="宋体" w:eastAsia="仿宋_GB2312" w:cs="宋体"/>
                <w:szCs w:val="32"/>
              </w:rPr>
              <w:t>、危房改造年初任务应改尽改户（约</w:t>
            </w:r>
            <w:r>
              <w:rPr>
                <w:rFonts w:ascii="仿宋_GB2312" w:hAnsi="宋体" w:eastAsia="仿宋_GB2312" w:cs="宋体"/>
                <w:szCs w:val="32"/>
              </w:rPr>
              <w:t>115</w:t>
            </w:r>
            <w:r>
              <w:rPr>
                <w:rFonts w:hint="eastAsia" w:ascii="仿宋_GB2312" w:hAnsi="宋体" w:eastAsia="仿宋_GB2312" w:cs="宋体"/>
                <w:szCs w:val="32"/>
              </w:rPr>
              <w:t>户）,实际完成262户，完成率达到227.83%，全部通过验收检验，并迎接上级部门检查2次。</w:t>
            </w:r>
          </w:p>
        </w:tc>
      </w:tr>
      <w:tr w14:paraId="4F51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67" w:type="dxa"/>
            <w:vMerge w:val="restart"/>
            <w:vAlign w:val="center"/>
          </w:tcPr>
          <w:p w14:paraId="63EA3B60">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vAlign w:val="center"/>
          </w:tcPr>
          <w:p w14:paraId="5CC48865">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w:t>
            </w:r>
          </w:p>
        </w:tc>
        <w:tc>
          <w:tcPr>
            <w:tcW w:w="5670" w:type="dxa"/>
            <w:vAlign w:val="center"/>
          </w:tcPr>
          <w:p w14:paraId="03805E11">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农村危房改造户对</w:t>
            </w:r>
            <w:bookmarkStart w:id="0" w:name="_GoBack"/>
            <w:r>
              <w:rPr>
                <w:rFonts w:hint="eastAsia" w:ascii="仿宋_GB2312" w:hAnsi="宋体" w:eastAsia="仿宋_GB2312" w:cs="宋体"/>
                <w:szCs w:val="32"/>
                <w:highlight w:val="none"/>
              </w:rPr>
              <w:t>象主要是农村易返贫致贫户</w:t>
            </w:r>
            <w:r>
              <w:rPr>
                <w:rFonts w:hint="eastAsia" w:ascii="仿宋_GB2312" w:hAnsi="宋体" w:eastAsia="仿宋_GB2312" w:cs="宋体"/>
                <w:szCs w:val="32"/>
                <w:highlight w:val="none"/>
                <w:lang w:eastAsia="zh-CN"/>
              </w:rPr>
              <w:t>（</w:t>
            </w:r>
            <w:r>
              <w:rPr>
                <w:rFonts w:hint="eastAsia" w:ascii="仿宋_GB2312" w:hAnsi="宋体" w:eastAsia="仿宋_GB2312" w:cs="宋体"/>
                <w:szCs w:val="32"/>
                <w:highlight w:val="none"/>
                <w:lang w:val="en-US" w:eastAsia="zh-CN"/>
              </w:rPr>
              <w:t>即已脱贫建档立卡贫困户、边缘户</w:t>
            </w:r>
            <w:r>
              <w:rPr>
                <w:rFonts w:hint="eastAsia" w:ascii="仿宋_GB2312" w:hAnsi="宋体" w:eastAsia="仿宋_GB2312" w:cs="宋体"/>
                <w:szCs w:val="32"/>
                <w:highlight w:val="none"/>
                <w:lang w:eastAsia="zh-CN"/>
              </w:rPr>
              <w:t>）</w:t>
            </w:r>
            <w:r>
              <w:rPr>
                <w:rFonts w:hint="eastAsia" w:ascii="仿宋_GB2312" w:hAnsi="宋体" w:eastAsia="仿宋_GB2312" w:cs="宋体"/>
                <w:szCs w:val="32"/>
                <w:highlight w:val="none"/>
              </w:rPr>
              <w:t>、农村低保户、农村分散供养特困人员、因病因灾因意外事故等刚性支出较大或收入大幅度缩减导致基本生活出现严重困难家庭、其他脱</w:t>
            </w:r>
            <w:bookmarkEnd w:id="0"/>
            <w:r>
              <w:rPr>
                <w:rFonts w:hint="eastAsia" w:ascii="仿宋_GB2312" w:hAnsi="宋体" w:eastAsia="仿宋_GB2312" w:cs="宋体"/>
                <w:szCs w:val="32"/>
              </w:rPr>
              <w:t>贫户，他们处于社会底层，属于弱势群体，自筹资金比较困难，加之建房材料、劳动力价格上涨，仅靠中央和省政府危改补助资金，以及市、县少量配套补助资金难以完成危房改造，即使完成房屋改造，也增加了农村危改户经济负担。</w:t>
            </w:r>
          </w:p>
        </w:tc>
      </w:tr>
      <w:tr w14:paraId="6ACE1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tcPr>
          <w:p w14:paraId="7F0E061F">
            <w:pPr>
              <w:spacing w:line="576" w:lineRule="exact"/>
              <w:jc w:val="center"/>
              <w:rPr>
                <w:rFonts w:ascii="仿宋_GB2312" w:hAnsi="宋体" w:eastAsia="仿宋_GB2312" w:cs="宋体"/>
                <w:szCs w:val="32"/>
              </w:rPr>
            </w:pPr>
          </w:p>
        </w:tc>
        <w:tc>
          <w:tcPr>
            <w:tcW w:w="1985" w:type="dxa"/>
            <w:vAlign w:val="center"/>
          </w:tcPr>
          <w:p w14:paraId="43E1353E">
            <w:pPr>
              <w:spacing w:line="576" w:lineRule="exact"/>
              <w:jc w:val="center"/>
              <w:rPr>
                <w:rFonts w:ascii="仿宋_GB2312" w:hAnsi="宋体" w:eastAsia="仿宋_GB2312" w:cs="宋体"/>
                <w:szCs w:val="32"/>
              </w:rPr>
            </w:pPr>
            <w:r>
              <w:rPr>
                <w:rFonts w:hint="eastAsia" w:ascii="仿宋_GB2312" w:hAnsi="宋体" w:eastAsia="仿宋_GB2312" w:cs="宋体"/>
                <w:szCs w:val="32"/>
              </w:rPr>
              <w:t>改进措施</w:t>
            </w:r>
          </w:p>
        </w:tc>
        <w:tc>
          <w:tcPr>
            <w:tcW w:w="5670" w:type="dxa"/>
            <w:vAlign w:val="center"/>
          </w:tcPr>
          <w:p w14:paraId="052D0050">
            <w:pPr>
              <w:spacing w:line="576" w:lineRule="exact"/>
              <w:ind w:firstLine="420" w:firstLineChars="200"/>
              <w:jc w:val="left"/>
              <w:rPr>
                <w:rFonts w:ascii="仿宋_GB2312" w:hAnsi="宋体" w:eastAsia="仿宋_GB2312" w:cs="宋体"/>
                <w:szCs w:val="32"/>
              </w:rPr>
            </w:pPr>
            <w:r>
              <w:rPr>
                <w:rFonts w:hint="eastAsia" w:ascii="仿宋_GB2312" w:hAnsi="宋体" w:eastAsia="仿宋_GB2312" w:cs="宋体"/>
                <w:szCs w:val="32"/>
              </w:rPr>
              <w:t>建议提高农村危房改造补助资金标准，减轻农村低收入群体等重点对象重建或修缮房屋的经济负担。</w:t>
            </w:r>
          </w:p>
        </w:tc>
      </w:tr>
      <w:tr w14:paraId="7AD74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tcPr>
          <w:p w14:paraId="214DB7EF">
            <w:pPr>
              <w:spacing w:line="576" w:lineRule="exact"/>
              <w:jc w:val="center"/>
              <w:rPr>
                <w:rFonts w:ascii="仿宋_GB2312" w:hAnsi="宋体" w:eastAsia="仿宋_GB2312" w:cs="宋体"/>
                <w:szCs w:val="32"/>
              </w:rPr>
            </w:pPr>
          </w:p>
        </w:tc>
        <w:tc>
          <w:tcPr>
            <w:tcW w:w="1985" w:type="dxa"/>
            <w:vAlign w:val="center"/>
          </w:tcPr>
          <w:p w14:paraId="16E59287">
            <w:pPr>
              <w:spacing w:line="576" w:lineRule="exact"/>
              <w:jc w:val="center"/>
              <w:rPr>
                <w:rFonts w:ascii="仿宋_GB2312" w:hAnsi="宋体" w:eastAsia="仿宋_GB2312" w:cs="宋体"/>
                <w:szCs w:val="32"/>
              </w:rPr>
            </w:pPr>
            <w:r>
              <w:rPr>
                <w:rFonts w:hint="eastAsia" w:ascii="仿宋_GB2312" w:hAnsi="宋体" w:eastAsia="仿宋_GB2312" w:cs="宋体"/>
                <w:szCs w:val="32"/>
              </w:rPr>
              <w:t>其他需要说明问题</w:t>
            </w:r>
          </w:p>
        </w:tc>
        <w:tc>
          <w:tcPr>
            <w:tcW w:w="5670" w:type="dxa"/>
            <w:vAlign w:val="center"/>
          </w:tcPr>
          <w:p w14:paraId="1C1A5924">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无</w:t>
            </w:r>
          </w:p>
        </w:tc>
      </w:tr>
    </w:tbl>
    <w:p w14:paraId="6FD4EEED">
      <w:pPr>
        <w:snapToGrid w:val="0"/>
        <w:spacing w:line="540" w:lineRule="exact"/>
        <w:rPr>
          <w:rFonts w:ascii="仿宋_GB2312" w:hAnsi="宋体" w:eastAsia="仿宋_GB2312" w:cs="宋体"/>
          <w:kern w:val="0"/>
          <w:sz w:val="32"/>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欔߸卆䵇豔ऎ뀀Å剦ଳÅ殤߸卆䵇貸ऎ뀀Å剦ଳÅ水߸卆䵇讜ऎ뀀Å剦ଳÅ泄߸卆䵇謀ऎ뀀Å剦ଳÅ剦ଳÅ浔߸&amp;֪૝⌮⾷ǹ倀׍ࠐက䀀＀＀Ʃ⁸؅"/>
  </w:docVars>
  <w:rsids>
    <w:rsidRoot w:val="00CA3E94"/>
    <w:rsid w:val="00002856"/>
    <w:rsid w:val="000212DA"/>
    <w:rsid w:val="000E0013"/>
    <w:rsid w:val="000E2F4B"/>
    <w:rsid w:val="00133BF6"/>
    <w:rsid w:val="00150B0D"/>
    <w:rsid w:val="0019364D"/>
    <w:rsid w:val="0022282C"/>
    <w:rsid w:val="002E5623"/>
    <w:rsid w:val="0030020D"/>
    <w:rsid w:val="00327676"/>
    <w:rsid w:val="003E602D"/>
    <w:rsid w:val="00495D08"/>
    <w:rsid w:val="004E4640"/>
    <w:rsid w:val="00524B0E"/>
    <w:rsid w:val="00592B25"/>
    <w:rsid w:val="00654625"/>
    <w:rsid w:val="00775052"/>
    <w:rsid w:val="007C0F62"/>
    <w:rsid w:val="00847EFC"/>
    <w:rsid w:val="00857157"/>
    <w:rsid w:val="008C0B59"/>
    <w:rsid w:val="008D49C7"/>
    <w:rsid w:val="00925CB2"/>
    <w:rsid w:val="00985C2A"/>
    <w:rsid w:val="00AD5267"/>
    <w:rsid w:val="00BE0A61"/>
    <w:rsid w:val="00CA3E94"/>
    <w:rsid w:val="00D933D5"/>
    <w:rsid w:val="00EC35AA"/>
    <w:rsid w:val="00F21D7A"/>
    <w:rsid w:val="00FA7B3A"/>
    <w:rsid w:val="00FB2034"/>
    <w:rsid w:val="00FD35DF"/>
    <w:rsid w:val="11F81EE6"/>
    <w:rsid w:val="23C260F1"/>
    <w:rsid w:val="5F75391A"/>
    <w:rsid w:val="6BB97D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Times New Roman" w:hAnsi="Times New Roman" w:eastAsia="宋体" w:cs="Times New Roman"/>
      <w:sz w:val="18"/>
      <w:szCs w:val="18"/>
    </w:rPr>
  </w:style>
  <w:style w:type="character" w:customStyle="1" w:styleId="7">
    <w:name w:val="页眉 字符"/>
    <w:basedOn w:val="5"/>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1010</Words>
  <Characters>1084</Characters>
  <Lines>8</Lines>
  <Paragraphs>2</Paragraphs>
  <TotalTime>136</TotalTime>
  <ScaleCrop>false</ScaleCrop>
  <LinksUpToDate>false</LinksUpToDate>
  <CharactersWithSpaces>1084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2023-04-28T08:19:00Z</dcterms:created>
  <dc:creator>微软用户</dc:creator>
  <cp:lastModifiedBy>lenovo</cp:lastModifiedBy>
  <dcterms:modified xsi:type="dcterms:W3CDTF">2025-06-30T03:53:11Z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29A0BD66825449C7B833F5A2DFE12E7B_12</vt:lpwstr>
  </property>
  <property fmtid="{D5CDD505-2E9C-101B-9397-08002B2CF9AE}" pid="4" name="KSOTemplateDocerSaveRecord">
    <vt:lpwstr>eyJoZGlkIjoiM2UxYTVjYjg0YjNiZWEwY2MwY2E3YTQ5ZjgwNzc4M2IifQ==</vt:lpwstr>
  </property>
</Properties>
</file>