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E5F62">
      <w:pPr>
        <w:spacing w:line="576" w:lineRule="exact"/>
        <w:jc w:val="center"/>
        <w:rPr>
          <w:rFonts w:ascii="黑体" w:hAnsi="仿宋" w:eastAsia="黑体" w:cs="方正小标宋简体"/>
          <w:sz w:val="44"/>
          <w:szCs w:val="44"/>
        </w:rPr>
      </w:pPr>
      <w:r>
        <w:rPr>
          <w:rFonts w:hint="eastAsia" w:ascii="黑体" w:hAnsi="仿宋" w:eastAsia="黑体" w:cs="方正小标宋简体"/>
          <w:sz w:val="44"/>
          <w:szCs w:val="44"/>
        </w:rPr>
        <w:t>2024年度湘潭县城镇污水处理经费</w:t>
      </w:r>
    </w:p>
    <w:p w14:paraId="72CCB017">
      <w:pPr>
        <w:spacing w:line="576" w:lineRule="exact"/>
        <w:jc w:val="center"/>
        <w:rPr>
          <w:rFonts w:ascii="黑体" w:hAnsi="仿宋" w:eastAsia="黑体" w:cs="方正小标宋简体"/>
          <w:szCs w:val="32"/>
        </w:rPr>
      </w:pPr>
      <w:r>
        <w:rPr>
          <w:rFonts w:hint="eastAsia" w:ascii="黑体" w:hAnsi="仿宋" w:eastAsia="黑体" w:cs="方正小标宋简体"/>
          <w:bCs/>
          <w:sz w:val="44"/>
          <w:szCs w:val="44"/>
        </w:rPr>
        <w:t>项目支出绩效评价报告</w:t>
      </w:r>
    </w:p>
    <w:tbl>
      <w:tblPr>
        <w:tblStyle w:val="4"/>
        <w:tblW w:w="91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90"/>
        <w:gridCol w:w="6528"/>
      </w:tblGrid>
      <w:tr w14:paraId="77972B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restart"/>
            <w:tcBorders>
              <w:top w:val="single" w:color="auto" w:sz="12" w:space="0"/>
            </w:tcBorders>
            <w:vAlign w:val="center"/>
          </w:tcPr>
          <w:p w14:paraId="0DB41115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部门概况</w:t>
            </w:r>
          </w:p>
        </w:tc>
        <w:tc>
          <w:tcPr>
            <w:tcW w:w="1390" w:type="dxa"/>
            <w:tcBorders>
              <w:top w:val="single" w:color="auto" w:sz="12" w:space="0"/>
            </w:tcBorders>
            <w:vAlign w:val="center"/>
          </w:tcPr>
          <w:p w14:paraId="0F1E75FE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项目名称</w:t>
            </w:r>
          </w:p>
        </w:tc>
        <w:tc>
          <w:tcPr>
            <w:tcW w:w="6528" w:type="dxa"/>
            <w:tcBorders>
              <w:top w:val="single" w:color="auto" w:sz="12" w:space="0"/>
            </w:tcBorders>
            <w:vAlign w:val="center"/>
          </w:tcPr>
          <w:p w14:paraId="0A6F8F54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2024年度湘潭县城镇污水处理经费</w:t>
            </w:r>
          </w:p>
        </w:tc>
      </w:tr>
      <w:tr w14:paraId="7CC887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 w14:paraId="143A3341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14:paraId="0CE1FB2B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年度预算金额</w:t>
            </w:r>
          </w:p>
        </w:tc>
        <w:tc>
          <w:tcPr>
            <w:tcW w:w="6528" w:type="dxa"/>
            <w:vAlign w:val="center"/>
          </w:tcPr>
          <w:p w14:paraId="08065902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ascii="仿宋_GB2312" w:hAnsi="仿宋" w:eastAsia="仿宋_GB2312" w:cs="方正小标宋简体"/>
                <w:sz w:val="24"/>
              </w:rPr>
              <w:t>3965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</w:t>
            </w:r>
          </w:p>
        </w:tc>
      </w:tr>
      <w:tr w14:paraId="1A4A62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 w14:paraId="7402C172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14:paraId="2550A44B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项目主管部门</w:t>
            </w:r>
          </w:p>
        </w:tc>
        <w:tc>
          <w:tcPr>
            <w:tcW w:w="6528" w:type="dxa"/>
            <w:vAlign w:val="center"/>
          </w:tcPr>
          <w:p w14:paraId="70A7DAE7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湘潭县住房和城乡建设局</w:t>
            </w:r>
          </w:p>
        </w:tc>
      </w:tr>
      <w:tr w14:paraId="665066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42" w:type="dxa"/>
            <w:vMerge w:val="continue"/>
          </w:tcPr>
          <w:p w14:paraId="0195107D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14:paraId="53B7383B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项目立项目的</w:t>
            </w:r>
          </w:p>
        </w:tc>
        <w:tc>
          <w:tcPr>
            <w:tcW w:w="6528" w:type="dxa"/>
          </w:tcPr>
          <w:p w14:paraId="25F63EE8"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根据</w:t>
            </w:r>
            <w:r>
              <w:rPr>
                <w:rFonts w:ascii="仿宋_GB2312" w:hAnsi="仿宋" w:eastAsia="仿宋_GB2312" w:cs="方正小标宋简体"/>
                <w:sz w:val="24"/>
              </w:rPr>
              <w:t>BOT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合同及补充协议约定，污水处理厂特许经营年限为30年，累计可处理污水约</w:t>
            </w:r>
            <w:r>
              <w:rPr>
                <w:rFonts w:ascii="仿宋_GB2312" w:hAnsi="仿宋" w:eastAsia="仿宋_GB2312" w:cs="方正小标宋简体"/>
                <w:sz w:val="24"/>
              </w:rPr>
              <w:t>42450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万吨，运行成本约</w:t>
            </w:r>
            <w:r>
              <w:rPr>
                <w:rFonts w:ascii="仿宋_GB2312" w:hAnsi="仿宋" w:eastAsia="仿宋_GB2312" w:cs="方正小标宋简体"/>
                <w:sz w:val="24"/>
              </w:rPr>
              <w:t>29280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万元，可确保城区污水得到有效处理，对改善湘江水质、保护城区饮用水水源起到举足轻重的作用，并杜绝了邯郸港泄洪区污水囤积腐化发臭的情况，污水处理的正常运行有着良好的社会效益和生态效益。</w:t>
            </w:r>
          </w:p>
        </w:tc>
      </w:tr>
      <w:tr w14:paraId="753C7D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1242" w:type="dxa"/>
            <w:vMerge w:val="restart"/>
            <w:vAlign w:val="center"/>
          </w:tcPr>
          <w:p w14:paraId="0F662206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绩效情况</w:t>
            </w:r>
          </w:p>
        </w:tc>
        <w:tc>
          <w:tcPr>
            <w:tcW w:w="1390" w:type="dxa"/>
            <w:vAlign w:val="center"/>
          </w:tcPr>
          <w:p w14:paraId="44EB33F3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项目支出管理和使用基本情况</w:t>
            </w:r>
          </w:p>
        </w:tc>
        <w:tc>
          <w:tcPr>
            <w:tcW w:w="6528" w:type="dxa"/>
          </w:tcPr>
          <w:p w14:paraId="79E12A0A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湘潭县第一污水处理厂总设计规模为日处理污水5万吨，分两期建设，汇水面积约25.27平方公里，服务人口约15万。一期采用卡努赛尔2000型氧化沟污水处理工艺，于2009年10月通过市环保局组织的环保竣工验收；二期采用微曝氧化沟的处理工艺，于2013年6月动工建设，2014年1月23日投入试运行，7月6日组织进行竣工验收，8月15日通过环保验收，12月1日进入正式运营。为更好的保护湘江水质，县污水处理厂对出水进行提标改造，2015年6月动工建设， 2016年12月14日进行了环保验收，由《城镇污水处理厂污染物综合排放标准》一级B标准，提升至一级A标准。</w:t>
            </w:r>
          </w:p>
          <w:p w14:paraId="7EAA9F36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湘潭县第二污水处理厂采用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PPP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模式实施，分两期建设，其中一期工程设计规模为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2.5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万 </w:t>
            </w:r>
            <w:r>
              <w:rPr>
                <w:rFonts w:ascii="仿宋_GB2312" w:hAnsi="仿宋" w:eastAsia="仿宋_GB2312" w:cs="方正小标宋简体"/>
                <w:sz w:val="24"/>
              </w:rPr>
              <w:t>m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³</w:t>
            </w:r>
            <w:r>
              <w:rPr>
                <w:rFonts w:ascii="仿宋_GB2312" w:hAnsi="仿宋" w:eastAsia="仿宋_GB2312" w:cs="方正小标宋简体"/>
                <w:sz w:val="24"/>
              </w:rPr>
              <w:t>/d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，远期新增设计规模为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2.5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万 </w:t>
            </w:r>
            <w:r>
              <w:rPr>
                <w:rFonts w:ascii="仿宋_GB2312" w:hAnsi="仿宋" w:eastAsia="仿宋_GB2312" w:cs="方正小标宋简体"/>
                <w:sz w:val="24"/>
              </w:rPr>
              <w:t>m³/d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；项目实行投资、设计、建设、运营、移交一体化的运作方式。项目合作期限：拟定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30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年，包括建设期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18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个月、运营期；项目运作模式：采用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BOT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模式（建设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经营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转让）；项目回报机制：本项目实行使用者付费</w:t>
            </w:r>
            <w:r>
              <w:rPr>
                <w:rFonts w:ascii="仿宋_GB2312" w:hAnsi="仿宋" w:eastAsia="仿宋_GB2312" w:cs="方正小标宋简体"/>
                <w:sz w:val="24"/>
              </w:rPr>
              <w:t>+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政府可行性缺口补助的付费方式（使用者付费</w:t>
            </w:r>
            <w:r>
              <w:rPr>
                <w:rFonts w:ascii="仿宋_GB2312" w:hAnsi="仿宋" w:eastAsia="仿宋_GB2312" w:cs="方正小标宋简体"/>
                <w:sz w:val="24"/>
              </w:rPr>
              <w:t>=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污水处理单价</w:t>
            </w:r>
            <w:r>
              <w:rPr>
                <w:rFonts w:ascii="仿宋_GB2312" w:hAnsi="仿宋" w:eastAsia="仿宋_GB2312" w:cs="方正小标宋简体"/>
                <w:sz w:val="24"/>
              </w:rPr>
              <w:t>×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月实际污水处理量，政府年可行性缺口补助</w:t>
            </w:r>
            <w:r>
              <w:rPr>
                <w:rFonts w:ascii="仿宋_GB2312" w:hAnsi="仿宋" w:eastAsia="仿宋_GB2312" w:cs="方正小标宋简体"/>
                <w:sz w:val="24"/>
              </w:rPr>
              <w:t>=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污水处理服务费单价</w:t>
            </w:r>
            <w:r>
              <w:rPr>
                <w:rFonts w:ascii="仿宋_GB2312" w:hAnsi="仿宋" w:eastAsia="仿宋_GB2312" w:cs="方正小标宋简体"/>
                <w:sz w:val="24"/>
              </w:rPr>
              <w:t>×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年污水处理量</w:t>
            </w:r>
            <w:r>
              <w:rPr>
                <w:rFonts w:ascii="仿宋_GB2312" w:hAnsi="仿宋" w:eastAsia="仿宋_GB2312" w:cs="方正小标宋简体"/>
                <w:sz w:val="24"/>
              </w:rPr>
              <w:t>-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使用者付费）。 污水处理工艺采用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A/A/O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工艺，深度处理采用高效沉淀池</w:t>
            </w:r>
            <w:r>
              <w:rPr>
                <w:rFonts w:ascii="仿宋_GB2312" w:hAnsi="仿宋" w:eastAsia="仿宋_GB2312" w:cs="方正小标宋简体"/>
                <w:sz w:val="24"/>
              </w:rPr>
              <w:t>+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反硝化滤池工艺，处理后出水采用紫外线消毒，污泥处理采用板框压滤，出水水质执行《城镇污水处理厂污染物排放标准》（</w:t>
            </w:r>
            <w:r>
              <w:rPr>
                <w:rFonts w:ascii="仿宋_GB2312" w:hAnsi="仿宋" w:eastAsia="仿宋_GB2312" w:cs="方正小标宋简体"/>
                <w:sz w:val="24"/>
              </w:rPr>
              <w:t>GB 18918-2002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 xml:space="preserve">）一级 </w:t>
            </w:r>
            <w:r>
              <w:rPr>
                <w:rFonts w:ascii="仿宋_GB2312" w:hAnsi="仿宋" w:eastAsia="仿宋_GB2312" w:cs="方正小标宋简体"/>
                <w:sz w:val="24"/>
              </w:rPr>
              <w:t xml:space="preserve">A 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标准，厂区出水进一步通过人工湿地等相关工艺深度净化，部分用于厂区绿化灌溉。</w:t>
            </w:r>
          </w:p>
          <w:p w14:paraId="1DB7971F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项目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2024年年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初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排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3965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元，其中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由自来水费代收的污水处理费基金收入安排1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00万元、预算内资金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2265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万元。主要用于支付污水处理厂污水处理费、污泥厂污泥处置费、京湘供水公司代征手续费、易俗河水利站电费、乡镇垃圾处理服务费等。</w:t>
            </w:r>
          </w:p>
          <w:p w14:paraId="3BF424F0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1、资金到位情况</w:t>
            </w:r>
          </w:p>
          <w:p w14:paraId="6D55FC4B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截至2024年12月31日，2024年湘潭县城镇污水处理经费项目专项资金实际收到财政资金</w:t>
            </w:r>
            <w:r>
              <w:rPr>
                <w:rFonts w:ascii="仿宋_GB2312" w:hAnsi="仿宋" w:eastAsia="仿宋_GB2312" w:cs="方正小标宋简体"/>
                <w:sz w:val="24"/>
              </w:rPr>
              <w:t>2265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万元，收到政府性基金1</w:t>
            </w:r>
            <w:r>
              <w:rPr>
                <w:rFonts w:ascii="仿宋_GB2312" w:hAnsi="仿宋" w:eastAsia="仿宋_GB2312" w:cs="方正小标宋简体"/>
                <w:sz w:val="24"/>
              </w:rPr>
              <w:t>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00万元，共计收到项目资金</w:t>
            </w:r>
            <w:r>
              <w:rPr>
                <w:rFonts w:ascii="仿宋_GB2312" w:hAnsi="仿宋" w:eastAsia="仿宋_GB2312" w:cs="方正小标宋简体"/>
                <w:sz w:val="24"/>
              </w:rPr>
              <w:t>3765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万元。资金到位率</w:t>
            </w:r>
            <w:r>
              <w:rPr>
                <w:rFonts w:ascii="仿宋_GB2312" w:hAnsi="仿宋" w:eastAsia="仿宋_GB2312" w:cs="方正小标宋简体"/>
                <w:sz w:val="24"/>
              </w:rPr>
              <w:t>94.96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%。</w:t>
            </w:r>
          </w:p>
          <w:p w14:paraId="244792B3">
            <w:pPr>
              <w:numPr>
                <w:ilvl w:val="0"/>
                <w:numId w:val="1"/>
              </w:num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资金使用情况</w:t>
            </w:r>
          </w:p>
          <w:p w14:paraId="1A6BD033">
            <w:pPr>
              <w:snapToGrid w:val="0"/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2024年支付污水处理费</w:t>
            </w:r>
            <w:r>
              <w:rPr>
                <w:rFonts w:ascii="仿宋_GB2312" w:hAnsi="仿宋" w:eastAsia="仿宋_GB2312" w:cs="方正小标宋简体"/>
                <w:sz w:val="24"/>
              </w:rPr>
              <w:t>3920.02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万元，污泥处理费</w:t>
            </w:r>
            <w:r>
              <w:rPr>
                <w:rFonts w:ascii="仿宋_GB2312" w:hAnsi="仿宋" w:eastAsia="仿宋_GB2312" w:cs="方正小标宋简体"/>
                <w:sz w:val="24"/>
              </w:rPr>
              <w:t>156.87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万元，乡镇垃圾处理服务费等</w:t>
            </w:r>
            <w:r>
              <w:rPr>
                <w:rFonts w:ascii="仿宋_GB2312" w:hAnsi="仿宋" w:eastAsia="仿宋_GB2312" w:cs="方正小标宋简体"/>
                <w:sz w:val="24"/>
              </w:rPr>
              <w:t>464.95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万元，京湘供水公司代征手续费</w:t>
            </w:r>
            <w:r>
              <w:rPr>
                <w:rFonts w:ascii="仿宋_GB2312" w:hAnsi="仿宋" w:eastAsia="仿宋_GB2312" w:cs="方正小标宋简体"/>
                <w:sz w:val="24"/>
              </w:rPr>
              <w:t>90.62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万元，电费</w:t>
            </w:r>
            <w:r>
              <w:rPr>
                <w:rFonts w:ascii="仿宋_GB2312" w:hAnsi="仿宋" w:eastAsia="仿宋_GB2312" w:cs="方正小标宋简体"/>
                <w:sz w:val="24"/>
              </w:rPr>
              <w:t>12.57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万元，共计支付</w:t>
            </w:r>
            <w:r>
              <w:rPr>
                <w:rFonts w:ascii="仿宋_GB2312" w:hAnsi="仿宋" w:eastAsia="仿宋_GB2312" w:cs="方正小标宋简体"/>
                <w:sz w:val="24"/>
              </w:rPr>
              <w:t>4645.03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万元。</w:t>
            </w:r>
          </w:p>
        </w:tc>
      </w:tr>
      <w:tr w14:paraId="01E2B3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2" w:hRule="atLeast"/>
          <w:jc w:val="center"/>
        </w:trPr>
        <w:tc>
          <w:tcPr>
            <w:tcW w:w="1242" w:type="dxa"/>
            <w:vMerge w:val="continue"/>
          </w:tcPr>
          <w:p w14:paraId="02FE3568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14:paraId="20AFC87B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项目绩效目标完成情况</w:t>
            </w:r>
          </w:p>
        </w:tc>
        <w:tc>
          <w:tcPr>
            <w:tcW w:w="6528" w:type="dxa"/>
          </w:tcPr>
          <w:p w14:paraId="4E35AB18">
            <w:pPr>
              <w:pStyle w:val="6"/>
              <w:ind w:firstLine="480"/>
              <w:rPr>
                <w:rFonts w:cs="方正小标宋简体"/>
                <w:sz w:val="24"/>
              </w:rPr>
            </w:pPr>
          </w:p>
          <w:p w14:paraId="408BE246">
            <w:pPr>
              <w:pStyle w:val="6"/>
              <w:ind w:firstLine="480"/>
              <w:rPr>
                <w:rFonts w:cs="方正小标宋简体"/>
                <w:sz w:val="24"/>
              </w:rPr>
            </w:pPr>
            <w:r>
              <w:rPr>
                <w:rFonts w:hint="eastAsia" w:cs="方正小标宋简体"/>
                <w:sz w:val="24"/>
              </w:rPr>
              <w:t>2024年度本项目的目标已实现，其具体完成情况如下：</w:t>
            </w:r>
          </w:p>
          <w:tbl>
            <w:tblPr>
              <w:tblStyle w:val="4"/>
              <w:tblW w:w="5000" w:type="pct"/>
              <w:jc w:val="center"/>
              <w:tblBorders>
                <w:top w:val="single" w:color="auto" w:sz="18" w:space="0"/>
                <w:left w:val="none" w:color="auto" w:sz="0" w:space="0"/>
                <w:bottom w:val="single" w:color="auto" w:sz="18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20"/>
              <w:gridCol w:w="1428"/>
              <w:gridCol w:w="2664"/>
            </w:tblGrid>
            <w:tr w14:paraId="243C2E47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  <w:jc w:val="center"/>
              </w:trPr>
              <w:tc>
                <w:tcPr>
                  <w:tcW w:w="1759" w:type="pct"/>
                  <w:tcBorders>
                    <w:top w:val="single" w:color="auto" w:sz="4" w:space="0"/>
                  </w:tcBorders>
                  <w:vAlign w:val="center"/>
                </w:tcPr>
                <w:p w14:paraId="44E0F721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预期目标</w:t>
                  </w:r>
                </w:p>
              </w:tc>
              <w:tc>
                <w:tcPr>
                  <w:tcW w:w="1131" w:type="pct"/>
                  <w:tcBorders>
                    <w:top w:val="single" w:color="auto" w:sz="4" w:space="0"/>
                  </w:tcBorders>
                  <w:vAlign w:val="center"/>
                </w:tcPr>
                <w:p w14:paraId="40F50364">
                  <w:pPr>
                    <w:pStyle w:val="6"/>
                    <w:adjustRightInd w:val="0"/>
                    <w:snapToGrid w:val="0"/>
                    <w:ind w:firstLine="0" w:firstLineChars="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完成情况</w:t>
                  </w:r>
                </w:p>
              </w:tc>
              <w:tc>
                <w:tcPr>
                  <w:tcW w:w="2110" w:type="pct"/>
                  <w:tcBorders>
                    <w:top w:val="single" w:color="auto" w:sz="4" w:space="0"/>
                  </w:tcBorders>
                  <w:vAlign w:val="center"/>
                </w:tcPr>
                <w:p w14:paraId="0DF82D5A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备注</w:t>
                  </w:r>
                </w:p>
              </w:tc>
            </w:tr>
            <w:tr w14:paraId="54068917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42" w:hRule="exact"/>
                <w:jc w:val="center"/>
              </w:trPr>
              <w:tc>
                <w:tcPr>
                  <w:tcW w:w="1759" w:type="pct"/>
                </w:tcPr>
                <w:p w14:paraId="3F66B24D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</w:p>
                <w:p w14:paraId="52D6F5BC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</w:p>
                <w:p w14:paraId="0A2EBA34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</w:p>
                <w:p w14:paraId="651F214F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预计2024年污水处理量2774万吨</w:t>
                  </w:r>
                </w:p>
              </w:tc>
              <w:tc>
                <w:tcPr>
                  <w:tcW w:w="1131" w:type="pct"/>
                </w:tcPr>
                <w:p w14:paraId="43468653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本年一污厂处理2006.</w:t>
                  </w:r>
                  <w: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  <w:t>2368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万吨，二污厂处理</w:t>
                  </w:r>
                  <w: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  <w:t>500.1453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万吨，全年共计处理</w:t>
                  </w:r>
                  <w: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  <w:t>2506.3821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万吨，完成率</w:t>
                  </w:r>
                  <w: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  <w:t>90.35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%</w:t>
                  </w:r>
                </w:p>
              </w:tc>
              <w:tc>
                <w:tcPr>
                  <w:tcW w:w="2110" w:type="pct"/>
                </w:tcPr>
                <w:p w14:paraId="2D3B7CE0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</w:p>
                <w:p w14:paraId="32FB7549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</w:p>
                <w:p w14:paraId="3B91CDAA">
                  <w:pPr>
                    <w:rPr>
                      <w:rFonts w:ascii="仿宋_GB2312" w:hAnsi="仿宋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Cs w:val="21"/>
                    </w:rPr>
                    <w:t>一污厂根据BOT协议保底水量5万吨/天，二污厂预计约2.2万吨/天，预测2024年平均处理水量为7.6万吨/天。</w:t>
                  </w:r>
                </w:p>
              </w:tc>
            </w:tr>
            <w:tr w14:paraId="50E36BCB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8" w:hRule="exact"/>
                <w:jc w:val="center"/>
              </w:trPr>
              <w:tc>
                <w:tcPr>
                  <w:tcW w:w="1759" w:type="pct"/>
                  <w:vAlign w:val="center"/>
                </w:tcPr>
                <w:p w14:paraId="3AF3B89A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出水水质按国家相关规范和标准执行。COD、BOD、SS、氨氮、总磷、总氮、粪大肠杆菌等</w:t>
                  </w:r>
                </w:p>
              </w:tc>
              <w:tc>
                <w:tcPr>
                  <w:tcW w:w="1131" w:type="pct"/>
                  <w:vAlign w:val="center"/>
                </w:tcPr>
                <w:p w14:paraId="0CA5AFFD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COD削减量</w:t>
                  </w:r>
                  <w:r>
                    <w:rPr>
                      <w:sz w:val="21"/>
                      <w:szCs w:val="21"/>
                    </w:rPr>
                    <w:t>4065.4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万吨，氨氮削减量</w:t>
                  </w:r>
                  <w:r>
                    <w:rPr>
                      <w:sz w:val="21"/>
                      <w:szCs w:val="21"/>
                    </w:rPr>
                    <w:t>475.93</w:t>
                  </w:r>
                  <w:r>
                    <w:rPr>
                      <w:rFonts w:hint="eastAsia"/>
                      <w:sz w:val="21"/>
                      <w:szCs w:val="21"/>
                    </w:rPr>
                    <w:t>万吨。</w:t>
                  </w:r>
                </w:p>
              </w:tc>
              <w:tc>
                <w:tcPr>
                  <w:tcW w:w="2110" w:type="pct"/>
                  <w:vAlign w:val="center"/>
                </w:tcPr>
                <w:p w14:paraId="030FD5BB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出水水质满足《城镇污水处理厂污染物排放标准》（GB18918-2002）一级A标准规定的排放标准；100%达标排放。</w:t>
                  </w:r>
                </w:p>
              </w:tc>
            </w:tr>
            <w:tr w14:paraId="4EAF9EBD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9" w:hRule="exact"/>
                <w:jc w:val="center"/>
              </w:trPr>
              <w:tc>
                <w:tcPr>
                  <w:tcW w:w="1759" w:type="pct"/>
                  <w:vAlign w:val="center"/>
                </w:tcPr>
                <w:p w14:paraId="08009B3C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城镇污水处理经费预计</w:t>
                  </w:r>
                  <w:r>
                    <w:rPr>
                      <w:sz w:val="21"/>
                      <w:szCs w:val="21"/>
                    </w:rPr>
                    <w:t>3965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1131" w:type="pct"/>
                  <w:vAlign w:val="center"/>
                </w:tcPr>
                <w:p w14:paraId="5DF1B193">
                  <w:pPr>
                    <w:pStyle w:val="6"/>
                    <w:adjustRightInd w:val="0"/>
                    <w:snapToGrid w:val="0"/>
                    <w:ind w:firstLine="0" w:firstLineChars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4645.03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2110" w:type="pct"/>
                  <w:vAlign w:val="center"/>
                </w:tcPr>
                <w:p w14:paraId="055CE8CE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实收</w:t>
                  </w:r>
                  <w:r>
                    <w:rPr>
                      <w:sz w:val="21"/>
                      <w:szCs w:val="21"/>
                    </w:rPr>
                    <w:t>3765</w:t>
                  </w:r>
                  <w:r>
                    <w:rPr>
                      <w:rFonts w:hint="eastAsia"/>
                      <w:sz w:val="21"/>
                      <w:szCs w:val="21"/>
                    </w:rPr>
                    <w:t>万元</w:t>
                  </w:r>
                </w:p>
              </w:tc>
            </w:tr>
            <w:tr w14:paraId="765FB926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56" w:hRule="exact"/>
                <w:jc w:val="center"/>
              </w:trPr>
              <w:tc>
                <w:tcPr>
                  <w:tcW w:w="1759" w:type="pct"/>
                  <w:vAlign w:val="center"/>
                </w:tcPr>
                <w:p w14:paraId="1FA4BBF3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保护城区饮用水水源，调查表满意度90%以上</w:t>
                  </w:r>
                </w:p>
              </w:tc>
              <w:tc>
                <w:tcPr>
                  <w:tcW w:w="1131" w:type="pct"/>
                  <w:vAlign w:val="center"/>
                </w:tcPr>
                <w:p w14:paraId="7EE3DAB7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 w14:paraId="73BF78BE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主管部门监察记录，核查是否有因污水处理厂处理未满负荷导致污水直排现象。</w:t>
                  </w:r>
                </w:p>
              </w:tc>
            </w:tr>
            <w:tr w14:paraId="6FE414AA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4" w:hRule="exact"/>
                <w:jc w:val="center"/>
              </w:trPr>
              <w:tc>
                <w:tcPr>
                  <w:tcW w:w="1759" w:type="pct"/>
                  <w:vAlign w:val="center"/>
                </w:tcPr>
                <w:p w14:paraId="4533D0C0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有效确保非雨季城区污水得到有效处理排放。</w:t>
                  </w:r>
                </w:p>
              </w:tc>
              <w:tc>
                <w:tcPr>
                  <w:tcW w:w="1131" w:type="pct"/>
                  <w:vAlign w:val="center"/>
                </w:tcPr>
                <w:p w14:paraId="098426BB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vAlign w:val="center"/>
                </w:tcPr>
                <w:p w14:paraId="5DA7A25B">
                  <w:pPr>
                    <w:pStyle w:val="6"/>
                    <w:adjustRightInd w:val="0"/>
                    <w:snapToGrid w:val="0"/>
                    <w:ind w:firstLine="560"/>
                  </w:pPr>
                </w:p>
              </w:tc>
            </w:tr>
            <w:tr w14:paraId="7628E901">
              <w:tblPrEx>
                <w:tblBorders>
                  <w:top w:val="single" w:color="auto" w:sz="18" w:space="0"/>
                  <w:left w:val="none" w:color="auto" w:sz="0" w:space="0"/>
                  <w:bottom w:val="single" w:color="auto" w:sz="18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4" w:hRule="exact"/>
                <w:jc w:val="center"/>
              </w:trPr>
              <w:tc>
                <w:tcPr>
                  <w:tcW w:w="1759" w:type="pct"/>
                  <w:tcBorders>
                    <w:bottom w:val="single" w:color="auto" w:sz="4" w:space="0"/>
                  </w:tcBorders>
                  <w:vAlign w:val="center"/>
                </w:tcPr>
                <w:p w14:paraId="73FE99E5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城镇居民满意度90%以上</w:t>
                  </w:r>
                </w:p>
              </w:tc>
              <w:tc>
                <w:tcPr>
                  <w:tcW w:w="1131" w:type="pct"/>
                  <w:tcBorders>
                    <w:bottom w:val="single" w:color="auto" w:sz="4" w:space="0"/>
                  </w:tcBorders>
                  <w:vAlign w:val="center"/>
                </w:tcPr>
                <w:p w14:paraId="25ECD0B5">
                  <w:pPr>
                    <w:pStyle w:val="6"/>
                    <w:adjustRightInd w:val="0"/>
                    <w:snapToGrid w:val="0"/>
                    <w:ind w:firstLine="420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完成</w:t>
                  </w:r>
                </w:p>
              </w:tc>
              <w:tc>
                <w:tcPr>
                  <w:tcW w:w="2110" w:type="pct"/>
                  <w:tcBorders>
                    <w:bottom w:val="single" w:color="auto" w:sz="4" w:space="0"/>
                  </w:tcBorders>
                  <w:vAlign w:val="center"/>
                </w:tcPr>
                <w:p w14:paraId="1BA09F12">
                  <w:pPr>
                    <w:pStyle w:val="6"/>
                    <w:adjustRightInd w:val="0"/>
                    <w:snapToGrid w:val="0"/>
                    <w:ind w:firstLine="560"/>
                  </w:pPr>
                </w:p>
              </w:tc>
            </w:tr>
          </w:tbl>
          <w:p w14:paraId="340A8B43">
            <w:pPr>
              <w:pStyle w:val="6"/>
              <w:ind w:firstLine="0" w:firstLineChars="0"/>
              <w:rPr>
                <w:rFonts w:cs="方正小标宋简体"/>
                <w:sz w:val="24"/>
              </w:rPr>
            </w:pPr>
          </w:p>
        </w:tc>
      </w:tr>
      <w:tr w14:paraId="583DE5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242" w:type="dxa"/>
            <w:vMerge w:val="restart"/>
            <w:vAlign w:val="center"/>
          </w:tcPr>
          <w:p w14:paraId="16D74E71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存在的问题分析及改进措施</w:t>
            </w:r>
          </w:p>
        </w:tc>
        <w:tc>
          <w:tcPr>
            <w:tcW w:w="1390" w:type="dxa"/>
            <w:vAlign w:val="center"/>
          </w:tcPr>
          <w:p w14:paraId="0AEA8BD9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存在的问题</w:t>
            </w:r>
          </w:p>
        </w:tc>
        <w:tc>
          <w:tcPr>
            <w:tcW w:w="6528" w:type="dxa"/>
            <w:vAlign w:val="center"/>
          </w:tcPr>
          <w:p w14:paraId="54D40253"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1、由于财政资金紧张，污水处理费项目资金未能按计划及时支付。</w:t>
            </w:r>
          </w:p>
          <w:p w14:paraId="4B58C53B">
            <w:pPr>
              <w:spacing w:line="576" w:lineRule="exact"/>
              <w:ind w:firstLine="480" w:firstLineChars="200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2、实际污水处理量大于计</w:t>
            </w:r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划</w:t>
            </w:r>
            <w:bookmarkStart w:id="0" w:name="_GoBack"/>
            <w:bookmarkEnd w:id="0"/>
            <w:r>
              <w:rPr>
                <w:rFonts w:hint="eastAsia" w:ascii="仿宋_GB2312" w:hAnsi="仿宋" w:eastAsia="仿宋_GB2312" w:cs="方正小标宋简体"/>
                <w:sz w:val="24"/>
                <w:highlight w:val="none"/>
              </w:rPr>
              <w:t>处理量影响的原因。</w:t>
            </w:r>
            <w:r>
              <w:rPr>
                <w:rFonts w:hint="eastAsia" w:ascii="仿宋_GB2312" w:hAnsi="仿宋" w:eastAsia="仿宋_GB2312" w:cs="方正小标宋简体"/>
                <w:sz w:val="24"/>
              </w:rPr>
              <w:t>本项目每年度计划污水处理量是由上年度处理量制定，而实际污水处理量受多方因素影响，因而会导致实际污水处理量及费用和计划污水处理量、费用出现差异，而污水处理单价实行梯度计费，因此污水处理费用的实际支出与年初计划金额存在偏差。</w:t>
            </w:r>
          </w:p>
        </w:tc>
      </w:tr>
      <w:tr w14:paraId="7D07C1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1242" w:type="dxa"/>
            <w:vMerge w:val="continue"/>
          </w:tcPr>
          <w:p w14:paraId="4C70CB6F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vAlign w:val="center"/>
          </w:tcPr>
          <w:p w14:paraId="556F6C70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改进措施</w:t>
            </w:r>
          </w:p>
        </w:tc>
        <w:tc>
          <w:tcPr>
            <w:tcW w:w="6528" w:type="dxa"/>
            <w:vAlign w:val="center"/>
          </w:tcPr>
          <w:p w14:paraId="461D2BCC"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1、在资金充裕的情况下，我局会严格按照相关规定按月拨付污水处理款项。</w:t>
            </w:r>
          </w:p>
          <w:p w14:paraId="4276ED60">
            <w:pPr>
              <w:spacing w:line="576" w:lineRule="exact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2、从多方面考虑污水处理量，更精准的预测下一年度污水处理量。</w:t>
            </w:r>
          </w:p>
        </w:tc>
      </w:tr>
      <w:tr w14:paraId="4BB984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242" w:type="dxa"/>
            <w:vMerge w:val="continue"/>
            <w:tcBorders>
              <w:bottom w:val="single" w:color="auto" w:sz="12" w:space="0"/>
            </w:tcBorders>
          </w:tcPr>
          <w:p w14:paraId="6EF05694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</w:p>
        </w:tc>
        <w:tc>
          <w:tcPr>
            <w:tcW w:w="1390" w:type="dxa"/>
            <w:tcBorders>
              <w:bottom w:val="single" w:color="auto" w:sz="12" w:space="0"/>
            </w:tcBorders>
            <w:vAlign w:val="center"/>
          </w:tcPr>
          <w:p w14:paraId="0814CA9C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其他需要说明问题</w:t>
            </w:r>
          </w:p>
        </w:tc>
        <w:tc>
          <w:tcPr>
            <w:tcW w:w="6528" w:type="dxa"/>
            <w:tcBorders>
              <w:bottom w:val="single" w:color="auto" w:sz="12" w:space="0"/>
            </w:tcBorders>
            <w:vAlign w:val="center"/>
          </w:tcPr>
          <w:p w14:paraId="313FDCFA">
            <w:pPr>
              <w:spacing w:line="576" w:lineRule="exact"/>
              <w:jc w:val="center"/>
              <w:rPr>
                <w:rFonts w:ascii="仿宋_GB2312" w:hAnsi="仿宋" w:eastAsia="仿宋_GB2312" w:cs="方正小标宋简体"/>
                <w:sz w:val="24"/>
              </w:rPr>
            </w:pPr>
            <w:r>
              <w:rPr>
                <w:rFonts w:hint="eastAsia" w:ascii="仿宋_GB2312" w:hAnsi="仿宋" w:eastAsia="仿宋_GB2312" w:cs="方正小标宋简体"/>
                <w:sz w:val="24"/>
              </w:rPr>
              <w:t>无</w:t>
            </w:r>
          </w:p>
        </w:tc>
      </w:tr>
    </w:tbl>
    <w:p w14:paraId="743D24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3B99A5"/>
    <w:multiLevelType w:val="singleLevel"/>
    <w:tmpl w:val="273B99A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AE59DC"/>
    <w:rsid w:val="00010D17"/>
    <w:rsid w:val="000533C0"/>
    <w:rsid w:val="0005436A"/>
    <w:rsid w:val="0009249F"/>
    <w:rsid w:val="000C0153"/>
    <w:rsid w:val="000D7F34"/>
    <w:rsid w:val="0012347E"/>
    <w:rsid w:val="001B6834"/>
    <w:rsid w:val="00224535"/>
    <w:rsid w:val="002274ED"/>
    <w:rsid w:val="00232B5E"/>
    <w:rsid w:val="00257AC2"/>
    <w:rsid w:val="002A3E8E"/>
    <w:rsid w:val="002C22E2"/>
    <w:rsid w:val="0031165E"/>
    <w:rsid w:val="003319DE"/>
    <w:rsid w:val="003B03B4"/>
    <w:rsid w:val="003B65DA"/>
    <w:rsid w:val="003E08C2"/>
    <w:rsid w:val="004076B8"/>
    <w:rsid w:val="00417DA3"/>
    <w:rsid w:val="00433519"/>
    <w:rsid w:val="00443F70"/>
    <w:rsid w:val="00446125"/>
    <w:rsid w:val="00450F0C"/>
    <w:rsid w:val="00457565"/>
    <w:rsid w:val="004673BF"/>
    <w:rsid w:val="004A2EF1"/>
    <w:rsid w:val="004A3990"/>
    <w:rsid w:val="004C1AD0"/>
    <w:rsid w:val="004C46BC"/>
    <w:rsid w:val="00504CC0"/>
    <w:rsid w:val="00523962"/>
    <w:rsid w:val="00544AF9"/>
    <w:rsid w:val="00591551"/>
    <w:rsid w:val="005A48BC"/>
    <w:rsid w:val="005C1304"/>
    <w:rsid w:val="006011F3"/>
    <w:rsid w:val="006033D6"/>
    <w:rsid w:val="006A72DD"/>
    <w:rsid w:val="006B7232"/>
    <w:rsid w:val="006C7E72"/>
    <w:rsid w:val="0072758E"/>
    <w:rsid w:val="0075608D"/>
    <w:rsid w:val="00764593"/>
    <w:rsid w:val="007B4870"/>
    <w:rsid w:val="0080746F"/>
    <w:rsid w:val="008C115D"/>
    <w:rsid w:val="008C315B"/>
    <w:rsid w:val="008C5961"/>
    <w:rsid w:val="008D6F3D"/>
    <w:rsid w:val="008F50FF"/>
    <w:rsid w:val="00905C09"/>
    <w:rsid w:val="00962D86"/>
    <w:rsid w:val="0096682C"/>
    <w:rsid w:val="009A3B54"/>
    <w:rsid w:val="009E2D16"/>
    <w:rsid w:val="00A22550"/>
    <w:rsid w:val="00A87580"/>
    <w:rsid w:val="00AE59DC"/>
    <w:rsid w:val="00B01FFE"/>
    <w:rsid w:val="00B13A9B"/>
    <w:rsid w:val="00B23DB8"/>
    <w:rsid w:val="00B27961"/>
    <w:rsid w:val="00B64A26"/>
    <w:rsid w:val="00BE0D4F"/>
    <w:rsid w:val="00C33766"/>
    <w:rsid w:val="00C34464"/>
    <w:rsid w:val="00C37CF3"/>
    <w:rsid w:val="00C70067"/>
    <w:rsid w:val="00CB5868"/>
    <w:rsid w:val="00CC1CFC"/>
    <w:rsid w:val="00CF3C95"/>
    <w:rsid w:val="00D03D51"/>
    <w:rsid w:val="00D0598A"/>
    <w:rsid w:val="00D12A02"/>
    <w:rsid w:val="00D1598E"/>
    <w:rsid w:val="00D24155"/>
    <w:rsid w:val="00D37F88"/>
    <w:rsid w:val="00D94862"/>
    <w:rsid w:val="00DB016A"/>
    <w:rsid w:val="00DB4289"/>
    <w:rsid w:val="00DD5F2F"/>
    <w:rsid w:val="00DE1E8F"/>
    <w:rsid w:val="00DE41BA"/>
    <w:rsid w:val="00DE5725"/>
    <w:rsid w:val="00DF52BB"/>
    <w:rsid w:val="00E00A6C"/>
    <w:rsid w:val="00E32248"/>
    <w:rsid w:val="00EE4F0D"/>
    <w:rsid w:val="00F13FCE"/>
    <w:rsid w:val="00F330A0"/>
    <w:rsid w:val="00F54914"/>
    <w:rsid w:val="00F66026"/>
    <w:rsid w:val="00F914E2"/>
    <w:rsid w:val="00F93FA2"/>
    <w:rsid w:val="00FD2265"/>
    <w:rsid w:val="030763D0"/>
    <w:rsid w:val="135B6E3B"/>
    <w:rsid w:val="173700AB"/>
    <w:rsid w:val="18834D1F"/>
    <w:rsid w:val="2CDF7C6C"/>
    <w:rsid w:val="3ECE2D67"/>
    <w:rsid w:val="43B62307"/>
    <w:rsid w:val="4729356C"/>
    <w:rsid w:val="55B650D5"/>
    <w:rsid w:val="5B1276F8"/>
    <w:rsid w:val="638A41A8"/>
    <w:rsid w:val="6E905DB3"/>
    <w:rsid w:val="798302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字符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_Style 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1675</Words>
  <Characters>1914</Characters>
  <Lines>2</Lines>
  <Paragraphs>4</Paragraphs>
  <TotalTime>168</TotalTime>
  <ScaleCrop>false</ScaleCrop>
  <LinksUpToDate>false</LinksUpToDate>
  <CharactersWithSpaces>1935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2019-09-04T08:52:00Z</dcterms:created>
  <dc:creator>微软中国</dc:creator>
  <cp:lastModifiedBy>lenovo</cp:lastModifiedBy>
  <dcterms:modified xsi:type="dcterms:W3CDTF">2025-06-30T03:54:55Z</dcterms:modified>
  <dc:title>附件5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8EFC02167B424A0E9DF349F36C3A03B5</vt:lpwstr>
  </property>
  <property fmtid="{D5CDD505-2E9C-101B-9397-08002B2CF9AE}" pid="4" name="KSOTemplateDocerSaveRecord">
    <vt:lpwstr>eyJoZGlkIjoiM2UxYTVjYjg0YjNiZWEwY2MwY2E3YTQ5ZjgwNzc4M2IifQ==</vt:lpwstr>
  </property>
</Properties>
</file>