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E47589">
      <w:pPr>
        <w:tabs>
          <w:tab w:val="left" w:pos="6480"/>
        </w:tabs>
        <w:spacing w:line="600" w:lineRule="exact"/>
        <w:ind w:right="-380" w:rightChars="-181"/>
        <w:jc w:val="center"/>
        <w:rPr>
          <w:rFonts w:ascii="宋体" w:hAnsi="宋体" w:cs="方正小标宋_GBK"/>
          <w:b/>
          <w:sz w:val="44"/>
          <w:szCs w:val="44"/>
        </w:rPr>
      </w:pPr>
      <w:r>
        <w:rPr>
          <w:rFonts w:hint="eastAsia" w:ascii="宋体" w:hAnsi="宋体" w:cs="方正小标宋_GBK"/>
          <w:b/>
          <w:bCs/>
          <w:sz w:val="44"/>
          <w:szCs w:val="44"/>
        </w:rPr>
        <w:t>部门整体支出绩效评价报告</w:t>
      </w:r>
    </w:p>
    <w:p w14:paraId="589A3C4F">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（湘潭县住房和城乡建设局）</w:t>
      </w:r>
    </w:p>
    <w:p w14:paraId="531AB81C">
      <w:pPr>
        <w:tabs>
          <w:tab w:val="left" w:pos="6480"/>
        </w:tabs>
        <w:spacing w:line="600" w:lineRule="exact"/>
        <w:jc w:val="center"/>
        <w:rPr>
          <w:rFonts w:ascii="宋体" w:hAnsi="宋体" w:cs="方正小标宋_GBK"/>
          <w:b/>
          <w:sz w:val="36"/>
          <w:szCs w:val="36"/>
        </w:rPr>
      </w:pPr>
    </w:p>
    <w:tbl>
      <w:tblPr>
        <w:tblStyle w:val="1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14:paraId="3C25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38A58BCB">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14:paraId="23ACAB51">
            <w:pPr>
              <w:spacing w:line="576" w:lineRule="exact"/>
              <w:jc w:val="center"/>
              <w:rPr>
                <w:rFonts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14:paraId="7752C085">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湘潭县住房和城乡建设局</w:t>
            </w:r>
          </w:p>
        </w:tc>
      </w:tr>
      <w:tr w14:paraId="44C44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71125832">
            <w:pPr>
              <w:spacing w:line="576" w:lineRule="exact"/>
              <w:jc w:val="center"/>
              <w:rPr>
                <w:rFonts w:ascii="仿宋_GB2312" w:hAnsi="宋体" w:eastAsia="仿宋_GB2312" w:cs="宋体"/>
                <w:sz w:val="24"/>
              </w:rPr>
            </w:pPr>
          </w:p>
        </w:tc>
        <w:tc>
          <w:tcPr>
            <w:tcW w:w="1697" w:type="dxa"/>
            <w:vAlign w:val="center"/>
          </w:tcPr>
          <w:p w14:paraId="20A97485">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14:paraId="6E1814EB">
            <w:pPr>
              <w:spacing w:line="576" w:lineRule="exact"/>
              <w:ind w:right="880" w:rightChars="419"/>
              <w:jc w:val="center"/>
              <w:rPr>
                <w:rFonts w:ascii="仿宋_GB2312" w:hAnsi="宋体" w:eastAsia="仿宋_GB2312" w:cs="宋体"/>
                <w:sz w:val="24"/>
              </w:rPr>
            </w:pPr>
            <w:r>
              <w:rPr>
                <w:rFonts w:ascii="仿宋_GB2312" w:hAnsi="宋体" w:eastAsia="仿宋_GB2312" w:cs="宋体"/>
                <w:sz w:val="24"/>
              </w:rPr>
              <w:t>6419.82</w:t>
            </w:r>
            <w:r>
              <w:rPr>
                <w:rFonts w:hint="eastAsia" w:ascii="仿宋_GB2312" w:hAnsi="宋体" w:eastAsia="仿宋_GB2312" w:cs="宋体"/>
                <w:sz w:val="24"/>
              </w:rPr>
              <w:t>万元</w:t>
            </w:r>
          </w:p>
        </w:tc>
      </w:tr>
      <w:tr w14:paraId="42D96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75F0A9CA">
            <w:pPr>
              <w:spacing w:line="576" w:lineRule="exact"/>
              <w:jc w:val="center"/>
              <w:rPr>
                <w:rFonts w:ascii="仿宋_GB2312" w:hAnsi="宋体" w:eastAsia="仿宋_GB2312" w:cs="宋体"/>
                <w:sz w:val="24"/>
              </w:rPr>
            </w:pPr>
          </w:p>
        </w:tc>
        <w:tc>
          <w:tcPr>
            <w:tcW w:w="1697" w:type="dxa"/>
            <w:vAlign w:val="center"/>
          </w:tcPr>
          <w:p w14:paraId="7FB3DE14">
            <w:pPr>
              <w:spacing w:line="576" w:lineRule="exact"/>
              <w:jc w:val="center"/>
              <w:rPr>
                <w:rFonts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14:paraId="3B5E1F20">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14:paraId="4ACD9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2253EBC">
            <w:pPr>
              <w:spacing w:line="576" w:lineRule="exact"/>
              <w:jc w:val="center"/>
              <w:rPr>
                <w:rFonts w:ascii="仿宋_GB2312" w:hAnsi="宋体" w:eastAsia="仿宋_GB2312" w:cs="宋体"/>
                <w:sz w:val="24"/>
              </w:rPr>
            </w:pPr>
          </w:p>
        </w:tc>
        <w:tc>
          <w:tcPr>
            <w:tcW w:w="1697" w:type="dxa"/>
            <w:vAlign w:val="center"/>
          </w:tcPr>
          <w:p w14:paraId="6ED0AD89">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14:paraId="5BD7C53A">
            <w:pPr>
              <w:pStyle w:val="8"/>
              <w:numPr>
                <w:ilvl w:val="0"/>
                <w:numId w:val="1"/>
              </w:numPr>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职能职责</w:t>
            </w:r>
          </w:p>
          <w:p w14:paraId="0A470079">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1、 </w:t>
            </w:r>
            <w:r>
              <w:rPr>
                <w:rFonts w:ascii="仿宋_GB2312" w:hAnsi="仿宋_GB2312" w:eastAsia="仿宋_GB2312" w:cs="仿宋_GB2312"/>
                <w:sz w:val="24"/>
              </w:rPr>
              <w:t xml:space="preserve"> </w:t>
            </w:r>
            <w:r>
              <w:rPr>
                <w:rFonts w:hint="eastAsia" w:ascii="仿宋_GB2312" w:hAnsi="仿宋_GB2312" w:eastAsia="仿宋_GB2312" w:cs="仿宋_GB2312"/>
                <w:sz w:val="24"/>
              </w:rPr>
              <w:t>贯彻执行工程建设、城市建设（含城市雕塑）、村镇建设、建筑业、勘察设计咨询业的方针政策、中长期规划的近期以及年度计划，进行行业管理。</w:t>
            </w:r>
          </w:p>
          <w:p w14:paraId="082ED2E3">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2、贯彻执行工程建设实施阶段的国家标准、全国统一定额和行业标准及相关的管理制度，组织拟定我县具体实施办法、管理规程，监督指导各类工程建设造价，标准定额的实施。</w:t>
            </w:r>
          </w:p>
          <w:p w14:paraId="4D7A301F">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3、指导和管理全县建筑活动；规范建筑市场，指导监督建筑市场准入，设计招投标、工程招投标，负责设计方案和施工图纸审查、负责工程监理、工程质量及建筑安全的监督管理工作；贯彻执行勘察设计、施工、建设监理和相关社会中介组织管理的法规和规章，负责管理建筑业对外开拓和外地施工企业来我县注册工作，组织建筑企业参与国际工程承包和建筑劳务合作。</w:t>
            </w:r>
          </w:p>
          <w:p w14:paraId="0C6BF63E">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4、指导县城及各村镇建设，按规定或分工负责县城公用设施的建设。参与研究制定全县村镇建设发展总体规划和城镇体系规划。指导和帮助建制镇的建设。</w:t>
            </w:r>
          </w:p>
          <w:p w14:paraId="1CACDC23">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5、指导全县住宅建设，负责城市综合开发和房地产开发企业的资质审查。</w:t>
            </w:r>
          </w:p>
          <w:p w14:paraId="3C7BE169">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6、负责实施各类房屋建设及其附属设施和公用设施工程的抗震设防工作，指导城市地下空间的开发和利用。</w:t>
            </w:r>
          </w:p>
          <w:p w14:paraId="19A0A9BD">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7、负责全县勘察设计、供水及建筑施工企业等各类专业企业的资质审核、发证等工作。</w:t>
            </w:r>
          </w:p>
          <w:p w14:paraId="137F69B1">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8、会同有关部门做好城市维护建设资金及其他专项资金的筹集，编制年度资金安排使用计划，会同有关部门检查建设资金使用情况。负责全县建设工程项目的报建和综合协调收费等工作。</w:t>
            </w:r>
          </w:p>
          <w:p w14:paraId="60D35DFA">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9、管理建设行业的对外经济技术合作，指导全县建设企业开拓建设市场，指导和管理建设项目的招商引资工作。</w:t>
            </w:r>
          </w:p>
          <w:p w14:paraId="62568BE4">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10、负责建设行业的依法治理，拟定建设法制工作规划方案，组织起草、审查规范性文件，指导和监督所属部门和各乡镇的建设执法人作，规范管理建设合同，审查行政处罚案件，负责行政执法队伍的建设与管理。</w:t>
            </w:r>
          </w:p>
          <w:p w14:paraId="240B7E39">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11、负责指导全县城建设档案的管理工作，监督、指导、管理全县建设工程竣工档案工作；审查、认证验收工程竣工档案及综合开发。</w:t>
            </w:r>
          </w:p>
          <w:p w14:paraId="4413E0AD">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12、指导建设系统科技人才队伍的建设，负责专业技术职称评聘的执业资格管理的有关工作，指导和组织建设系统职工队伍的培训和继续教育工作，负责全县建设系统综合统计报表的汇总和上报。</w:t>
            </w:r>
          </w:p>
          <w:p w14:paraId="79128914">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13、负责组织做好思想政治工作，按照权限搞好干部管理、机构编制和人事管理工作，抓好宣传教育、党纪学习教育、廉政教育及精神文明建设、计划生育、维稳社会治安综合管理等工作。</w:t>
            </w:r>
          </w:p>
          <w:p w14:paraId="4F8D9537">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14、负责施工企业劳动保障的统筹工作及县直建筑施工企业的管理工作。</w:t>
            </w:r>
          </w:p>
          <w:p w14:paraId="6D7E97A6">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15、负责全县保障性住房建设。</w:t>
            </w:r>
          </w:p>
          <w:p w14:paraId="0D9DD961">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16、负责农村危房改造工作。</w:t>
            </w:r>
          </w:p>
          <w:p w14:paraId="57A4A827">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17、负责污水处理监督管理工作。</w:t>
            </w:r>
          </w:p>
          <w:p w14:paraId="154DC3BC">
            <w:pPr>
              <w:widowControl/>
              <w:shd w:val="clear" w:color="auto" w:fill="FFFFFF"/>
              <w:spacing w:line="520" w:lineRule="exact"/>
              <w:ind w:left="-2" w:leftChars="-170" w:hanging="355" w:hangingChars="148"/>
              <w:rPr>
                <w:rFonts w:ascii="仿宋_GB2312" w:hAnsi="仿宋_GB2312" w:eastAsia="仿宋_GB2312" w:cs="仿宋_GB2312"/>
                <w:sz w:val="24"/>
              </w:rPr>
            </w:pPr>
            <w:r>
              <w:rPr>
                <w:rFonts w:hint="eastAsia" w:ascii="仿宋_GB2312" w:hAnsi="仿宋_GB2312" w:eastAsia="仿宋_GB2312" w:cs="仿宋_GB2312"/>
                <w:sz w:val="24"/>
              </w:rPr>
              <w:t xml:space="preserve">    18、完成县委、县政府以及业务主管部门交办的其他事项。</w:t>
            </w:r>
          </w:p>
          <w:p w14:paraId="610E00E4">
            <w:pPr>
              <w:pStyle w:val="8"/>
              <w:shd w:val="clear" w:color="auto" w:fill="FFFFFF"/>
              <w:spacing w:before="0" w:beforeAutospacing="0" w:after="0" w:afterAutospacing="0" w:line="480" w:lineRule="auto"/>
              <w:jc w:val="both"/>
              <w:rPr>
                <w:rFonts w:ascii="仿宋_GB2312" w:hAnsi="仿宋_GB2312" w:eastAsia="仿宋_GB2312" w:cs="仿宋_GB2312"/>
                <w:kern w:val="2"/>
              </w:rPr>
            </w:pPr>
            <w:r>
              <w:rPr>
                <w:rFonts w:hint="eastAsia" w:ascii="仿宋_GB2312" w:hAnsi="仿宋_GB2312" w:eastAsia="仿宋_GB2312" w:cs="仿宋_GB2312"/>
                <w:kern w:val="2"/>
              </w:rPr>
              <w:t>（二）机构设置</w:t>
            </w:r>
          </w:p>
          <w:p w14:paraId="6B1895E4">
            <w:pPr>
              <w:widowControl/>
              <w:shd w:val="clear" w:color="auto" w:fill="FFFFFF"/>
              <w:spacing w:line="5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内设股室12个，分别是：办公室、计划财务股、政策法规股、审批服务股、村镇建设管理股（城镇建设管理股）、勘察设计管理股、房地产开发管理办公室（信息管理股）、物业管理股、建设综合管理股、消防管理股、机关党委、离退休人员管理服务股（人事股）。</w:t>
            </w:r>
          </w:p>
          <w:p w14:paraId="6E05097B">
            <w:pPr>
              <w:widowControl/>
              <w:shd w:val="clear" w:color="auto" w:fill="FFFFFF"/>
              <w:spacing w:line="5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所属二级事业单位7个：湘潭县保障性住房服务中心（副科级）、湘潭县建设工程质量安全监督站（副科级）、湘潭县建筑行业服务中心、湘潭县白蚁防治所、湘潭县物业专项维修资金综合服务中心、湘潭县城建档案馆、湘潭县建设工程造价站，其中湘潭县白蚁防治所为公益二类事业单位，其余均为公益一类事业单位。</w:t>
            </w:r>
          </w:p>
        </w:tc>
      </w:tr>
      <w:tr w14:paraId="387E0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14:paraId="1483F097">
            <w:pPr>
              <w:spacing w:line="360" w:lineRule="auto"/>
              <w:jc w:val="center"/>
              <w:rPr>
                <w:rFonts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14:paraId="70D7DF77">
            <w:pPr>
              <w:spacing w:line="360" w:lineRule="auto"/>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vAlign w:val="center"/>
          </w:tcPr>
          <w:p w14:paraId="727DBCC8">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始终认真贯彻执行《中华人民共和国会计法》、《中华人民共和国预算法》、《行政单位会计制度》等法律法规，各项经费支出严格按照政府采购、国库集中支付等有关规定执行。同时我单位制定了《湘潭县住房和城乡建设局财务管理制度》，在项目资金管理和使用上，严格按照《湘潭县财政专项资金管理暂行办法》、《湘潭县住房和城乡建设局财务管理制度》的规定，在资金使用上坚持专款专用的原则，严格按预算执行，项目资金建立专款专用、专项核算制度，由计划财务股进行资金监管，做到了支出合法、合规，无虚列、截留、超标准、超预算支出情况；我单位制定了资产管理制度，相关资产管理制度合法、合规、完整。</w:t>
            </w:r>
          </w:p>
          <w:p w14:paraId="43D7C231">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这些相关制度，明确了经费审批权限及程序，经费预算、核算管理、资产购置与处置、财务监督等。在“三公”经费管理方面，规范了公务接待的审批管理，较好地控制了行政运行成本。</w:t>
            </w:r>
          </w:p>
          <w:p w14:paraId="2C35EDD4">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2024本单位实际收入</w:t>
            </w:r>
            <w:r>
              <w:rPr>
                <w:rFonts w:ascii="仿宋_GB2312" w:hAnsi="仿宋_GB2312" w:eastAsia="仿宋_GB2312" w:cs="仿宋_GB2312"/>
                <w:sz w:val="24"/>
              </w:rPr>
              <w:t>16448.44</w:t>
            </w:r>
            <w:r>
              <w:rPr>
                <w:rFonts w:hint="eastAsia" w:ascii="仿宋_GB2312" w:hAnsi="仿宋_GB2312" w:eastAsia="仿宋_GB2312" w:cs="仿宋_GB2312"/>
                <w:sz w:val="24"/>
              </w:rPr>
              <w:t>万元，其中一般公共预算财政拨款收入</w:t>
            </w:r>
            <w:r>
              <w:rPr>
                <w:rFonts w:ascii="仿宋_GB2312" w:hAnsi="仿宋_GB2312" w:eastAsia="仿宋_GB2312" w:cs="仿宋_GB2312"/>
                <w:sz w:val="24"/>
              </w:rPr>
              <w:t>8543.98</w:t>
            </w:r>
            <w:r>
              <w:rPr>
                <w:rFonts w:hint="eastAsia" w:ascii="仿宋_GB2312" w:hAnsi="仿宋_GB2312" w:eastAsia="仿宋_GB2312" w:cs="仿宋_GB2312"/>
                <w:sz w:val="24"/>
              </w:rPr>
              <w:t>万元，政府性基金预算财政拨款收入</w:t>
            </w:r>
            <w:r>
              <w:rPr>
                <w:rFonts w:ascii="仿宋_GB2312" w:hAnsi="仿宋_GB2312" w:eastAsia="仿宋_GB2312" w:cs="仿宋_GB2312"/>
                <w:sz w:val="24"/>
              </w:rPr>
              <w:t>2672.02</w:t>
            </w:r>
            <w:r>
              <w:rPr>
                <w:rFonts w:hint="eastAsia" w:ascii="仿宋_GB2312" w:hAnsi="仿宋_GB2312" w:eastAsia="仿宋_GB2312" w:cs="仿宋_GB2312"/>
                <w:sz w:val="24"/>
              </w:rPr>
              <w:t>万元，其他收入2</w:t>
            </w:r>
            <w:r>
              <w:rPr>
                <w:rFonts w:ascii="仿宋_GB2312" w:hAnsi="仿宋_GB2312" w:eastAsia="仿宋_GB2312" w:cs="仿宋_GB2312"/>
                <w:sz w:val="24"/>
              </w:rPr>
              <w:t>6.09</w:t>
            </w:r>
            <w:r>
              <w:rPr>
                <w:rFonts w:hint="eastAsia" w:ascii="仿宋_GB2312" w:hAnsi="仿宋_GB2312" w:eastAsia="仿宋_GB2312" w:cs="仿宋_GB2312"/>
                <w:sz w:val="24"/>
              </w:rPr>
              <w:t>万元，年初结转和结余5</w:t>
            </w:r>
            <w:r>
              <w:rPr>
                <w:rFonts w:ascii="仿宋_GB2312" w:hAnsi="仿宋_GB2312" w:eastAsia="仿宋_GB2312" w:cs="仿宋_GB2312"/>
                <w:sz w:val="24"/>
              </w:rPr>
              <w:t>206.35</w:t>
            </w:r>
            <w:r>
              <w:rPr>
                <w:rFonts w:hint="eastAsia" w:ascii="仿宋_GB2312" w:hAnsi="仿宋_GB2312" w:eastAsia="仿宋_GB2312" w:cs="仿宋_GB2312"/>
                <w:sz w:val="24"/>
              </w:rPr>
              <w:t>万元；部门整体支出</w:t>
            </w:r>
            <w:r>
              <w:rPr>
                <w:rFonts w:ascii="仿宋_GB2312" w:hAnsi="仿宋_GB2312" w:eastAsia="仿宋_GB2312" w:cs="仿宋_GB2312"/>
                <w:sz w:val="24"/>
              </w:rPr>
              <w:t>11676.64</w:t>
            </w:r>
            <w:r>
              <w:rPr>
                <w:rFonts w:hint="eastAsia" w:ascii="仿宋_GB2312" w:hAnsi="仿宋_GB2312" w:eastAsia="仿宋_GB2312" w:cs="仿宋_GB2312"/>
                <w:sz w:val="24"/>
              </w:rPr>
              <w:t>万元，支出按支出性质分类为：基本支出</w:t>
            </w:r>
            <w:r>
              <w:rPr>
                <w:rFonts w:ascii="仿宋_GB2312" w:hAnsi="仿宋_GB2312" w:eastAsia="仿宋_GB2312" w:cs="仿宋_GB2312"/>
                <w:sz w:val="24"/>
              </w:rPr>
              <w:t>1931.29</w:t>
            </w:r>
            <w:r>
              <w:rPr>
                <w:rFonts w:hint="eastAsia" w:ascii="仿宋_GB2312" w:hAnsi="仿宋_GB2312" w:eastAsia="仿宋_GB2312" w:cs="仿宋_GB2312"/>
                <w:sz w:val="24"/>
              </w:rPr>
              <w:t>万元（其中：人员经费</w:t>
            </w:r>
            <w:r>
              <w:rPr>
                <w:rFonts w:ascii="仿宋_GB2312" w:hAnsi="仿宋_GB2312" w:eastAsia="仿宋_GB2312" w:cs="仿宋_GB2312"/>
                <w:sz w:val="24"/>
              </w:rPr>
              <w:t>1517.25</w:t>
            </w:r>
            <w:r>
              <w:rPr>
                <w:rFonts w:hint="eastAsia" w:ascii="仿宋_GB2312" w:hAnsi="仿宋_GB2312" w:eastAsia="仿宋_GB2312" w:cs="仿宋_GB2312"/>
                <w:sz w:val="24"/>
              </w:rPr>
              <w:t>万元，日常公用经费</w:t>
            </w:r>
            <w:r>
              <w:rPr>
                <w:rFonts w:ascii="仿宋_GB2312" w:hAnsi="仿宋_GB2312" w:eastAsia="仿宋_GB2312" w:cs="仿宋_GB2312"/>
                <w:sz w:val="24"/>
              </w:rPr>
              <w:t>414.04</w:t>
            </w:r>
            <w:r>
              <w:rPr>
                <w:rFonts w:hint="eastAsia" w:ascii="仿宋_GB2312" w:hAnsi="仿宋_GB2312" w:eastAsia="仿宋_GB2312" w:cs="仿宋_GB2312"/>
                <w:sz w:val="24"/>
              </w:rPr>
              <w:t>万元），项目支出</w:t>
            </w:r>
            <w:r>
              <w:rPr>
                <w:rFonts w:ascii="仿宋_GB2312" w:hAnsi="仿宋_GB2312" w:eastAsia="仿宋_GB2312" w:cs="仿宋_GB2312"/>
                <w:sz w:val="24"/>
              </w:rPr>
              <w:t>9745.35</w:t>
            </w:r>
            <w:r>
              <w:rPr>
                <w:rFonts w:hint="eastAsia" w:ascii="仿宋_GB2312" w:hAnsi="仿宋_GB2312" w:eastAsia="仿宋_GB2312" w:cs="仿宋_GB2312"/>
                <w:sz w:val="24"/>
              </w:rPr>
              <w:t>万元，其中：基本建设类项目1</w:t>
            </w:r>
            <w:r>
              <w:rPr>
                <w:rFonts w:ascii="仿宋_GB2312" w:hAnsi="仿宋_GB2312" w:eastAsia="仿宋_GB2312" w:cs="仿宋_GB2312"/>
                <w:sz w:val="24"/>
              </w:rPr>
              <w:t>722.87</w:t>
            </w:r>
            <w:r>
              <w:rPr>
                <w:rFonts w:hint="eastAsia" w:ascii="仿宋_GB2312" w:hAnsi="仿宋_GB2312" w:eastAsia="仿宋_GB2312" w:cs="仿宋_GB2312"/>
                <w:sz w:val="24"/>
              </w:rPr>
              <w:t>万元；</w:t>
            </w:r>
            <w:r>
              <w:rPr>
                <w:rFonts w:hint="eastAsia" w:ascii="仿宋_GB2312" w:hAnsi="宋体" w:eastAsia="仿宋_GB2312" w:cs="宋体"/>
                <w:kern w:val="0"/>
                <w:sz w:val="24"/>
              </w:rPr>
              <w:t>支出按经济分类为：工资福利支出</w:t>
            </w:r>
            <w:r>
              <w:rPr>
                <w:rFonts w:ascii="仿宋_GB2312" w:hAnsi="宋体" w:eastAsia="仿宋_GB2312" w:cs="宋体"/>
                <w:kern w:val="0"/>
                <w:sz w:val="24"/>
              </w:rPr>
              <w:t>1564.40</w:t>
            </w:r>
            <w:r>
              <w:rPr>
                <w:rFonts w:hint="eastAsia" w:ascii="仿宋_GB2312" w:hAnsi="宋体" w:eastAsia="仿宋_GB2312" w:cs="宋体"/>
                <w:kern w:val="0"/>
                <w:sz w:val="24"/>
              </w:rPr>
              <w:t>万元，商品和服务支出</w:t>
            </w:r>
            <w:r>
              <w:rPr>
                <w:rFonts w:ascii="仿宋_GB2312" w:hAnsi="宋体" w:eastAsia="仿宋_GB2312" w:cs="宋体"/>
                <w:kern w:val="0"/>
                <w:sz w:val="24"/>
              </w:rPr>
              <w:t>5938.60</w:t>
            </w:r>
            <w:r>
              <w:rPr>
                <w:rFonts w:hint="eastAsia" w:ascii="仿宋_GB2312" w:hAnsi="宋体" w:eastAsia="仿宋_GB2312" w:cs="宋体"/>
                <w:kern w:val="0"/>
                <w:sz w:val="24"/>
              </w:rPr>
              <w:t>万元，对个人和家庭的补助</w:t>
            </w:r>
            <w:r>
              <w:rPr>
                <w:rFonts w:ascii="仿宋_GB2312" w:hAnsi="宋体" w:eastAsia="仿宋_GB2312" w:cs="宋体"/>
                <w:kern w:val="0"/>
                <w:sz w:val="24"/>
              </w:rPr>
              <w:t>2400.88</w:t>
            </w:r>
            <w:r>
              <w:rPr>
                <w:rFonts w:hint="eastAsia" w:ascii="仿宋_GB2312" w:hAnsi="宋体" w:eastAsia="仿宋_GB2312" w:cs="宋体"/>
                <w:kern w:val="0"/>
                <w:sz w:val="24"/>
              </w:rPr>
              <w:t>万元，资本性支出</w:t>
            </w:r>
            <w:r>
              <w:rPr>
                <w:rFonts w:ascii="仿宋_GB2312" w:hAnsi="宋体" w:eastAsia="仿宋_GB2312" w:cs="宋体"/>
                <w:kern w:val="0"/>
                <w:sz w:val="24"/>
              </w:rPr>
              <w:t>1583.76</w:t>
            </w:r>
            <w:r>
              <w:rPr>
                <w:rFonts w:hint="eastAsia" w:ascii="仿宋_GB2312" w:hAnsi="宋体" w:eastAsia="仿宋_GB2312" w:cs="宋体"/>
                <w:kern w:val="0"/>
                <w:sz w:val="24"/>
              </w:rPr>
              <w:t>万元，对企业补助1</w:t>
            </w:r>
            <w:r>
              <w:rPr>
                <w:rFonts w:ascii="仿宋_GB2312" w:hAnsi="宋体" w:eastAsia="仿宋_GB2312" w:cs="宋体"/>
                <w:kern w:val="0"/>
                <w:sz w:val="24"/>
              </w:rPr>
              <w:t>89</w:t>
            </w:r>
            <w:r>
              <w:rPr>
                <w:rFonts w:hint="eastAsia" w:ascii="仿宋_GB2312" w:hAnsi="宋体" w:eastAsia="仿宋_GB2312" w:cs="宋体"/>
                <w:kern w:val="0"/>
                <w:sz w:val="24"/>
              </w:rPr>
              <w:t>万元；</w:t>
            </w:r>
            <w:r>
              <w:rPr>
                <w:rFonts w:hint="eastAsia" w:ascii="仿宋_GB2312" w:hAnsi="仿宋_GB2312" w:eastAsia="仿宋_GB2312" w:cs="仿宋_GB2312"/>
                <w:sz w:val="24"/>
              </w:rPr>
              <w:t>年末结转和结余4</w:t>
            </w:r>
            <w:r>
              <w:rPr>
                <w:rFonts w:ascii="仿宋_GB2312" w:hAnsi="仿宋_GB2312" w:eastAsia="仿宋_GB2312" w:cs="仿宋_GB2312"/>
                <w:sz w:val="24"/>
              </w:rPr>
              <w:t>771.80</w:t>
            </w:r>
            <w:r>
              <w:rPr>
                <w:rFonts w:hint="eastAsia" w:ascii="仿宋_GB2312" w:hAnsi="仿宋_GB2312" w:eastAsia="仿宋_GB2312" w:cs="仿宋_GB2312"/>
                <w:sz w:val="24"/>
              </w:rPr>
              <w:t>万元；2024年“三公”经费</w:t>
            </w:r>
            <w:r>
              <w:rPr>
                <w:rFonts w:ascii="仿宋_GB2312" w:hAnsi="仿宋_GB2312" w:eastAsia="仿宋_GB2312" w:cs="仿宋_GB2312"/>
                <w:sz w:val="24"/>
              </w:rPr>
              <w:t>16.78</w:t>
            </w:r>
            <w:r>
              <w:rPr>
                <w:rFonts w:hint="eastAsia" w:ascii="仿宋_GB2312" w:hAnsi="仿宋_GB2312" w:eastAsia="仿宋_GB2312" w:cs="仿宋_GB2312"/>
                <w:sz w:val="24"/>
              </w:rPr>
              <w:t>万元，全部为车辆运维费</w:t>
            </w:r>
            <w:r>
              <w:rPr>
                <w:rFonts w:ascii="仿宋_GB2312" w:hAnsi="仿宋_GB2312" w:eastAsia="仿宋_GB2312" w:cs="仿宋_GB2312"/>
                <w:sz w:val="24"/>
              </w:rPr>
              <w:t>16.78</w:t>
            </w:r>
            <w:r>
              <w:rPr>
                <w:rFonts w:hint="eastAsia" w:ascii="仿宋_GB2312" w:hAnsi="仿宋_GB2312" w:eastAsia="仿宋_GB2312" w:cs="仿宋_GB2312"/>
                <w:sz w:val="24"/>
              </w:rPr>
              <w:t>万元，无公务接待费。</w:t>
            </w:r>
            <w:r>
              <w:rPr>
                <w:rFonts w:ascii="仿宋_GB2312" w:hAnsi="仿宋_GB2312" w:eastAsia="仿宋_GB2312" w:cs="仿宋_GB2312"/>
                <w:sz w:val="24"/>
              </w:rPr>
              <w:t xml:space="preserve"> </w:t>
            </w:r>
          </w:p>
        </w:tc>
      </w:tr>
      <w:tr w14:paraId="555F4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76EA1390">
            <w:pPr>
              <w:spacing w:line="360" w:lineRule="auto"/>
              <w:jc w:val="center"/>
              <w:rPr>
                <w:rFonts w:ascii="仿宋_GB2312" w:hAnsi="宋体" w:eastAsia="仿宋_GB2312" w:cs="宋体"/>
                <w:sz w:val="24"/>
              </w:rPr>
            </w:pPr>
          </w:p>
        </w:tc>
        <w:tc>
          <w:tcPr>
            <w:tcW w:w="1697" w:type="dxa"/>
            <w:vAlign w:val="center"/>
          </w:tcPr>
          <w:p w14:paraId="6A23088A">
            <w:pPr>
              <w:spacing w:line="360" w:lineRule="auto"/>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14:paraId="027E657C">
            <w:pPr>
              <w:spacing w:line="560" w:lineRule="exact"/>
              <w:ind w:firstLine="480" w:firstLineChars="200"/>
              <w:rPr>
                <w:rFonts w:ascii="仿宋_GB2312" w:eastAsia="仿宋_GB2312"/>
                <w:sz w:val="24"/>
              </w:rPr>
            </w:pPr>
            <w:r>
              <w:rPr>
                <w:rFonts w:hint="eastAsia" w:ascii="仿宋_GB2312" w:eastAsia="仿宋_GB2312"/>
                <w:sz w:val="24"/>
              </w:rPr>
              <w:t>2024年，湘潭县住建局在县委、县政府的坚强领导下，紧紧围绕“三提一领”总目标，克服重重困难，适应新形势，把握新要求，积极攻难点、破冰点、出亮点，较好地完成了各项工作任务，努力推动住房和城乡建设事业再上新台阶，实现新突破。现将2024年度工作情况总结如下：</w:t>
            </w:r>
          </w:p>
          <w:p w14:paraId="6D6CABA1">
            <w:pPr>
              <w:numPr>
                <w:ilvl w:val="0"/>
                <w:numId w:val="2"/>
              </w:numPr>
              <w:spacing w:line="560" w:lineRule="exact"/>
              <w:ind w:firstLine="480" w:firstLineChars="200"/>
              <w:rPr>
                <w:rFonts w:ascii="仿宋_GB2312" w:eastAsia="仿宋_GB2312"/>
                <w:color w:val="000000"/>
                <w:kern w:val="0"/>
                <w:sz w:val="24"/>
              </w:rPr>
            </w:pPr>
            <w:r>
              <w:rPr>
                <w:rFonts w:hint="eastAsia" w:ascii="仿宋_GB2312" w:eastAsia="仿宋_GB2312"/>
                <w:color w:val="000000"/>
                <w:kern w:val="0"/>
                <w:sz w:val="24"/>
              </w:rPr>
              <w:t>2024年工作完成情况</w:t>
            </w:r>
          </w:p>
          <w:p w14:paraId="0F61F992">
            <w:pPr>
              <w:spacing w:line="560" w:lineRule="exact"/>
              <w:ind w:firstLine="482" w:firstLineChars="200"/>
              <w:rPr>
                <w:rFonts w:ascii="仿宋_GB2312" w:eastAsia="仿宋_GB2312"/>
                <w:sz w:val="24"/>
              </w:rPr>
            </w:pPr>
            <w:r>
              <w:rPr>
                <w:rFonts w:hint="eastAsia" w:ascii="仿宋_GB2312" w:hAnsi="微软雅黑" w:eastAsia="仿宋_GB2312" w:cs="仿宋_GB2312"/>
                <w:b/>
                <w:bCs/>
                <w:color w:val="333333"/>
                <w:kern w:val="0"/>
                <w:sz w:val="24"/>
                <w:shd w:val="clear" w:color="auto" w:fill="FFFFFF"/>
              </w:rPr>
              <w:t>（一）建筑行业平稳发展。</w:t>
            </w:r>
            <w:r>
              <w:rPr>
                <w:rFonts w:hint="eastAsia" w:ascii="仿宋_GB2312" w:eastAsia="仿宋_GB2312"/>
                <w:sz w:val="24"/>
              </w:rPr>
              <w:t>目前，有施工企业162家，其中施工总承包企业56家（施工总承包一级企业6家），专业承包企业44家，劳务企业62家，至目前为止，己有65家企业完成换证，26家企业60项资质完成延续，3家企业增项，6家企业资质变更，54家企业安全生产许许可证延期。预计全年建筑业产值为120亿左右，同比递增12%。</w:t>
            </w:r>
          </w:p>
          <w:p w14:paraId="0EF30E0C">
            <w:pPr>
              <w:autoSpaceDE w:val="0"/>
              <w:spacing w:line="540" w:lineRule="exact"/>
              <w:ind w:firstLine="482" w:firstLineChars="200"/>
              <w:rPr>
                <w:rFonts w:ascii="仿宋_GB2312" w:eastAsia="仿宋_GB2312"/>
                <w:color w:val="000000"/>
                <w:sz w:val="24"/>
              </w:rPr>
            </w:pPr>
            <w:r>
              <w:rPr>
                <w:rFonts w:hint="eastAsia" w:ascii="仿宋_GB2312" w:hAnsi="微软雅黑" w:eastAsia="仿宋_GB2312" w:cs="仿宋_GB2312"/>
                <w:b/>
                <w:bCs/>
                <w:color w:val="333333"/>
                <w:kern w:val="0"/>
                <w:sz w:val="24"/>
                <w:shd w:val="clear" w:color="auto" w:fill="FFFFFF"/>
              </w:rPr>
              <w:t>（二）房地产市场平稳运行。</w:t>
            </w:r>
            <w:r>
              <w:rPr>
                <w:rFonts w:hint="eastAsia" w:ascii="仿宋_GB2312" w:eastAsia="仿宋_GB2312"/>
                <w:color w:val="000000"/>
                <w:sz w:val="24"/>
              </w:rPr>
              <w:t>成功举办第五届房博会，</w:t>
            </w:r>
            <w:r>
              <w:rPr>
                <w:rFonts w:hint="eastAsia" w:ascii="仿宋_GB2312" w:hAnsi="仿宋_GB2312" w:eastAsia="仿宋_GB2312" w:cs="仿宋_GB2312"/>
                <w:sz w:val="24"/>
              </w:rPr>
              <w:t>期间销售新建商品房1080套，全年销售新建商品</w:t>
            </w:r>
            <w:r>
              <w:rPr>
                <w:rFonts w:hint="eastAsia" w:ascii="仿宋_GB2312" w:eastAsia="仿宋_GB2312"/>
                <w:color w:val="000000"/>
                <w:sz w:val="24"/>
              </w:rPr>
              <w:t>房2040套</w:t>
            </w:r>
            <w:r>
              <w:rPr>
                <w:rFonts w:hint="eastAsia" w:ascii="仿宋_GB2312" w:hAnsi="仿宋_GB2312" w:eastAsia="仿宋_GB2312" w:cs="仿宋_GB2312"/>
                <w:sz w:val="24"/>
              </w:rPr>
              <w:t>。</w:t>
            </w:r>
            <w:r>
              <w:rPr>
                <w:rFonts w:hint="eastAsia" w:ascii="仿宋_GB2312" w:eastAsia="仿宋_GB2312"/>
                <w:sz w:val="24"/>
              </w:rPr>
              <w:t>县住建局从严监管，精准实施“一楼一策”“一项目一方案”，既帮助企业促进销售，提振企业投资信心，又倡导企业以品牌质量赢得口碑，提升群众购房热情。我县房地产市场在大环境中营造“小气侯”，市场整体稳定。</w:t>
            </w:r>
            <w:r>
              <w:rPr>
                <w:rFonts w:hint="eastAsia" w:ascii="仿宋_GB2312" w:eastAsia="仿宋_GB2312"/>
                <w:color w:val="000000"/>
                <w:sz w:val="24"/>
              </w:rPr>
              <w:t>全县停盘烂尾项目为“0”，保交楼项目为“0”，保交房项目2个，任务完成率100%。</w:t>
            </w:r>
          </w:p>
          <w:p w14:paraId="0A5AFBF8">
            <w:pPr>
              <w:spacing w:line="560" w:lineRule="exact"/>
              <w:ind w:firstLine="482" w:firstLineChars="200"/>
              <w:rPr>
                <w:rFonts w:ascii="仿宋_GB2312" w:eastAsia="仿宋_GB2312"/>
                <w:sz w:val="24"/>
              </w:rPr>
            </w:pPr>
            <w:r>
              <w:rPr>
                <w:rFonts w:hint="eastAsia" w:ascii="仿宋_GB2312" w:hAnsi="微软雅黑" w:eastAsia="仿宋_GB2312" w:cs="仿宋_GB2312"/>
                <w:b/>
                <w:bCs/>
                <w:color w:val="333333"/>
                <w:kern w:val="0"/>
                <w:sz w:val="24"/>
                <w:shd w:val="clear" w:color="auto" w:fill="FFFFFF"/>
              </w:rPr>
              <w:t>（三）全面规范审批服务事项。</w:t>
            </w:r>
            <w:r>
              <w:rPr>
                <w:rFonts w:hint="eastAsia" w:ascii="仿宋_GB2312" w:eastAsia="仿宋_GB2312"/>
                <w:sz w:val="24"/>
              </w:rPr>
              <w:t>2024年，受理各类业务办理事项1165件，其中初步设计批复2件、施工许可18件、商品房预售许可8件、竣工验收备案55件、起重机械使用登记23件、直接发包31件、房屋租赁备案12件、白蚁预防21件、消防验收16件、消防验收备案55件、物业专项维修资金缴存、更名852件、工程竣工联合验收27件、收取城市基础设施配套费45件（408.82万元），联合图审项目36个，为企业减负70.15万元。归集物业专项维修资金4000万元，户数3261户，维修项目59宗，拨付资金91.71万元，涉及户数2628户。累计归集金额8.6亿元，户数84800户。</w:t>
            </w:r>
          </w:p>
          <w:p w14:paraId="2625483E">
            <w:pPr>
              <w:spacing w:line="560" w:lineRule="exact"/>
              <w:ind w:firstLine="482" w:firstLineChars="200"/>
              <w:rPr>
                <w:rFonts w:ascii="仿宋_GB2312" w:eastAsia="仿宋_GB2312"/>
                <w:sz w:val="24"/>
              </w:rPr>
            </w:pPr>
            <w:r>
              <w:rPr>
                <w:rFonts w:hint="eastAsia" w:ascii="仿宋_GB2312" w:hAnsi="微软雅黑" w:eastAsia="仿宋_GB2312" w:cs="仿宋_GB2312"/>
                <w:b/>
                <w:bCs/>
                <w:color w:val="333333"/>
                <w:kern w:val="0"/>
                <w:sz w:val="24"/>
                <w:shd w:val="clear" w:color="auto" w:fill="FFFFFF"/>
              </w:rPr>
              <w:t>（四）深入推进自建房安全专项整治工作。</w:t>
            </w:r>
            <w:r>
              <w:rPr>
                <w:rFonts w:hint="eastAsia" w:ascii="仿宋_GB2312" w:eastAsia="仿宋_GB2312"/>
                <w:sz w:val="24"/>
              </w:rPr>
              <w:t>2024年，县自建房专班印发《关于全面开展居民自建房安全隐患排查整治“回头看”工作的通知》，各乡镇迅速对辖区C、D级危房进行“回头看”，各C、D级闲置空心房均悬挂安全警示标识，对72栋C、D级非经营性（自住）自建房进行了工程措施销号，销号率100%，做到“危房不住人”。</w:t>
            </w:r>
          </w:p>
          <w:p w14:paraId="31D2BA38">
            <w:pPr>
              <w:spacing w:line="560" w:lineRule="exact"/>
              <w:ind w:firstLine="482" w:firstLineChars="200"/>
              <w:rPr>
                <w:rFonts w:ascii="仿宋_GB2312" w:eastAsia="仿宋_GB2312"/>
                <w:sz w:val="24"/>
              </w:rPr>
            </w:pPr>
            <w:r>
              <w:rPr>
                <w:rFonts w:hint="eastAsia" w:ascii="仿宋_GB2312" w:hAnsi="微软雅黑" w:eastAsia="仿宋_GB2312" w:cs="仿宋_GB2312"/>
                <w:b/>
                <w:bCs/>
                <w:color w:val="333333"/>
                <w:kern w:val="0"/>
                <w:sz w:val="24"/>
                <w:shd w:val="clear" w:color="auto" w:fill="FFFFFF"/>
              </w:rPr>
              <w:t>（五）人居环境不断提升。</w:t>
            </w:r>
            <w:r>
              <w:rPr>
                <w:rFonts w:hint="eastAsia" w:ascii="仿宋_GB2312" w:eastAsia="仿宋_GB2312"/>
                <w:b/>
                <w:bCs/>
                <w:sz w:val="24"/>
              </w:rPr>
              <w:t>一是持续开展农村危房改造</w:t>
            </w:r>
            <w:r>
              <w:rPr>
                <w:rFonts w:hint="eastAsia" w:ascii="仿宋_GB2312" w:eastAsia="仿宋_GB2312"/>
                <w:sz w:val="24"/>
              </w:rPr>
              <w:t>。对全县所有农村危房进行全面摸排，抓住时间节点，及时开工，高效开展农村危房改造工作，确保全县农户住房安全保障全部到位，有效确保房屋质量安全，做到应改尽改，坚决做到不漏一户，不落一人。今年全县进行危房改造262户，已全部竣工验收。</w:t>
            </w:r>
            <w:r>
              <w:rPr>
                <w:rFonts w:hint="eastAsia" w:ascii="仿宋_GB2312" w:eastAsia="仿宋_GB2312"/>
                <w:b/>
                <w:bCs/>
                <w:sz w:val="24"/>
              </w:rPr>
              <w:t>二是积极推动老旧小区改造和增设电梯工作。</w:t>
            </w:r>
            <w:r>
              <w:rPr>
                <w:rFonts w:hint="eastAsia" w:ascii="仿宋_GB2312" w:eastAsia="仿宋_GB2312"/>
                <w:sz w:val="24"/>
              </w:rPr>
              <w:t>完成湘潭县回收公司宿舍、易俗河农业银行宿舍、黄莺花苑小区、妇幼宿舍、电信邮政公司宿舍、卫监宿舍、百花小学宿舍等7个老旧小区改造，总计19栋、468户，面积4.81万平方米，总投资421万元。</w:t>
            </w:r>
            <w:r>
              <w:rPr>
                <w:rFonts w:hint="eastAsia" w:ascii="仿宋_GB2312" w:eastAsia="仿宋_GB2312"/>
                <w:color w:val="000000"/>
                <w:sz w:val="24"/>
              </w:rPr>
              <w:t>全年电梯加装5台工作任务已全部完成</w:t>
            </w:r>
            <w:r>
              <w:rPr>
                <w:rFonts w:hint="eastAsia" w:ascii="仿宋_GB2312" w:hAnsi="仿宋_GB2312" w:eastAsia="仿宋_GB2312" w:cs="仿宋_GB2312"/>
                <w:sz w:val="24"/>
              </w:rPr>
              <w:t>。</w:t>
            </w:r>
          </w:p>
          <w:p w14:paraId="78199192">
            <w:pPr>
              <w:spacing w:line="560" w:lineRule="exact"/>
              <w:ind w:firstLine="482" w:firstLineChars="200"/>
              <w:rPr>
                <w:rFonts w:ascii="仿宋_GB2312" w:hAnsi="仿宋" w:eastAsia="仿宋_GB2312" w:cs="仿宋"/>
                <w:snapToGrid w:val="0"/>
                <w:color w:val="000000"/>
                <w:sz w:val="24"/>
              </w:rPr>
            </w:pPr>
            <w:r>
              <w:rPr>
                <w:rFonts w:hint="eastAsia" w:ascii="仿宋_GB2312" w:hAnsi="微软雅黑" w:eastAsia="仿宋_GB2312" w:cs="仿宋_GB2312"/>
                <w:b/>
                <w:bCs/>
                <w:color w:val="333333"/>
                <w:kern w:val="0"/>
                <w:sz w:val="24"/>
                <w:shd w:val="clear" w:color="auto" w:fill="FFFFFF"/>
              </w:rPr>
              <w:t>（六）强化质量安全管控措施。</w:t>
            </w:r>
            <w:r>
              <w:rPr>
                <w:rFonts w:hint="eastAsia" w:ascii="仿宋_GB2312" w:eastAsia="仿宋_GB2312"/>
                <w:sz w:val="24"/>
              </w:rPr>
              <w:t>全县在建住宅项目80个，建筑面积</w:t>
            </w:r>
            <w:r>
              <w:rPr>
                <w:rFonts w:hint="eastAsia" w:ascii="仿宋_GB2312" w:hAnsi="仿宋" w:eastAsia="仿宋_GB2312" w:cs="仿宋"/>
                <w:color w:val="000000"/>
                <w:sz w:val="24"/>
              </w:rPr>
              <w:t>194.04</w:t>
            </w:r>
            <w:r>
              <w:rPr>
                <w:rFonts w:hint="eastAsia" w:ascii="仿宋_GB2312" w:eastAsia="仿宋_GB2312"/>
                <w:sz w:val="24"/>
              </w:rPr>
              <w:t>万</w:t>
            </w:r>
            <w:r>
              <w:rPr>
                <w:rFonts w:hint="eastAsia" w:ascii="Segoe UI Symbol" w:hAnsi="Segoe UI Symbol" w:eastAsia="Segoe UI Symbol" w:cs="Segoe UI Symbol"/>
                <w:sz w:val="24"/>
              </w:rPr>
              <w:t>㎡</w:t>
            </w:r>
            <w:r>
              <w:rPr>
                <w:rFonts w:hint="eastAsia" w:ascii="仿宋_GB2312" w:eastAsia="仿宋_GB2312"/>
                <w:sz w:val="24"/>
              </w:rPr>
              <w:t>。全县已开展建筑工程质量常见问题专项治理项目共51个，均要求施工单位整改到位，覆盖率100%。</w:t>
            </w:r>
            <w:r>
              <w:rPr>
                <w:rFonts w:hint="eastAsia" w:ascii="仿宋_GB2312" w:hAnsi="仿宋" w:eastAsia="仿宋_GB2312" w:cs="仿宋"/>
                <w:color w:val="000000"/>
                <w:sz w:val="24"/>
              </w:rPr>
              <w:t>完成了竣工验收项目31个，竣工验收一次性合格，总面积52.88万平米，均已备案，</w:t>
            </w:r>
            <w:r>
              <w:rPr>
                <w:rFonts w:hint="eastAsia" w:ascii="仿宋_GB2312" w:hAnsi="仿宋" w:eastAsia="仿宋_GB2312" w:cs="仿宋"/>
                <w:sz w:val="24"/>
              </w:rPr>
              <w:t>全年共收到质量问题投诉69起，处理69起，合格率100%。</w:t>
            </w:r>
            <w:r>
              <w:rPr>
                <w:rFonts w:hint="eastAsia" w:ascii="仿宋_GB2312" w:hAnsi="仿宋" w:eastAsia="仿宋_GB2312" w:cs="仿宋"/>
                <w:color w:val="222222"/>
                <w:sz w:val="24"/>
                <w:shd w:val="clear" w:color="auto" w:fill="FFFFFF"/>
              </w:rPr>
              <w:t>全年安全生产情况良好，安全责任死亡率持续为零，</w:t>
            </w:r>
            <w:r>
              <w:rPr>
                <w:rFonts w:hint="eastAsia" w:ascii="仿宋_GB2312" w:eastAsia="仿宋_GB2312"/>
                <w:sz w:val="24"/>
              </w:rPr>
              <w:t>质量安全总体平稳可控</w:t>
            </w:r>
            <w:r>
              <w:rPr>
                <w:rFonts w:hint="eastAsia" w:ascii="仿宋_GB2312" w:hAnsi="仿宋" w:eastAsia="仿宋_GB2312" w:cs="仿宋"/>
                <w:color w:val="222222"/>
                <w:sz w:val="24"/>
                <w:shd w:val="clear" w:color="auto" w:fill="FFFFFF"/>
              </w:rPr>
              <w:t>。</w:t>
            </w:r>
          </w:p>
          <w:p w14:paraId="4B2B0828">
            <w:pPr>
              <w:spacing w:line="560" w:lineRule="exact"/>
              <w:ind w:firstLine="482" w:firstLineChars="200"/>
              <w:rPr>
                <w:rFonts w:ascii="仿宋_GB2312" w:hAnsi="微软雅黑" w:eastAsia="仿宋_GB2312" w:cs="仿宋_GB2312"/>
                <w:b/>
                <w:bCs/>
                <w:color w:val="333333"/>
                <w:kern w:val="0"/>
                <w:sz w:val="24"/>
                <w:shd w:val="clear" w:color="auto" w:fill="FFFFFF"/>
              </w:rPr>
            </w:pPr>
            <w:r>
              <w:rPr>
                <w:rFonts w:hint="eastAsia" w:ascii="仿宋_GB2312" w:hAnsi="微软雅黑" w:eastAsia="仿宋_GB2312" w:cs="仿宋_GB2312"/>
                <w:b/>
                <w:bCs/>
                <w:color w:val="333333"/>
                <w:kern w:val="0"/>
                <w:sz w:val="24"/>
                <w:shd w:val="clear" w:color="auto" w:fill="FFFFFF"/>
              </w:rPr>
              <w:t>（七）深化物业管理。</w:t>
            </w:r>
            <w:r>
              <w:rPr>
                <w:rFonts w:hint="eastAsia" w:ascii="仿宋_GB2312" w:eastAsia="仿宋_GB2312"/>
                <w:color w:val="000000"/>
                <w:sz w:val="24"/>
              </w:rPr>
              <w:t>年初根据《湘潭县住宅小区物业服务企业红黑榜制度及星级评定方案》，联合县公安局、县消防救援大队、易俗河镇和相关社区完成了2023年度县城78个物业小区物业管理考核的各项评比工作，为推进居民小区协同治理打下了良好基础。</w:t>
            </w:r>
            <w:r>
              <w:rPr>
                <w:rFonts w:hint="eastAsia" w:ascii="仿宋_GB2312" w:hAnsi="仿宋_GB2312" w:eastAsia="仿宋_GB2312" w:cs="仿宋_GB2312"/>
                <w:color w:val="000000"/>
                <w:sz w:val="24"/>
              </w:rPr>
              <w:t>指导上水西郡、等6个小区业主委员会选举或换届工作，并完成备案。</w:t>
            </w:r>
            <w:r>
              <w:rPr>
                <w:rFonts w:hint="eastAsia" w:ascii="仿宋_GB2312" w:eastAsia="仿宋_GB2312"/>
                <w:color w:val="000000"/>
                <w:sz w:val="24"/>
              </w:rPr>
              <w:t>认真处理涉及物业管理的信访投诉，2024年，共受理处理关于物业小区的653件信访投诉，到小区现场化解矛盾纠纷50起。对于因物业服务不到位的诉求，督促物业企业克服困难限期整改落实。</w:t>
            </w:r>
          </w:p>
          <w:p w14:paraId="7B93EB26">
            <w:pPr>
              <w:widowControl/>
              <w:spacing w:line="560" w:lineRule="exact"/>
              <w:ind w:firstLine="482" w:firstLineChars="200"/>
              <w:rPr>
                <w:rFonts w:ascii="仿宋_GB2312" w:hAnsi="仿宋_GB2312" w:eastAsia="仿宋_GB2312" w:cs="仿宋_GB2312"/>
                <w:sz w:val="24"/>
              </w:rPr>
            </w:pPr>
            <w:r>
              <w:rPr>
                <w:rFonts w:hint="eastAsia" w:ascii="仿宋_GB2312" w:hAnsi="微软雅黑" w:eastAsia="仿宋_GB2312" w:cs="仿宋_GB2312"/>
                <w:b/>
                <w:bCs/>
                <w:color w:val="333333"/>
                <w:kern w:val="0"/>
                <w:sz w:val="24"/>
                <w:shd w:val="clear" w:color="auto" w:fill="FFFFFF"/>
              </w:rPr>
              <w:t>（八）积极开展抗洪抢险工作。</w:t>
            </w:r>
            <w:r>
              <w:rPr>
                <w:rFonts w:hint="eastAsia" w:ascii="仿宋_GB2312" w:hAnsi="仿宋_GB2312" w:eastAsia="仿宋_GB2312" w:cs="仿宋_GB2312"/>
                <w:sz w:val="24"/>
              </w:rPr>
              <w:t>组织专业技术力量，排查全县房屋近3000栋，出动技术人员362人次，应急评估出一般损房1204栋，严损房屋328栋。指导开展灾后房屋重建修缮工作，至目前，已重建49户，修缮加固607户。指导物业小区加强排水防涝，紧盯小区内的边坡、围墙倒塌、沉陷等情况，防止意外伤害发生。积极协调垃圾压缩车及辅助车辆共16辆，轮式挖机2台，确保乡镇垃圾及时转运。</w:t>
            </w:r>
          </w:p>
          <w:p w14:paraId="3D6D77FB">
            <w:pPr>
              <w:widowControl/>
              <w:spacing w:line="560" w:lineRule="exact"/>
              <w:ind w:firstLine="482" w:firstLineChars="200"/>
              <w:rPr>
                <w:rFonts w:ascii="仿宋_GB2312" w:hAnsi="仿宋_GB2312" w:eastAsia="仿宋_GB2312" w:cs="仿宋_GB2312"/>
                <w:sz w:val="24"/>
              </w:rPr>
            </w:pPr>
            <w:r>
              <w:rPr>
                <w:rFonts w:hint="eastAsia" w:ascii="仿宋_GB2312" w:hAnsi="微软雅黑" w:eastAsia="仿宋_GB2312" w:cs="仿宋_GB2312"/>
                <w:b/>
                <w:bCs/>
                <w:color w:val="333333"/>
                <w:kern w:val="0"/>
                <w:sz w:val="24"/>
                <w:shd w:val="clear" w:color="auto" w:fill="FFFFFF"/>
              </w:rPr>
              <w:t>（九）深入开展棚改专项整治工作。</w:t>
            </w:r>
            <w:r>
              <w:rPr>
                <w:rFonts w:hint="eastAsia" w:ascii="仿宋_GB2312" w:hAnsi="仿宋_GB2312" w:eastAsia="仿宋_GB2312" w:cs="仿宋_GB2312"/>
                <w:sz w:val="24"/>
              </w:rPr>
              <w:t>按照省市统一安排，出台了专项整治方案，并多次修改完善，目前，资料收集做到了应收尽收，但对照省市督导清单，绝大部分项目资料有不同程度缺失，无法归集，基本上梳理了每个项目的基本概况。通过自查自纠发现问题56个，其中，城镇棚改项目问题37个，工矿棚改项目问题14个，国有林场危旧房项目问题5个。目前，只有1个工矿棚改项目问题正在整改中，其余已全部整改到位。</w:t>
            </w:r>
          </w:p>
          <w:p w14:paraId="6B6EB066">
            <w:pPr>
              <w:widowControl/>
              <w:spacing w:line="560" w:lineRule="exact"/>
              <w:ind w:firstLine="482" w:firstLineChars="200"/>
              <w:rPr>
                <w:rFonts w:ascii="仿宋_GB2312" w:hAnsi="仿宋_GB2312" w:eastAsia="仿宋_GB2312" w:cs="仿宋_GB2312"/>
                <w:sz w:val="24"/>
              </w:rPr>
            </w:pPr>
            <w:r>
              <w:rPr>
                <w:rFonts w:hint="eastAsia" w:ascii="仿宋_GB2312" w:hAnsi="微软雅黑" w:eastAsia="仿宋_GB2312" w:cs="仿宋_GB2312"/>
                <w:b/>
                <w:bCs/>
                <w:color w:val="333333"/>
                <w:kern w:val="0"/>
                <w:sz w:val="24"/>
                <w:shd w:val="clear" w:color="auto" w:fill="FFFFFF"/>
              </w:rPr>
              <w:t>（十）全力推进争资争项工作。</w:t>
            </w:r>
            <w:r>
              <w:rPr>
                <w:rFonts w:hint="eastAsia" w:ascii="仿宋_GB2312" w:eastAsia="仿宋_GB2312"/>
                <w:color w:val="000000"/>
                <w:sz w:val="24"/>
              </w:rPr>
              <w:t>牵头做好湘潭县城市排水防涝设施建设项目实施方案（2023-2025年）和湘潭县城市地下管网管廊及设施建设改造实施方案。策划包装项目6个，并完成项目前期工作。通过保障性安居工程和农村危房改造向上争取资金476万元，2025年已到指标1640万元。争取湖南省乡镇污水处理设施建设四年行动项目奖补资金约900万元（省住建厅已经公示）。</w:t>
            </w:r>
          </w:p>
        </w:tc>
      </w:tr>
      <w:tr w14:paraId="5D0AA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43EB7EC9">
            <w:pPr>
              <w:spacing w:line="360" w:lineRule="auto"/>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14:paraId="07A58E55">
            <w:pPr>
              <w:spacing w:line="360" w:lineRule="auto"/>
              <w:jc w:val="center"/>
              <w:rPr>
                <w:rFonts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14:paraId="4ED904F3">
            <w:pPr>
              <w:pStyle w:val="18"/>
              <w:spacing w:line="360" w:lineRule="auto"/>
              <w:ind w:left="77" w:firstLine="480"/>
              <w:rPr>
                <w:rFonts w:ascii="仿宋_GB2312" w:hAnsi="宋体" w:eastAsia="仿宋_GB2312" w:cs="宋体"/>
                <w:kern w:val="0"/>
                <w:sz w:val="24"/>
              </w:rPr>
            </w:pPr>
            <w:r>
              <w:rPr>
                <w:rFonts w:hint="eastAsia" w:ascii="仿宋_GB2312" w:hAnsi="宋体" w:eastAsia="仿宋_GB2312" w:cs="宋体"/>
                <w:kern w:val="0"/>
                <w:sz w:val="24"/>
              </w:rPr>
              <w:t>1、预算编制的口径与实际执行有不一致，上级资金未纳入年初预算，导致预算执行有偏差、经费缺口较大：且我局业务性专项资金种类繁多，涉及面广，财务整体监管难度偏大。</w:t>
            </w:r>
          </w:p>
          <w:p w14:paraId="765522CC">
            <w:pPr>
              <w:spacing w:line="360" w:lineRule="auto"/>
              <w:ind w:firstLine="592" w:firstLineChars="247"/>
              <w:rPr>
                <w:rFonts w:ascii="仿宋_GB2312" w:hAnsi="宋体" w:eastAsia="仿宋_GB2312" w:cs="宋体"/>
                <w:kern w:val="0"/>
                <w:sz w:val="24"/>
              </w:rPr>
            </w:pPr>
            <w:r>
              <w:rPr>
                <w:rFonts w:hint="eastAsia" w:ascii="仿宋_GB2312" w:hAnsi="宋体" w:eastAsia="仿宋_GB2312" w:cs="宋体"/>
                <w:kern w:val="0"/>
                <w:sz w:val="24"/>
              </w:rPr>
              <w:t>2、部分功能性科目规范使用有待加强。因财政资金紧张，所需资金指标很难按时到位，而单位有些必要支出项目不得已使用其他功能指标进行支付。</w:t>
            </w:r>
          </w:p>
          <w:p w14:paraId="0A22EE57">
            <w:pPr>
              <w:spacing w:line="360" w:lineRule="auto"/>
              <w:ind w:firstLine="480" w:firstLineChars="200"/>
              <w:jc w:val="left"/>
              <w:rPr>
                <w:rFonts w:hint="eastAsia" w:ascii="仿宋_GB2312" w:hAnsi="仿宋_GB2312" w:eastAsia="仿宋_GB2312" w:cs="仿宋_GB2312"/>
                <w:sz w:val="24"/>
                <w:lang w:eastAsia="zh-CN"/>
              </w:rPr>
            </w:pPr>
            <w:r>
              <w:rPr>
                <w:rFonts w:hint="eastAsia" w:ascii="仿宋_GB2312" w:hAnsi="宋体" w:eastAsia="仿宋_GB2312" w:cs="宋体"/>
                <w:kern w:val="0"/>
                <w:sz w:val="24"/>
              </w:rPr>
              <w:t>3、由于我局机构较多，人员较多，机关工作经费预算不足，难保正常运转</w:t>
            </w:r>
            <w:r>
              <w:rPr>
                <w:rFonts w:hint="eastAsia" w:ascii="仿宋_GB2312" w:hAnsi="宋体" w:eastAsia="仿宋_GB2312" w:cs="宋体"/>
                <w:kern w:val="0"/>
                <w:sz w:val="24"/>
                <w:lang w:eastAsia="zh-CN"/>
              </w:rPr>
              <w:t>。</w:t>
            </w:r>
            <w:bookmarkStart w:id="0" w:name="_GoBack"/>
            <w:bookmarkEnd w:id="0"/>
          </w:p>
        </w:tc>
      </w:tr>
      <w:tr w14:paraId="3E746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1384" w:type="dxa"/>
            <w:vMerge w:val="continue"/>
          </w:tcPr>
          <w:p w14:paraId="2C671FCE">
            <w:pPr>
              <w:spacing w:line="360" w:lineRule="auto"/>
              <w:jc w:val="center"/>
              <w:rPr>
                <w:rFonts w:ascii="仿宋_GB2312" w:hAnsi="宋体" w:eastAsia="仿宋_GB2312" w:cs="宋体"/>
                <w:sz w:val="24"/>
              </w:rPr>
            </w:pPr>
          </w:p>
        </w:tc>
        <w:tc>
          <w:tcPr>
            <w:tcW w:w="1697" w:type="dxa"/>
            <w:vAlign w:val="center"/>
          </w:tcPr>
          <w:p w14:paraId="24F1AC63">
            <w:pPr>
              <w:spacing w:line="360" w:lineRule="auto"/>
              <w:jc w:val="center"/>
              <w:rPr>
                <w:rFonts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14:paraId="1788FA28">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加强预算的科学性、计划性。坚守“先有预算，后有支出”的底线，无预算不得支出，且严格要求在预算范围内开支；强化日常管理工作。一是及时掌握资金使用动态情况，了解资金使用过程中产生的效果以及满意度情况；二是加强资金使用各环节的管理，严格按政策、制度的规定用好每一笔资金。</w:t>
            </w:r>
          </w:p>
          <w:p w14:paraId="49997ABB">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 xml:space="preserve"> 2、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健全和完善内控制度，提高资金使用效益。</w:t>
            </w:r>
          </w:p>
          <w:p w14:paraId="1A56239B">
            <w:pPr>
              <w:spacing w:line="360" w:lineRule="auto"/>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3、足额保障人员经费，提高单位工作经费，稳定基层建设队伍。</w:t>
            </w:r>
          </w:p>
          <w:p w14:paraId="5D73319E">
            <w:pPr>
              <w:spacing w:line="360" w:lineRule="auto"/>
              <w:ind w:firstLine="592" w:firstLineChars="247"/>
              <w:rPr>
                <w:rFonts w:ascii="仿宋_GB2312" w:hAnsi="仿宋_GB2312" w:eastAsia="仿宋_GB2312" w:cs="仿宋_GB2312"/>
                <w:sz w:val="24"/>
              </w:rPr>
            </w:pPr>
            <w:r>
              <w:rPr>
                <w:rFonts w:hint="eastAsia" w:ascii="仿宋_GB2312" w:hAnsi="仿宋_GB2312" w:eastAsia="仿宋_GB2312" w:cs="仿宋_GB2312"/>
                <w:sz w:val="24"/>
              </w:rPr>
              <w:t>4、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tc>
      </w:tr>
      <w:tr w14:paraId="65C6C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174B1DCD">
            <w:pPr>
              <w:spacing w:line="360" w:lineRule="auto"/>
              <w:jc w:val="center"/>
              <w:rPr>
                <w:rFonts w:ascii="仿宋_GB2312" w:hAnsi="宋体" w:eastAsia="仿宋_GB2312" w:cs="宋体"/>
                <w:sz w:val="24"/>
              </w:rPr>
            </w:pPr>
          </w:p>
        </w:tc>
        <w:tc>
          <w:tcPr>
            <w:tcW w:w="1697" w:type="dxa"/>
            <w:vAlign w:val="center"/>
          </w:tcPr>
          <w:p w14:paraId="46E181E8">
            <w:pPr>
              <w:spacing w:line="360" w:lineRule="auto"/>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14:paraId="38BF35FD">
            <w:pPr>
              <w:spacing w:line="360" w:lineRule="auto"/>
              <w:ind w:right="880" w:rightChars="419"/>
              <w:jc w:val="center"/>
              <w:rPr>
                <w:rFonts w:ascii="仿宋_GB2312" w:hAnsi="宋体" w:eastAsia="仿宋_GB2312" w:cs="宋体"/>
                <w:sz w:val="24"/>
              </w:rPr>
            </w:pPr>
            <w:r>
              <w:rPr>
                <w:rFonts w:hint="eastAsia" w:ascii="仿宋_GB2312" w:hAnsi="宋体" w:eastAsia="仿宋_GB2312" w:cs="宋体"/>
                <w:sz w:val="24"/>
              </w:rPr>
              <w:t>无</w:t>
            </w:r>
          </w:p>
        </w:tc>
      </w:tr>
    </w:tbl>
    <w:p w14:paraId="32B6BEC9">
      <w:pPr>
        <w:widowControl/>
        <w:spacing w:line="360" w:lineRule="auto"/>
        <w:jc w:val="left"/>
        <w:rPr>
          <w:rFonts w:ascii="仿宋_GB2312" w:hAnsi="宋体" w:eastAsia="仿宋_GB2312" w:cs="宋体"/>
          <w:sz w:val="24"/>
        </w:rPr>
      </w:pPr>
    </w:p>
    <w:p w14:paraId="6BCFFF8B">
      <w:pPr>
        <w:spacing w:line="360" w:lineRule="auto"/>
        <w:rPr>
          <w:rFonts w:ascii="仿宋_GB2312" w:hAnsi="宋体" w:eastAsia="仿宋_GB2312" w:cs="宋体"/>
          <w:sz w:val="24"/>
        </w:rPr>
      </w:pPr>
    </w:p>
    <w:sectPr>
      <w:pgSz w:w="11906" w:h="16838"/>
      <w:pgMar w:top="1440" w:right="141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E4707C"/>
    <w:multiLevelType w:val="multilevel"/>
    <w:tmpl w:val="33E4707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D9C29A0"/>
    <w:multiLevelType w:val="singleLevel"/>
    <w:tmpl w:val="7D9C29A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I4ZTMxYTkyZGMxOTcxYmUwYmIwOGRlZDZmYjE5Y2YifQ=="/>
  </w:docVars>
  <w:rsids>
    <w:rsidRoot w:val="00B86CF5"/>
    <w:rsid w:val="00002834"/>
    <w:rsid w:val="0001605E"/>
    <w:rsid w:val="00021C6A"/>
    <w:rsid w:val="00030906"/>
    <w:rsid w:val="00090A25"/>
    <w:rsid w:val="000C3168"/>
    <w:rsid w:val="00105664"/>
    <w:rsid w:val="00181616"/>
    <w:rsid w:val="00185ACB"/>
    <w:rsid w:val="00202237"/>
    <w:rsid w:val="002300C3"/>
    <w:rsid w:val="002E5B04"/>
    <w:rsid w:val="002E68B1"/>
    <w:rsid w:val="00387F77"/>
    <w:rsid w:val="004554AD"/>
    <w:rsid w:val="00470C46"/>
    <w:rsid w:val="0048553F"/>
    <w:rsid w:val="00490CE6"/>
    <w:rsid w:val="004E1662"/>
    <w:rsid w:val="005678F6"/>
    <w:rsid w:val="00590527"/>
    <w:rsid w:val="005D18B3"/>
    <w:rsid w:val="00607724"/>
    <w:rsid w:val="006378B4"/>
    <w:rsid w:val="008947FF"/>
    <w:rsid w:val="008D0458"/>
    <w:rsid w:val="0092482E"/>
    <w:rsid w:val="00942636"/>
    <w:rsid w:val="00960DEB"/>
    <w:rsid w:val="0096598E"/>
    <w:rsid w:val="00990B74"/>
    <w:rsid w:val="009B4126"/>
    <w:rsid w:val="009C5C83"/>
    <w:rsid w:val="009D7FE7"/>
    <w:rsid w:val="009E001F"/>
    <w:rsid w:val="00A30F30"/>
    <w:rsid w:val="00A81527"/>
    <w:rsid w:val="00AE5FC4"/>
    <w:rsid w:val="00B266D6"/>
    <w:rsid w:val="00B56691"/>
    <w:rsid w:val="00B62652"/>
    <w:rsid w:val="00B86CF5"/>
    <w:rsid w:val="00B87318"/>
    <w:rsid w:val="00B90944"/>
    <w:rsid w:val="00BE186B"/>
    <w:rsid w:val="00BF7029"/>
    <w:rsid w:val="00C010FB"/>
    <w:rsid w:val="00C05AFC"/>
    <w:rsid w:val="00C12E57"/>
    <w:rsid w:val="00C478BC"/>
    <w:rsid w:val="00CB211D"/>
    <w:rsid w:val="00CF632F"/>
    <w:rsid w:val="00D06DCB"/>
    <w:rsid w:val="00D24B37"/>
    <w:rsid w:val="00D34ECB"/>
    <w:rsid w:val="00D7024A"/>
    <w:rsid w:val="00DC1D78"/>
    <w:rsid w:val="00DE3816"/>
    <w:rsid w:val="00E01049"/>
    <w:rsid w:val="00E84C79"/>
    <w:rsid w:val="00E97862"/>
    <w:rsid w:val="00EA575D"/>
    <w:rsid w:val="00EA7EF2"/>
    <w:rsid w:val="00ED5F6C"/>
    <w:rsid w:val="00EE2CDC"/>
    <w:rsid w:val="00EE4BED"/>
    <w:rsid w:val="00F1448A"/>
    <w:rsid w:val="00F80D41"/>
    <w:rsid w:val="00FA7908"/>
    <w:rsid w:val="00FB3514"/>
    <w:rsid w:val="00FD0672"/>
    <w:rsid w:val="00FF232D"/>
    <w:rsid w:val="037264AF"/>
    <w:rsid w:val="08042101"/>
    <w:rsid w:val="0A5C592B"/>
    <w:rsid w:val="1B1C798F"/>
    <w:rsid w:val="234974D0"/>
    <w:rsid w:val="261E558D"/>
    <w:rsid w:val="289B5D9F"/>
    <w:rsid w:val="35452569"/>
    <w:rsid w:val="3DAB2A40"/>
    <w:rsid w:val="4D34390D"/>
    <w:rsid w:val="5B254A8B"/>
    <w:rsid w:val="6AB4102B"/>
    <w:rsid w:val="6C5A562C"/>
    <w:rsid w:val="70F06AA9"/>
    <w:rsid w:val="74C618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qFormat="1" w:unhideWhenUsed="0" w:uiPriority="99" w:semiHidden="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qFormat="1" w:unhideWhenUsed="0" w:uiPriority="99"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200" w:leftChars="200" w:firstLine="200" w:firstLineChars="200"/>
    </w:pPr>
    <w:rPr>
      <w:rFonts w:ascii="Calibri" w:hAnsi="Calibri" w:eastAsia="仿宋"/>
      <w:sz w:val="32"/>
    </w:rPr>
  </w:style>
  <w:style w:type="paragraph" w:styleId="3">
    <w:name w:val="Body Text"/>
    <w:basedOn w:val="1"/>
    <w:next w:val="4"/>
    <w:qFormat/>
    <w:uiPriority w:val="0"/>
    <w:pPr>
      <w:spacing w:after="120"/>
    </w:pPr>
  </w:style>
  <w:style w:type="paragraph" w:styleId="4">
    <w:name w:val="toc 5"/>
    <w:basedOn w:val="1"/>
    <w:next w:val="1"/>
    <w:qFormat/>
    <w:uiPriority w:val="99"/>
    <w:pPr>
      <w:ind w:left="1680" w:leftChars="800"/>
    </w:pPr>
  </w:style>
  <w:style w:type="paragraph" w:styleId="5">
    <w:name w:val="endnote text"/>
    <w:basedOn w:val="1"/>
    <w:link w:val="20"/>
    <w:semiHidden/>
    <w:qFormat/>
    <w:uiPriority w:val="99"/>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3"/>
    <w:qFormat/>
    <w:uiPriority w:val="0"/>
    <w:pPr>
      <w:ind w:firstLine="420" w:firstLineChars="100"/>
    </w:pPr>
  </w:style>
  <w:style w:type="character" w:styleId="12">
    <w:name w:val="Strong"/>
    <w:basedOn w:val="11"/>
    <w:qFormat/>
    <w:uiPriority w:val="0"/>
    <w:rPr>
      <w:b/>
    </w:rPr>
  </w:style>
  <w:style w:type="character" w:styleId="13">
    <w:name w:val="Emphasis"/>
    <w:basedOn w:val="11"/>
    <w:qFormat/>
    <w:uiPriority w:val="0"/>
    <w:rPr>
      <w:i/>
      <w:iCs/>
    </w:rPr>
  </w:style>
  <w:style w:type="character" w:styleId="14">
    <w:name w:val="Hyperlink"/>
    <w:basedOn w:val="11"/>
    <w:qFormat/>
    <w:uiPriority w:val="0"/>
    <w:rPr>
      <w:color w:val="0000FF" w:themeColor="hyperlink"/>
      <w:u w:val="single"/>
    </w:rPr>
  </w:style>
  <w:style w:type="character" w:customStyle="1" w:styleId="15">
    <w:name w:val="页眉 字符"/>
    <w:basedOn w:val="11"/>
    <w:link w:val="7"/>
    <w:qFormat/>
    <w:uiPriority w:val="0"/>
    <w:rPr>
      <w:kern w:val="2"/>
      <w:sz w:val="18"/>
      <w:szCs w:val="18"/>
    </w:rPr>
  </w:style>
  <w:style w:type="character" w:customStyle="1" w:styleId="16">
    <w:name w:val="页脚 字符"/>
    <w:basedOn w:val="11"/>
    <w:link w:val="6"/>
    <w:qFormat/>
    <w:uiPriority w:val="0"/>
    <w:rPr>
      <w:kern w:val="2"/>
      <w:sz w:val="18"/>
      <w:szCs w:val="18"/>
    </w:rPr>
  </w:style>
  <w:style w:type="paragraph" w:styleId="17">
    <w:name w:val="No Spacing"/>
    <w:qFormat/>
    <w:uiPriority w:val="1"/>
    <w:pPr>
      <w:widowControl w:val="0"/>
      <w:jc w:val="both"/>
    </w:pPr>
    <w:rPr>
      <w:rFonts w:ascii="Calibri" w:hAnsi="Calibri" w:eastAsia="宋体" w:cs="Times New Roman"/>
      <w:kern w:val="2"/>
      <w:sz w:val="21"/>
      <w:szCs w:val="22"/>
      <w:lang w:val="en-US" w:eastAsia="zh-CN" w:bidi="ar-SA"/>
    </w:rPr>
  </w:style>
  <w:style w:type="paragraph" w:styleId="18">
    <w:name w:val="List Paragraph"/>
    <w:basedOn w:val="1"/>
    <w:qFormat/>
    <w:uiPriority w:val="34"/>
    <w:pPr>
      <w:ind w:firstLine="420" w:firstLineChars="200"/>
    </w:pPr>
  </w:style>
  <w:style w:type="character" w:customStyle="1" w:styleId="19">
    <w:name w:val="15"/>
    <w:basedOn w:val="11"/>
    <w:qFormat/>
    <w:uiPriority w:val="0"/>
    <w:rPr>
      <w:rFonts w:hint="default" w:ascii="Times New Roman" w:hAnsi="Times New Roman" w:cs="Times New Roman"/>
      <w:i/>
      <w:iCs/>
    </w:rPr>
  </w:style>
  <w:style w:type="character" w:customStyle="1" w:styleId="20">
    <w:name w:val="尾注文本 字符"/>
    <w:basedOn w:val="11"/>
    <w:link w:val="5"/>
    <w:semiHidden/>
    <w:qFormat/>
    <w:uiPriority w:val="99"/>
    <w:rPr>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9</Pages>
  <Words>4744</Words>
  <Characters>5032</Characters>
  <Lines>3</Lines>
  <Paragraphs>10</Paragraphs>
  <TotalTime>796</TotalTime>
  <ScaleCrop>false</ScaleCrop>
  <LinksUpToDate>false</LinksUpToDate>
  <CharactersWithSpaces>5104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2019-08-30T07:48:00Z</dcterms:created>
  <dc:creator>kin</dc:creator>
  <cp:lastModifiedBy>lenovo</cp:lastModifiedBy>
  <cp:lastPrinted>2019-08-29T02:25:00Z</cp:lastPrinted>
  <dcterms:modified xsi:type="dcterms:W3CDTF">2025-06-30T03:11:53Z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6B3E7764D26E4CD7B998936B6D5B9092</vt:lpwstr>
  </property>
  <property fmtid="{D5CDD505-2E9C-101B-9397-08002B2CF9AE}" pid="4" name="KSOTemplateDocerSaveRecord">
    <vt:lpwstr>eyJoZGlkIjoiM2UxYTVjYjg0YjNiZWEwY2MwY2E3YTQ5ZjgwNzc4M2IifQ==</vt:lpwstr>
  </property>
</Properties>
</file>