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DDED7">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bookmarkStart w:id="1" w:name="_GoBack"/>
      <w:bookmarkStart w:id="0" w:name="_Hlk49000069"/>
      <w:r>
        <w:rPr>
          <w:rFonts w:hint="eastAsia" w:ascii="Times New Roman" w:hAnsi="Times New Roman" w:eastAsia="方正小标宋_GBK" w:cs="方正小标宋_GBK"/>
          <w:b w:val="0"/>
          <w:bCs w:val="0"/>
          <w:sz w:val="44"/>
          <w:szCs w:val="44"/>
          <w:lang w:eastAsia="zh-CN"/>
        </w:rPr>
        <w:t>湘潭县</w:t>
      </w:r>
      <w:r>
        <w:rPr>
          <w:rFonts w:hint="eastAsia" w:ascii="Times New Roman" w:hAnsi="Times New Roman" w:eastAsia="方正小标宋_GBK" w:cs="方正小标宋_GBK"/>
          <w:b w:val="0"/>
          <w:bCs w:val="0"/>
          <w:sz w:val="44"/>
          <w:szCs w:val="44"/>
        </w:rPr>
        <w:t>茶恩寺镇人民政府</w:t>
      </w:r>
      <w:bookmarkEnd w:id="0"/>
    </w:p>
    <w:p w14:paraId="06769F89">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r>
        <w:rPr>
          <w:rFonts w:hint="eastAsia" w:ascii="Times New Roman" w:hAnsi="Times New Roman" w:eastAsia="方正小标宋_GBK" w:cs="方正小标宋_GBK"/>
          <w:b w:val="0"/>
          <w:bCs w:val="0"/>
          <w:sz w:val="44"/>
          <w:szCs w:val="44"/>
        </w:rPr>
        <w:t>202</w:t>
      </w:r>
      <w:r>
        <w:rPr>
          <w:rFonts w:hint="eastAsia" w:ascii="Times New Roman" w:hAnsi="Times New Roman" w:eastAsia="方正小标宋_GBK" w:cs="方正小标宋_GBK"/>
          <w:b w:val="0"/>
          <w:bCs w:val="0"/>
          <w:sz w:val="44"/>
          <w:szCs w:val="44"/>
          <w:lang w:val="en-US" w:eastAsia="zh-CN"/>
        </w:rPr>
        <w:t>4</w:t>
      </w:r>
      <w:r>
        <w:rPr>
          <w:rFonts w:hint="eastAsia" w:ascii="Times New Roman" w:hAnsi="Times New Roman" w:eastAsia="方正小标宋_GBK" w:cs="方正小标宋_GBK"/>
          <w:b w:val="0"/>
          <w:bCs w:val="0"/>
          <w:sz w:val="44"/>
          <w:szCs w:val="44"/>
        </w:rPr>
        <w:t>年度部门整体支出绩效评价自评</w:t>
      </w:r>
    </w:p>
    <w:p w14:paraId="0F31E7B8">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r>
        <w:rPr>
          <w:rFonts w:hint="eastAsia" w:ascii="Times New Roman" w:hAnsi="Times New Roman" w:eastAsia="方正小标宋_GBK" w:cs="方正小标宋_GBK"/>
          <w:b w:val="0"/>
          <w:bCs w:val="0"/>
          <w:sz w:val="44"/>
          <w:szCs w:val="44"/>
        </w:rPr>
        <w:t>报</w:t>
      </w:r>
      <w:r>
        <w:rPr>
          <w:rFonts w:hint="eastAsia" w:ascii="Times New Roman" w:hAnsi="Times New Roman" w:eastAsia="方正小标宋_GBK" w:cs="方正小标宋_GBK"/>
          <w:b w:val="0"/>
          <w:bCs w:val="0"/>
          <w:sz w:val="44"/>
          <w:szCs w:val="44"/>
          <w:lang w:val="en-US" w:eastAsia="zh-CN"/>
        </w:rPr>
        <w:t xml:space="preserve">  </w:t>
      </w:r>
      <w:r>
        <w:rPr>
          <w:rFonts w:hint="eastAsia" w:ascii="Times New Roman" w:hAnsi="Times New Roman" w:eastAsia="方正小标宋_GBK" w:cs="方正小标宋_GBK"/>
          <w:b w:val="0"/>
          <w:bCs w:val="0"/>
          <w:sz w:val="44"/>
          <w:szCs w:val="44"/>
        </w:rPr>
        <w:t>告</w:t>
      </w:r>
    </w:p>
    <w:bookmarkEnd w:id="1"/>
    <w:p w14:paraId="37293543">
      <w:pPr>
        <w:keepNext w:val="0"/>
        <w:keepLines w:val="0"/>
        <w:pageBreakBefore w:val="0"/>
        <w:kinsoku/>
        <w:wordWrap/>
        <w:overflowPunct/>
        <w:topLinePunct w:val="0"/>
        <w:autoSpaceDE/>
        <w:autoSpaceDN/>
        <w:bidi w:val="0"/>
        <w:adjustRightInd/>
        <w:spacing w:line="560" w:lineRule="exact"/>
        <w:ind w:firstLine="560" w:firstLineChars="200"/>
        <w:rPr>
          <w:rFonts w:hint="eastAsia" w:ascii="Times New Roman" w:hAnsi="Times New Roman" w:eastAsia="方正仿宋_GBK"/>
          <w:sz w:val="28"/>
          <w:szCs w:val="28"/>
          <w:lang w:val="en-US" w:eastAsia="zh-CN"/>
        </w:rPr>
      </w:pPr>
    </w:p>
    <w:p w14:paraId="6A3BA55F">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深入贯彻落实党中央、国务院和省委、省政府以及市委、市政府关于全面实施预算绩效管理的决策部署，加快推进和实施“全方位、全过程、全覆盖”的预算绩效管理，进一步提升巩固我县预算绩效管理工作水平，根据《湘潭县2025年度预算绩效管理工作方案》《关于做好2025年度预算绩效运行跟踪监控工作的通知》和《关于做好2024年度绩效自评工作的通知》等文件精神，我单位对2024年度部门预算整体支出进行了绩效自评，现将情况汇报如下：</w:t>
      </w:r>
    </w:p>
    <w:p w14:paraId="7411BDE1">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一、工作概述</w:t>
      </w:r>
    </w:p>
    <w:p w14:paraId="03B84C93">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年来，在县委、县政府的坚强领导下，坚持以习近平新时代中国特色社会主义思想为指引，深入贯彻落实党的二十大和二十届三中全会精神、习近平总书记考察湖南重要讲话和指示批示精神，紧扣县委“三提一领”发展目标，求真务实、真抓实干，全力推进项目引培、环境改善、民生实事、社会稳定等各项事业，全力推动镇域经济高质量发展，</w:t>
      </w:r>
      <w:r>
        <w:rPr>
          <w:rFonts w:hint="eastAsia" w:ascii="Times New Roman" w:hAnsi="Times New Roman" w:eastAsia="仿宋_GB2312" w:cs="仿宋_GB2312"/>
          <w:color w:val="auto"/>
          <w:sz w:val="32"/>
          <w:szCs w:val="32"/>
          <w:lang w:val="en-US" w:eastAsia="zh-CN"/>
        </w:rPr>
        <w:t>全年完成税收480万元，完成非税收入54万元</w:t>
      </w:r>
      <w:r>
        <w:rPr>
          <w:rFonts w:hint="eastAsia" w:ascii="Times New Roman" w:hAnsi="Times New Roman" w:eastAsia="仿宋_GB2312" w:cs="仿宋_GB2312"/>
          <w:sz w:val="32"/>
          <w:szCs w:val="32"/>
          <w:lang w:val="en-US" w:eastAsia="zh-CN"/>
        </w:rPr>
        <w:t>；完成财政总收入3433万元，完成财政总支出3433万元。</w:t>
      </w:r>
    </w:p>
    <w:p w14:paraId="32E14DFB">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二、基本情况</w:t>
      </w:r>
    </w:p>
    <w:p w14:paraId="42DBA8B0">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茶恩寺镇地处湘潭县南端，湘江下游西岸；东与衡东县三樟乡隔江相望，南与衡山县长江镇交界，西与本县花石镇接壤，西北与中路铺毗邻，北与白石镇相连。总面积13698.7公顷，耕地2515.4公顷，其中水田面积2417公顷，旱土面积98公顷。镇内现有林地面积13.76万亩，其中楠竹面积5.7万亩。全镇辖17个村，1个居委会，386个村民小组、2个居民小组，总人口4.72万人。</w:t>
      </w:r>
    </w:p>
    <w:p w14:paraId="2756242F">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（一）机构设置及在职人员情况</w:t>
      </w:r>
    </w:p>
    <w:p w14:paraId="185E12B1">
      <w:pPr>
        <w:keepNext w:val="0"/>
        <w:keepLines w:val="0"/>
        <w:pageBreakBefore w:val="0"/>
        <w:kinsoku/>
        <w:wordWrap/>
        <w:overflowPunct/>
        <w:topLinePunct w:val="0"/>
        <w:autoSpaceDE/>
        <w:autoSpaceDN/>
        <w:bidi w:val="0"/>
        <w:adjustRightInd/>
        <w:snapToGrid w:val="0"/>
        <w:spacing w:line="560" w:lineRule="exact"/>
        <w:ind w:firstLine="56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单位系正科级行政机关，办公地址湖南省湘潭县茶恩寺镇茶恩村狮形组。根据职能履行的需要和湘潭县机构编制委员会办公室文件的，共机构11个，其中包括：党政办公室、党建办公室、经济发展办公室、平安法治和应急管理办公室、农业综合服务中心、生态事务中心、社会事务综合服务中心、文化综合服务中心、退役军人服务站、</w:t>
      </w:r>
    </w:p>
    <w:p w14:paraId="251FC331">
      <w:pPr>
        <w:keepNext w:val="0"/>
        <w:keepLines w:val="0"/>
        <w:pageBreakBefore w:val="0"/>
        <w:kinsoku/>
        <w:wordWrap/>
        <w:overflowPunct/>
        <w:topLinePunct w:val="0"/>
        <w:autoSpaceDE/>
        <w:autoSpaceDN/>
        <w:bidi w:val="0"/>
        <w:adjustRightInd/>
        <w:snapToGrid w:val="0"/>
        <w:spacing w:line="560" w:lineRule="exac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综合行政执法大队、财政办公室等11个部门组成。共有干部职工编制数95人，其中行政编制数36人，工勤编2人，参公事业编制数57人；目前实有在职人员91人，退休人员47人；在职行政人员32人，参照公务员法管理人员1人，事业管理人员和专业技术人员19人，机关和事业工人39人。</w:t>
      </w:r>
    </w:p>
    <w:p w14:paraId="10F05FCB">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（二）单位主要职责</w:t>
      </w:r>
    </w:p>
    <w:p w14:paraId="2598B49B">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1.贯彻执行党的路线、方针、政策和国家的各项法律、法规；负责镇辖区内地区性、群众性、公益性、社会性工作。</w:t>
      </w:r>
    </w:p>
    <w:p w14:paraId="1649D08C">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2.负责精神文明建设工作，积极组织以提高民众素质为目的的活动，树立文明新风。</w:t>
      </w:r>
    </w:p>
    <w:p w14:paraId="27D7B6F7">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3.按照职责范围，负责镇辖区内的建设和管理、环境卫生、环境保护等监督、管理、服务工作。</w:t>
      </w:r>
    </w:p>
    <w:p w14:paraId="417E02D9">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4.负责镇辖区内的维护稳定及社会治安综合治理工作，依照有关规定做好出租屋和外来暂住人员的管理工作；负责民事调解、法律服务工作，维护居民的合法权益。</w:t>
      </w:r>
    </w:p>
    <w:p w14:paraId="785B789D">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5.负责村、居委会的建设和管理，积极开展镇区服务工作，大力兴办福利企业，发动和组织镇区成员开展各类公益活动；负责拥军优属、优抚安置、社会救济、社会福利、社区文化、科普、体育、教育等工作。</w:t>
      </w:r>
    </w:p>
    <w:p w14:paraId="790CD203">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6.发展镇区经济，为镇区经济组织提供人才、科技、信息和各类服务，以经济、法律和必要的行政手段推动镇区经济发展和维护市场经济秩序。</w:t>
      </w:r>
    </w:p>
    <w:p w14:paraId="34C3C214">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7.负责卫生健康、劳动就业、安全生产管理、民兵、兵役、侨务等工作。</w:t>
      </w:r>
    </w:p>
    <w:p w14:paraId="1B6971A8">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8.指导和帮助居民委员会搞好组织建设和制度建设，发挥居民委员会的群众自治组织作用。</w:t>
      </w:r>
    </w:p>
    <w:p w14:paraId="547E7776">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9.配合有关部门做好房屋拆迁、防汛、防风、防火、动物防疫、防震、防灾和抢险工作。</w:t>
      </w:r>
    </w:p>
    <w:p w14:paraId="11395607">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10.向县人民政府反映居民群众的意见和要求，办理人民群众来信来访事项。</w:t>
      </w:r>
    </w:p>
    <w:p w14:paraId="0DEA01CA">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11.负责辖区内普法教育工作，维护老人、妇女儿童的合法权益。</w:t>
      </w:r>
    </w:p>
    <w:p w14:paraId="191AECBA">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12.负责辖区内安全生产和消防工作的指导、监督。</w:t>
      </w:r>
    </w:p>
    <w:p w14:paraId="7162A4F9">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13.会同有关部门做好辖区内的企业服务、在地统计工作。</w:t>
      </w:r>
    </w:p>
    <w:p w14:paraId="2901B413">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14.承办镇党委和上级部门交办的其他事项。</w:t>
      </w:r>
    </w:p>
    <w:p w14:paraId="62D744C8">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（三）部门职能职责</w:t>
      </w:r>
    </w:p>
    <w:p w14:paraId="4B27929C">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党政办公室</w:t>
      </w:r>
      <w:r>
        <w:rPr>
          <w:rFonts w:hint="eastAsia" w:ascii="Times New Roman" w:hAnsi="Times New Roman" w:eastAsia="仿宋_GB2312" w:cs="仿宋_GB2312"/>
          <w:kern w:val="2"/>
          <w:sz w:val="32"/>
          <w:szCs w:val="32"/>
          <w:lang w:val="en-US" w:eastAsia="zh-CN" w:bidi="ar-SA"/>
        </w:rPr>
        <w:t>：主要负责党委、政府日常事务。承担综合协调、文电会务、督查考核、文秘信息、保密档案、政务公开、信息安全、机关后勤管理及服务等工作。承担宣传、统战及工会、共青团、妇联等群众团体相关工作。</w:t>
      </w:r>
    </w:p>
    <w:p w14:paraId="002C4197">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党建办公室：</w:t>
      </w:r>
      <w:r>
        <w:rPr>
          <w:rFonts w:hint="eastAsia" w:ascii="Times New Roman" w:hAnsi="Times New Roman" w:eastAsia="仿宋_GB2312" w:cs="仿宋_GB2312"/>
          <w:kern w:val="2"/>
          <w:sz w:val="32"/>
          <w:szCs w:val="32"/>
          <w:lang w:val="en-US" w:eastAsia="zh-CN" w:bidi="ar-SA"/>
        </w:rPr>
        <w:t>负责基层党建工作。负责“两新”党建工作。负责推进党建引领基层治理和基层政权建设有关工作。负责组织、编制、人事及老干等工作。指导社会工作人才队伍建设，统筹志愿服务工作。</w:t>
      </w:r>
    </w:p>
    <w:p w14:paraId="7C6933C0">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经济发展办公室</w:t>
      </w:r>
      <w:r>
        <w:rPr>
          <w:rFonts w:hint="eastAsia" w:ascii="Times New Roman" w:hAnsi="Times New Roman" w:eastAsia="仿宋_GB2312" w:cs="仿宋_GB2312"/>
          <w:kern w:val="2"/>
          <w:sz w:val="32"/>
          <w:szCs w:val="32"/>
          <w:lang w:val="en-US" w:eastAsia="zh-CN" w:bidi="ar-SA"/>
        </w:rPr>
        <w:t>：负责拟订经济社会发展规划并组织实施。负责产业发展、科技工信、交通运输、商贸流通、招商引资、企业服务、统计、审计、竹木工业园建设与服务等工作。承担市场监管有关方面的指导协调职责。</w:t>
      </w:r>
    </w:p>
    <w:p w14:paraId="397F144A">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平安法治和应急管理办公室：</w:t>
      </w:r>
      <w:r>
        <w:rPr>
          <w:rFonts w:hint="eastAsia" w:ascii="Times New Roman" w:hAnsi="Times New Roman" w:eastAsia="仿宋_GB2312" w:cs="仿宋_GB2312"/>
          <w:kern w:val="2"/>
          <w:sz w:val="32"/>
          <w:szCs w:val="32"/>
          <w:lang w:val="en-US" w:eastAsia="zh-CN" w:bidi="ar-SA"/>
        </w:rPr>
        <w:t>负责社会治安综合治理、平安创建、信访维稳、网格化管理等工作，指导协调民事纠纷调解处理工作。负责安全生产监督检查，协助上级有关部门或者根据授权依法履行安全生产监督管理职责；负责防汛抗旱、森林防灭火、防震减灾、灾害救助等应急管理工作。</w:t>
      </w:r>
    </w:p>
    <w:p w14:paraId="6C3D3B64">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农业综合服务中心：</w:t>
      </w:r>
      <w:r>
        <w:rPr>
          <w:rFonts w:hint="eastAsia" w:ascii="Times New Roman" w:hAnsi="Times New Roman" w:eastAsia="仿宋_GB2312" w:cs="仿宋_GB2312"/>
          <w:kern w:val="2"/>
          <w:sz w:val="32"/>
          <w:szCs w:val="32"/>
          <w:lang w:val="en-US" w:eastAsia="zh-CN" w:bidi="ar-SA"/>
        </w:rPr>
        <w:t>负责农业农村（乡村振兴）、林业、水利等方面工作。</w:t>
      </w:r>
    </w:p>
    <w:p w14:paraId="55A25833">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生态事务中心：</w:t>
      </w:r>
      <w:r>
        <w:rPr>
          <w:rFonts w:hint="eastAsia" w:ascii="Times New Roman" w:hAnsi="Times New Roman" w:eastAsia="仿宋_GB2312" w:cs="仿宋_GB2312"/>
          <w:kern w:val="2"/>
          <w:sz w:val="32"/>
          <w:szCs w:val="32"/>
          <w:lang w:val="en-US" w:eastAsia="zh-CN" w:bidi="ar-SA"/>
        </w:rPr>
        <w:t>按照管理权限，指导、协调、实施生态环境保护和自然资源等工作。负责实施村镇规划、村镇建设管理、农村建房质量安全管理等工作。监督、指导公共基础设施建设等。</w:t>
      </w:r>
    </w:p>
    <w:p w14:paraId="274A58E2">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社会事务综合服务中心</w:t>
      </w:r>
      <w:r>
        <w:rPr>
          <w:rFonts w:hint="eastAsia" w:ascii="Times New Roman" w:hAnsi="Times New Roman" w:eastAsia="仿宋_GB2312" w:cs="仿宋_GB2312"/>
          <w:kern w:val="2"/>
          <w:sz w:val="32"/>
          <w:szCs w:val="32"/>
          <w:lang w:val="en-US" w:eastAsia="zh-CN" w:bidi="ar-SA"/>
        </w:rPr>
        <w:t>：负责民政、社会保障、医疗保障、卫生健康、助残、数据管理和政务服务等工作。</w:t>
      </w:r>
    </w:p>
    <w:p w14:paraId="7C92150D">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文化综合服务中心：</w:t>
      </w:r>
      <w:r>
        <w:rPr>
          <w:rFonts w:hint="eastAsia" w:ascii="Times New Roman" w:hAnsi="Times New Roman" w:eastAsia="仿宋_GB2312" w:cs="仿宋_GB2312"/>
          <w:kern w:val="2"/>
          <w:sz w:val="32"/>
          <w:szCs w:val="32"/>
          <w:lang w:val="en-US" w:eastAsia="zh-CN" w:bidi="ar-SA"/>
        </w:rPr>
        <w:t>负责文化、旅游、广电、体育、教育、民族宗教等工作。负责新时代文明实践工作，指导村（居）开展新时代文明实践工作。</w:t>
      </w:r>
    </w:p>
    <w:p w14:paraId="333C600B">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退役军人服务站</w:t>
      </w:r>
      <w:r>
        <w:rPr>
          <w:rFonts w:hint="eastAsia" w:ascii="Times New Roman" w:hAnsi="Times New Roman" w:eastAsia="仿宋_GB2312" w:cs="仿宋_GB2312"/>
          <w:kern w:val="2"/>
          <w:sz w:val="32"/>
          <w:szCs w:val="32"/>
          <w:lang w:val="en-US" w:eastAsia="zh-CN" w:bidi="ar-SA"/>
        </w:rPr>
        <w:t>：负责退役军人基础数据采集、创业就业、申诉维权、信息宣传等工作，协同做好退役军人社会保障等工作。</w:t>
      </w:r>
    </w:p>
    <w:p w14:paraId="3A6E7750">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综合行政执法大队：</w:t>
      </w:r>
      <w:r>
        <w:rPr>
          <w:rFonts w:hint="eastAsia" w:ascii="Times New Roman" w:hAnsi="Times New Roman" w:eastAsia="仿宋_GB2312" w:cs="仿宋_GB2312"/>
          <w:kern w:val="2"/>
          <w:sz w:val="32"/>
          <w:szCs w:val="32"/>
          <w:lang w:val="en-US" w:eastAsia="zh-CN" w:bidi="ar-SA"/>
        </w:rPr>
        <w:t>以乡镇人民政府名义，行使乡镇人民政府和上级主管部门授权乡镇人民政府实施的行政处罚权及相应行政检查权、行政强制权，承担行政处罚案件办理及相关监管工作。</w:t>
      </w:r>
    </w:p>
    <w:p w14:paraId="1FA2921B">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财政办公室</w:t>
      </w:r>
      <w:r>
        <w:rPr>
          <w:rFonts w:hint="eastAsia" w:ascii="Times New Roman" w:hAnsi="Times New Roman" w:eastAsia="仿宋_GB2312" w:cs="仿宋_GB2312"/>
          <w:kern w:val="2"/>
          <w:sz w:val="32"/>
          <w:szCs w:val="32"/>
          <w:lang w:val="en-US" w:eastAsia="zh-CN" w:bidi="ar-SA"/>
        </w:rPr>
        <w:t>：主要履行乡镇财政预算管理、协调组织乡镇财政收入、惠农补贴资金“一卡通”发放、乡镇财政资金监管、乡镇单位财务核算、村级财务监管、乡镇国有资产管理、乡村债权债务管理、乡镇财政信息化建设等职能。</w:t>
      </w:r>
    </w:p>
    <w:p w14:paraId="5375C93F">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三、绩效自评工作情况</w:t>
      </w:r>
    </w:p>
    <w:p w14:paraId="3917F2C9">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从2024年3月开始，我们牢固树立“大绩效”理念，将绩效要求贯穿到财政政策制定、资金分配使用、财税改革、财会监督、内部管理等各个方面，更好发挥绩效管理“指挥棒”和“风向标”作用，通过资料审阅、账务核实、现场查看、抽查记录、询问、分析等必要的评价程序，综合分析评价绩效目标完成情况，真正把绩效理念转化为绩效行动，推动绩效管理由“软约束”变成“硬杠杆”，实事求是、客观公正撰写提交自评报告。</w:t>
      </w:r>
    </w:p>
    <w:p w14:paraId="41F02CAB">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四、部门整体支出绩效情况分析</w:t>
      </w:r>
    </w:p>
    <w:p w14:paraId="690663C3">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根据收集的绩效资料，结合被评价单位年度工作情况汇报材料及自评报告内容，本单位202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年部门整体支出主要绩效情况如下：</w:t>
      </w:r>
    </w:p>
    <w:p w14:paraId="40A375C8">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（一）预算安排执行情况</w:t>
      </w:r>
    </w:p>
    <w:p w14:paraId="684DC3AC">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1</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年初预算安排明细情况</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2718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0174AD37">
            <w:pPr>
              <w:pStyle w:val="5"/>
              <w:keepNext w:val="0"/>
              <w:keepLines w:val="0"/>
              <w:pageBreakBefore w:val="0"/>
              <w:kinsoku/>
              <w:wordWrap/>
              <w:overflowPunct/>
              <w:topLinePunct w:val="0"/>
              <w:autoSpaceDE/>
              <w:autoSpaceDN/>
              <w:bidi w:val="0"/>
              <w:adjustRightInd/>
              <w:spacing w:line="560" w:lineRule="exact"/>
              <w:ind w:firstLine="1280" w:firstLineChars="400"/>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预算支出类型</w:t>
            </w:r>
          </w:p>
        </w:tc>
        <w:tc>
          <w:tcPr>
            <w:tcW w:w="4261" w:type="dxa"/>
          </w:tcPr>
          <w:p w14:paraId="6BC160C1">
            <w:pPr>
              <w:pStyle w:val="5"/>
              <w:keepNext w:val="0"/>
              <w:keepLines w:val="0"/>
              <w:pageBreakBefore w:val="0"/>
              <w:kinsoku/>
              <w:wordWrap/>
              <w:overflowPunct/>
              <w:topLinePunct w:val="0"/>
              <w:autoSpaceDE/>
              <w:autoSpaceDN/>
              <w:bidi w:val="0"/>
              <w:adjustRightInd/>
              <w:spacing w:line="560" w:lineRule="exact"/>
              <w:ind w:firstLine="1600" w:firstLineChars="500"/>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金额（万元）</w:t>
            </w:r>
          </w:p>
        </w:tc>
      </w:tr>
      <w:tr w14:paraId="0F00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6885669C">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一、基本支出</w:t>
            </w:r>
          </w:p>
        </w:tc>
        <w:tc>
          <w:tcPr>
            <w:tcW w:w="4261" w:type="dxa"/>
          </w:tcPr>
          <w:p w14:paraId="54FF4013">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p>
        </w:tc>
      </w:tr>
      <w:tr w14:paraId="0F003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40CED111">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1.一般公共服务支出</w:t>
            </w:r>
          </w:p>
        </w:tc>
        <w:tc>
          <w:tcPr>
            <w:tcW w:w="4261" w:type="dxa"/>
            <w:vAlign w:val="center"/>
          </w:tcPr>
          <w:p w14:paraId="5BC2A177">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1451</w:t>
            </w:r>
          </w:p>
        </w:tc>
      </w:tr>
      <w:tr w14:paraId="58309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2B9A24E7">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2.公共安全支出</w:t>
            </w:r>
          </w:p>
        </w:tc>
        <w:tc>
          <w:tcPr>
            <w:tcW w:w="4261" w:type="dxa"/>
            <w:vAlign w:val="center"/>
          </w:tcPr>
          <w:p w14:paraId="414504C6">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20</w:t>
            </w:r>
          </w:p>
        </w:tc>
      </w:tr>
      <w:tr w14:paraId="724D7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17DE6C8D">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3.文化旅游体育与传媒支出</w:t>
            </w:r>
          </w:p>
        </w:tc>
        <w:tc>
          <w:tcPr>
            <w:tcW w:w="4261" w:type="dxa"/>
            <w:vAlign w:val="center"/>
          </w:tcPr>
          <w:p w14:paraId="729978E2">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w:t>
            </w:r>
          </w:p>
        </w:tc>
      </w:tr>
      <w:tr w14:paraId="6347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66E8CCD2">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4.社会保障和就业支出</w:t>
            </w:r>
          </w:p>
        </w:tc>
        <w:tc>
          <w:tcPr>
            <w:tcW w:w="4261" w:type="dxa"/>
            <w:vAlign w:val="center"/>
          </w:tcPr>
          <w:p w14:paraId="0959156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119</w:t>
            </w:r>
          </w:p>
        </w:tc>
      </w:tr>
      <w:tr w14:paraId="16BE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5CC42431">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5.卫生健康支出</w:t>
            </w:r>
          </w:p>
        </w:tc>
        <w:tc>
          <w:tcPr>
            <w:tcW w:w="4261" w:type="dxa"/>
            <w:vAlign w:val="center"/>
          </w:tcPr>
          <w:p w14:paraId="30F56854">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71</w:t>
            </w:r>
          </w:p>
        </w:tc>
      </w:tr>
      <w:tr w14:paraId="6E12F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1E0981E1">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6.城乡社区支出</w:t>
            </w:r>
          </w:p>
        </w:tc>
        <w:tc>
          <w:tcPr>
            <w:tcW w:w="4261" w:type="dxa"/>
            <w:vAlign w:val="center"/>
          </w:tcPr>
          <w:p w14:paraId="1DD69442">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w:t>
            </w:r>
          </w:p>
        </w:tc>
      </w:tr>
      <w:tr w14:paraId="7B14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578B53D2">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7.农林水支出</w:t>
            </w:r>
          </w:p>
        </w:tc>
        <w:tc>
          <w:tcPr>
            <w:tcW w:w="4261" w:type="dxa"/>
            <w:vAlign w:val="center"/>
          </w:tcPr>
          <w:p w14:paraId="112400F0">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w:t>
            </w:r>
          </w:p>
        </w:tc>
      </w:tr>
      <w:tr w14:paraId="1E41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14:paraId="1AA815F0">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8.住房保障支出</w:t>
            </w:r>
          </w:p>
        </w:tc>
        <w:tc>
          <w:tcPr>
            <w:tcW w:w="4261" w:type="dxa"/>
            <w:vAlign w:val="center"/>
          </w:tcPr>
          <w:p w14:paraId="057B168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105</w:t>
            </w:r>
          </w:p>
        </w:tc>
      </w:tr>
      <w:tr w14:paraId="090A4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4A0B4B61">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基本支出小计</w:t>
            </w:r>
          </w:p>
        </w:tc>
        <w:tc>
          <w:tcPr>
            <w:tcW w:w="4261" w:type="dxa"/>
            <w:vAlign w:val="center"/>
          </w:tcPr>
          <w:p w14:paraId="2FD3BC3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1782</w:t>
            </w:r>
          </w:p>
        </w:tc>
      </w:tr>
      <w:tr w14:paraId="425E4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6D0E724E">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二、项目支出</w:t>
            </w:r>
          </w:p>
        </w:tc>
        <w:tc>
          <w:tcPr>
            <w:tcW w:w="4261" w:type="dxa"/>
            <w:vAlign w:val="center"/>
          </w:tcPr>
          <w:p w14:paraId="005D52CA">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Times New Roman" w:hAnsi="Times New Roman" w:eastAsia="仿宋_GB2312" w:cs="仿宋_GB2312"/>
                <w:kern w:val="2"/>
                <w:sz w:val="32"/>
                <w:szCs w:val="32"/>
                <w:vertAlign w:val="baseline"/>
                <w:lang w:val="en-US" w:eastAsia="zh-CN" w:bidi="ar-SA"/>
              </w:rPr>
            </w:pPr>
          </w:p>
        </w:tc>
      </w:tr>
      <w:tr w14:paraId="543EA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61ADA2DB">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1.一般公共服务支出</w:t>
            </w:r>
          </w:p>
        </w:tc>
        <w:tc>
          <w:tcPr>
            <w:tcW w:w="4261" w:type="dxa"/>
            <w:vAlign w:val="center"/>
          </w:tcPr>
          <w:p w14:paraId="219D69EB">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365</w:t>
            </w:r>
          </w:p>
        </w:tc>
      </w:tr>
      <w:tr w14:paraId="25074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049558F2">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2.公共安全支出</w:t>
            </w:r>
          </w:p>
        </w:tc>
        <w:tc>
          <w:tcPr>
            <w:tcW w:w="4261" w:type="dxa"/>
            <w:vAlign w:val="center"/>
          </w:tcPr>
          <w:p w14:paraId="3771376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76</w:t>
            </w:r>
          </w:p>
        </w:tc>
      </w:tr>
      <w:tr w14:paraId="336C0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6398F801">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3.文化旅游体育与传媒支出</w:t>
            </w:r>
          </w:p>
        </w:tc>
        <w:tc>
          <w:tcPr>
            <w:tcW w:w="4261" w:type="dxa"/>
            <w:vAlign w:val="center"/>
          </w:tcPr>
          <w:p w14:paraId="01CB321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83</w:t>
            </w:r>
          </w:p>
        </w:tc>
      </w:tr>
      <w:tr w14:paraId="08164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0A7B26CB">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4.社会保障和就业支出</w:t>
            </w:r>
          </w:p>
        </w:tc>
        <w:tc>
          <w:tcPr>
            <w:tcW w:w="4261" w:type="dxa"/>
            <w:vAlign w:val="center"/>
          </w:tcPr>
          <w:p w14:paraId="16049F7D">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40</w:t>
            </w:r>
          </w:p>
        </w:tc>
      </w:tr>
      <w:tr w14:paraId="70D88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73672D22">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5.卫生健康支出</w:t>
            </w:r>
          </w:p>
        </w:tc>
        <w:tc>
          <w:tcPr>
            <w:tcW w:w="4261" w:type="dxa"/>
            <w:vAlign w:val="center"/>
          </w:tcPr>
          <w:p w14:paraId="32A2104B">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45</w:t>
            </w:r>
          </w:p>
        </w:tc>
      </w:tr>
      <w:tr w14:paraId="6ECA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1FA3791C">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6.城乡社区支出</w:t>
            </w:r>
          </w:p>
        </w:tc>
        <w:tc>
          <w:tcPr>
            <w:tcW w:w="4261" w:type="dxa"/>
            <w:vAlign w:val="center"/>
          </w:tcPr>
          <w:p w14:paraId="566112E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304</w:t>
            </w:r>
          </w:p>
        </w:tc>
      </w:tr>
      <w:tr w14:paraId="0AC3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14:paraId="0BC07A11">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7.农林水支出</w:t>
            </w:r>
          </w:p>
        </w:tc>
        <w:tc>
          <w:tcPr>
            <w:tcW w:w="4261" w:type="dxa"/>
            <w:vAlign w:val="center"/>
          </w:tcPr>
          <w:p w14:paraId="3D595568">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1115</w:t>
            </w:r>
          </w:p>
        </w:tc>
      </w:tr>
      <w:tr w14:paraId="0E242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0D319BF6">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项目支出小计</w:t>
            </w:r>
          </w:p>
        </w:tc>
        <w:tc>
          <w:tcPr>
            <w:tcW w:w="4261" w:type="dxa"/>
            <w:vAlign w:val="center"/>
          </w:tcPr>
          <w:p w14:paraId="1C51866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2028</w:t>
            </w:r>
          </w:p>
        </w:tc>
      </w:tr>
      <w:tr w14:paraId="0B40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14:paraId="72432FAD">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总计</w:t>
            </w:r>
          </w:p>
        </w:tc>
        <w:tc>
          <w:tcPr>
            <w:tcW w:w="4261" w:type="dxa"/>
            <w:vAlign w:val="center"/>
          </w:tcPr>
          <w:p w14:paraId="35EC02A6">
            <w:pPr>
              <w:keepNext w:val="0"/>
              <w:keepLines w:val="0"/>
              <w:pageBreakBefore w:val="0"/>
              <w:widowControl/>
              <w:suppressLineNumbers w:val="0"/>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3810</w:t>
            </w:r>
          </w:p>
        </w:tc>
      </w:tr>
    </w:tbl>
    <w:p w14:paraId="3E074F4D">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2</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全年预算安排明细情况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F158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7FE8090C">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预算支出类型</w:t>
            </w:r>
          </w:p>
        </w:tc>
        <w:tc>
          <w:tcPr>
            <w:tcW w:w="4261" w:type="dxa"/>
          </w:tcPr>
          <w:p w14:paraId="42EFE33C">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金额（</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r>
      <w:tr w14:paraId="16165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72F88E88">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一、基本支出</w:t>
            </w:r>
          </w:p>
        </w:tc>
        <w:tc>
          <w:tcPr>
            <w:tcW w:w="4261" w:type="dxa"/>
          </w:tcPr>
          <w:p w14:paraId="56E8DDF0">
            <w:pPr>
              <w:pStyle w:val="5"/>
              <w:keepNext w:val="0"/>
              <w:keepLines w:val="0"/>
              <w:pageBreakBefore w:val="0"/>
              <w:kinsoku/>
              <w:wordWrap/>
              <w:overflowPunct/>
              <w:topLinePunct w:val="0"/>
              <w:autoSpaceDE/>
              <w:autoSpaceDN/>
              <w:bidi w:val="0"/>
              <w:adjustRightInd/>
              <w:spacing w:line="560" w:lineRule="exact"/>
              <w:jc w:val="both"/>
              <w:rPr>
                <w:rFonts w:hint="eastAsia" w:ascii="Times New Roman" w:hAnsi="Times New Roman" w:eastAsia="仿宋_GB2312" w:cs="仿宋_GB2312"/>
                <w:sz w:val="32"/>
                <w:szCs w:val="32"/>
                <w:lang w:val="en-US" w:eastAsia="zh-CN"/>
              </w:rPr>
            </w:pPr>
          </w:p>
        </w:tc>
      </w:tr>
      <w:tr w14:paraId="5386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9B6B15F">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1、人员经费</w:t>
            </w:r>
          </w:p>
        </w:tc>
        <w:tc>
          <w:tcPr>
            <w:tcW w:w="4261" w:type="dxa"/>
            <w:vAlign w:val="center"/>
          </w:tcPr>
          <w:p w14:paraId="129BD11A">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1510</w:t>
            </w:r>
          </w:p>
        </w:tc>
      </w:tr>
      <w:tr w14:paraId="67454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45EA0BB">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14:paraId="25E90E36">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1221</w:t>
            </w:r>
          </w:p>
        </w:tc>
      </w:tr>
      <w:tr w14:paraId="3B29F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C581304">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14:paraId="53B9B6C7">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289</w:t>
            </w:r>
          </w:p>
        </w:tc>
      </w:tr>
      <w:tr w14:paraId="5588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4E207F4">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14:paraId="287F2899">
            <w:pPr>
              <w:pStyle w:val="5"/>
              <w:keepNext w:val="0"/>
              <w:keepLines w:val="0"/>
              <w:pageBreakBefore w:val="0"/>
              <w:kinsoku/>
              <w:wordWrap/>
              <w:overflowPunct/>
              <w:topLinePunct w:val="0"/>
              <w:autoSpaceDE/>
              <w:autoSpaceDN/>
              <w:bidi w:val="0"/>
              <w:adjustRightInd/>
              <w:spacing w:line="560" w:lineRule="exact"/>
              <w:jc w:val="right"/>
              <w:rPr>
                <w:rFonts w:hint="eastAsia" w:ascii="Times New Roman" w:hAnsi="Times New Roman" w:eastAsia="仿宋_GB2312" w:cs="仿宋_GB2312"/>
                <w:sz w:val="32"/>
                <w:szCs w:val="32"/>
              </w:rPr>
            </w:pPr>
          </w:p>
        </w:tc>
      </w:tr>
      <w:tr w14:paraId="463AF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61" w:type="dxa"/>
          </w:tcPr>
          <w:p w14:paraId="1337A43B">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2、公用经费</w:t>
            </w:r>
          </w:p>
        </w:tc>
        <w:tc>
          <w:tcPr>
            <w:tcW w:w="4261" w:type="dxa"/>
          </w:tcPr>
          <w:p w14:paraId="0CE00FA0">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615</w:t>
            </w:r>
          </w:p>
        </w:tc>
      </w:tr>
      <w:tr w14:paraId="67E16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7C3C6A89">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14:paraId="1A0A51A4">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561</w:t>
            </w:r>
          </w:p>
        </w:tc>
      </w:tr>
      <w:tr w14:paraId="56877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E0BF713">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14:paraId="209A1852">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54</w:t>
            </w:r>
          </w:p>
        </w:tc>
      </w:tr>
      <w:tr w14:paraId="647DD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A29F007">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14:paraId="1D4484F9">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14:paraId="49FDD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14BB623">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基本支出小计</w:t>
            </w:r>
          </w:p>
        </w:tc>
        <w:tc>
          <w:tcPr>
            <w:tcW w:w="4261" w:type="dxa"/>
            <w:vAlign w:val="center"/>
          </w:tcPr>
          <w:p w14:paraId="41981296">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2125</w:t>
            </w:r>
          </w:p>
        </w:tc>
      </w:tr>
      <w:tr w14:paraId="4BDD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1E7E87B">
            <w:pPr>
              <w:pStyle w:val="5"/>
              <w:keepNext w:val="0"/>
              <w:keepLines w:val="0"/>
              <w:pageBreakBefore w:val="0"/>
              <w:kinsoku/>
              <w:wordWrap/>
              <w:overflowPunct/>
              <w:topLinePunct w:val="0"/>
              <w:autoSpaceDE/>
              <w:autoSpaceDN/>
              <w:bidi w:val="0"/>
              <w:adjustRightInd/>
              <w:spacing w:line="56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二、项目支出</w:t>
            </w:r>
          </w:p>
        </w:tc>
        <w:tc>
          <w:tcPr>
            <w:tcW w:w="4261" w:type="dxa"/>
          </w:tcPr>
          <w:p w14:paraId="1B4D1D85">
            <w:pPr>
              <w:pStyle w:val="5"/>
              <w:keepNext w:val="0"/>
              <w:keepLines w:val="0"/>
              <w:pageBreakBefore w:val="0"/>
              <w:tabs>
                <w:tab w:val="clear" w:pos="720"/>
              </w:tabs>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14:paraId="6B01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D60BF93">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14:paraId="720D385A">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2028</w:t>
            </w:r>
          </w:p>
        </w:tc>
      </w:tr>
      <w:tr w14:paraId="1D21B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A73FC24">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14:paraId="75D1A2D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-19</w:t>
            </w:r>
          </w:p>
        </w:tc>
      </w:tr>
      <w:tr w14:paraId="2313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96837EF">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14:paraId="20770F7B">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14:paraId="77338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B19BC9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项目支出小计</w:t>
            </w:r>
          </w:p>
        </w:tc>
        <w:tc>
          <w:tcPr>
            <w:tcW w:w="4261" w:type="dxa"/>
            <w:vAlign w:val="center"/>
          </w:tcPr>
          <w:p w14:paraId="0ECD9B1B">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2009</w:t>
            </w:r>
          </w:p>
        </w:tc>
      </w:tr>
      <w:tr w14:paraId="06CA8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261" w:type="dxa"/>
          </w:tcPr>
          <w:p w14:paraId="45C001E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总计</w:t>
            </w:r>
          </w:p>
        </w:tc>
        <w:tc>
          <w:tcPr>
            <w:tcW w:w="4261" w:type="dxa"/>
            <w:vAlign w:val="center"/>
          </w:tcPr>
          <w:p w14:paraId="756DA6C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4134</w:t>
            </w:r>
          </w:p>
        </w:tc>
      </w:tr>
    </w:tbl>
    <w:p w14:paraId="2ABE2313">
      <w:pPr>
        <w:pStyle w:val="5"/>
        <w:keepNext w:val="0"/>
        <w:keepLines w:val="0"/>
        <w:pageBreakBefore w:val="0"/>
        <w:kinsoku/>
        <w:wordWrap/>
        <w:overflowPunct/>
        <w:topLinePunct w:val="0"/>
        <w:autoSpaceDE/>
        <w:autoSpaceDN/>
        <w:bidi w:val="0"/>
        <w:adjustRightInd/>
        <w:spacing w:line="560" w:lineRule="exact"/>
        <w:ind w:firstLine="321" w:firstLineChars="1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3</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基本支出预算执行情况</w:t>
      </w:r>
    </w:p>
    <w:tbl>
      <w:tblPr>
        <w:tblStyle w:val="12"/>
        <w:tblpPr w:leftFromText="180" w:rightFromText="180" w:vertAnchor="text" w:horzAnchor="page" w:tblpX="1601" w:tblpY="109"/>
        <w:tblOverlap w:val="never"/>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910"/>
        <w:gridCol w:w="2036"/>
        <w:gridCol w:w="2036"/>
        <w:gridCol w:w="1488"/>
      </w:tblGrid>
      <w:tr w14:paraId="715B3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485" w:type="dxa"/>
          </w:tcPr>
          <w:p w14:paraId="1D71F4F1">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科 目</w:t>
            </w:r>
          </w:p>
        </w:tc>
        <w:tc>
          <w:tcPr>
            <w:tcW w:w="1910" w:type="dxa"/>
          </w:tcPr>
          <w:p w14:paraId="20CBC20E">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036" w:type="dxa"/>
          </w:tcPr>
          <w:p w14:paraId="7413F7FA">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实际支出（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036" w:type="dxa"/>
          </w:tcPr>
          <w:p w14:paraId="00E3A1C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超支（</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488" w:type="dxa"/>
          </w:tcPr>
          <w:p w14:paraId="0F133256">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预算执行率</w:t>
            </w:r>
          </w:p>
        </w:tc>
      </w:tr>
      <w:tr w14:paraId="6FFE7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485" w:type="dxa"/>
          </w:tcPr>
          <w:p w14:paraId="3CC154DE">
            <w:pPr>
              <w:pStyle w:val="5"/>
              <w:keepNext w:val="0"/>
              <w:keepLines w:val="0"/>
              <w:pageBreakBefore w:val="0"/>
              <w:kinsoku/>
              <w:wordWrap/>
              <w:overflowPunct/>
              <w:topLinePunct w:val="0"/>
              <w:autoSpaceDE/>
              <w:autoSpaceDN/>
              <w:bidi w:val="0"/>
              <w:adjustRightInd/>
              <w:spacing w:line="56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人员经费</w:t>
            </w:r>
          </w:p>
        </w:tc>
        <w:tc>
          <w:tcPr>
            <w:tcW w:w="1910" w:type="dxa"/>
            <w:vAlign w:val="center"/>
          </w:tcPr>
          <w:p w14:paraId="2257B41E">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1510</w:t>
            </w:r>
          </w:p>
        </w:tc>
        <w:tc>
          <w:tcPr>
            <w:tcW w:w="2036" w:type="dxa"/>
            <w:vAlign w:val="center"/>
          </w:tcPr>
          <w:p w14:paraId="1B9DF058">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1485</w:t>
            </w:r>
          </w:p>
        </w:tc>
        <w:tc>
          <w:tcPr>
            <w:tcW w:w="2036" w:type="dxa"/>
            <w:vAlign w:val="center"/>
          </w:tcPr>
          <w:p w14:paraId="4EA9EBCB">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-25</w:t>
            </w:r>
          </w:p>
        </w:tc>
        <w:tc>
          <w:tcPr>
            <w:tcW w:w="1488" w:type="dxa"/>
            <w:vAlign w:val="center"/>
          </w:tcPr>
          <w:p w14:paraId="575EB36E">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98%</w:t>
            </w:r>
          </w:p>
        </w:tc>
      </w:tr>
      <w:tr w14:paraId="76910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485" w:type="dxa"/>
            <w:vAlign w:val="center"/>
          </w:tcPr>
          <w:p w14:paraId="5EB65AD9">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kern w:val="0"/>
                <w:sz w:val="32"/>
                <w:szCs w:val="32"/>
                <w:lang w:bidi="ar"/>
              </w:rPr>
              <w:t>公用经费</w:t>
            </w:r>
          </w:p>
        </w:tc>
        <w:tc>
          <w:tcPr>
            <w:tcW w:w="1910" w:type="dxa"/>
            <w:vAlign w:val="center"/>
          </w:tcPr>
          <w:p w14:paraId="7A9F2E9D">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615</w:t>
            </w:r>
          </w:p>
        </w:tc>
        <w:tc>
          <w:tcPr>
            <w:tcW w:w="2036" w:type="dxa"/>
            <w:vAlign w:val="center"/>
          </w:tcPr>
          <w:p w14:paraId="769171F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581</w:t>
            </w:r>
          </w:p>
        </w:tc>
        <w:tc>
          <w:tcPr>
            <w:tcW w:w="2036" w:type="dxa"/>
            <w:vAlign w:val="center"/>
          </w:tcPr>
          <w:p w14:paraId="63E504E3">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-34</w:t>
            </w:r>
          </w:p>
        </w:tc>
        <w:tc>
          <w:tcPr>
            <w:tcW w:w="1488" w:type="dxa"/>
            <w:vAlign w:val="center"/>
          </w:tcPr>
          <w:p w14:paraId="227B1D02">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94%</w:t>
            </w:r>
          </w:p>
        </w:tc>
      </w:tr>
      <w:tr w14:paraId="13989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485" w:type="dxa"/>
          </w:tcPr>
          <w:p w14:paraId="0B2D66DA">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合  计</w:t>
            </w:r>
          </w:p>
        </w:tc>
        <w:tc>
          <w:tcPr>
            <w:tcW w:w="1910" w:type="dxa"/>
            <w:vAlign w:val="center"/>
          </w:tcPr>
          <w:p w14:paraId="620C7001">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2125</w:t>
            </w:r>
          </w:p>
        </w:tc>
        <w:tc>
          <w:tcPr>
            <w:tcW w:w="2036" w:type="dxa"/>
            <w:vAlign w:val="center"/>
          </w:tcPr>
          <w:p w14:paraId="1E98BB46">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2066</w:t>
            </w:r>
          </w:p>
        </w:tc>
        <w:tc>
          <w:tcPr>
            <w:tcW w:w="2036" w:type="dxa"/>
            <w:vAlign w:val="center"/>
          </w:tcPr>
          <w:p w14:paraId="621C8AAD">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-59</w:t>
            </w:r>
          </w:p>
        </w:tc>
        <w:tc>
          <w:tcPr>
            <w:tcW w:w="1488" w:type="dxa"/>
            <w:vAlign w:val="center"/>
          </w:tcPr>
          <w:p w14:paraId="0691E4AC">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97%</w:t>
            </w:r>
          </w:p>
        </w:tc>
      </w:tr>
    </w:tbl>
    <w:p w14:paraId="678787C9">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 xml:space="preserve">4.项目支出预算执行情况 </w:t>
      </w:r>
    </w:p>
    <w:tbl>
      <w:tblPr>
        <w:tblStyle w:val="12"/>
        <w:tblpPr w:leftFromText="180" w:rightFromText="180" w:vertAnchor="text" w:horzAnchor="page" w:tblpX="1800" w:tblpY="109"/>
        <w:tblOverlap w:val="never"/>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1839"/>
        <w:gridCol w:w="2200"/>
        <w:gridCol w:w="1582"/>
        <w:gridCol w:w="1538"/>
      </w:tblGrid>
      <w:tr w14:paraId="2AAC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517" w:type="dxa"/>
          </w:tcPr>
          <w:p w14:paraId="44DCEAA1">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项  目</w:t>
            </w:r>
          </w:p>
        </w:tc>
        <w:tc>
          <w:tcPr>
            <w:tcW w:w="1839" w:type="dxa"/>
          </w:tcPr>
          <w:p w14:paraId="588C7A6A">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w:t>
            </w:r>
          </w:p>
          <w:p w14:paraId="22F5AEA0">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200" w:type="dxa"/>
          </w:tcPr>
          <w:p w14:paraId="6DA9C20E">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实际支出（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582" w:type="dxa"/>
          </w:tcPr>
          <w:p w14:paraId="034C3609">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超支（</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538" w:type="dxa"/>
          </w:tcPr>
          <w:p w14:paraId="39F039EB">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预算执行</w:t>
            </w:r>
            <w:r>
              <w:rPr>
                <w:rFonts w:hint="eastAsia" w:ascii="Times New Roman" w:hAnsi="Times New Roman" w:eastAsia="仿宋_GB2312" w:cs="仿宋_GB2312"/>
                <w:sz w:val="32"/>
                <w:szCs w:val="32"/>
                <w:lang w:val="en-US" w:eastAsia="zh-CN"/>
              </w:rPr>
              <w:t>率</w:t>
            </w:r>
          </w:p>
        </w:tc>
      </w:tr>
      <w:tr w14:paraId="21A35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17" w:type="dxa"/>
          </w:tcPr>
          <w:p w14:paraId="3129F32F">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项目</w:t>
            </w:r>
          </w:p>
        </w:tc>
        <w:tc>
          <w:tcPr>
            <w:tcW w:w="1839" w:type="dxa"/>
            <w:vAlign w:val="center"/>
          </w:tcPr>
          <w:p w14:paraId="3C6F1B79">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2008</w:t>
            </w:r>
          </w:p>
        </w:tc>
        <w:tc>
          <w:tcPr>
            <w:tcW w:w="2200" w:type="dxa"/>
            <w:vAlign w:val="center"/>
          </w:tcPr>
          <w:p w14:paraId="32E1083E">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1367</w:t>
            </w:r>
          </w:p>
        </w:tc>
        <w:tc>
          <w:tcPr>
            <w:tcW w:w="1582" w:type="dxa"/>
            <w:vAlign w:val="center"/>
          </w:tcPr>
          <w:p w14:paraId="782580EE">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-647</w:t>
            </w:r>
          </w:p>
        </w:tc>
        <w:tc>
          <w:tcPr>
            <w:tcW w:w="1538" w:type="dxa"/>
            <w:vAlign w:val="center"/>
          </w:tcPr>
          <w:p w14:paraId="4FFC903C">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68%</w:t>
            </w:r>
          </w:p>
        </w:tc>
      </w:tr>
      <w:tr w14:paraId="5DF19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517" w:type="dxa"/>
          </w:tcPr>
          <w:p w14:paraId="78003F10">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资本性支出</w:t>
            </w:r>
          </w:p>
        </w:tc>
        <w:tc>
          <w:tcPr>
            <w:tcW w:w="1839" w:type="dxa"/>
          </w:tcPr>
          <w:p w14:paraId="138F166B">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0</w:t>
            </w:r>
          </w:p>
        </w:tc>
        <w:tc>
          <w:tcPr>
            <w:tcW w:w="2200" w:type="dxa"/>
          </w:tcPr>
          <w:p w14:paraId="6E085B65">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511</w:t>
            </w:r>
          </w:p>
        </w:tc>
        <w:tc>
          <w:tcPr>
            <w:tcW w:w="1582" w:type="dxa"/>
          </w:tcPr>
          <w:p w14:paraId="3ED8D5F8">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511</w:t>
            </w:r>
          </w:p>
        </w:tc>
        <w:tc>
          <w:tcPr>
            <w:tcW w:w="1538" w:type="dxa"/>
          </w:tcPr>
          <w:p w14:paraId="1B1F4002">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100</w:t>
            </w:r>
            <w:r>
              <w:rPr>
                <w:rFonts w:hint="eastAsia" w:ascii="Times New Roman" w:hAnsi="Times New Roman" w:eastAsia="仿宋_GB2312" w:cs="仿宋_GB2312"/>
                <w:color w:val="000000"/>
                <w:kern w:val="0"/>
                <w:sz w:val="32"/>
                <w:szCs w:val="32"/>
                <w:lang w:val="en-US" w:eastAsia="zh-CN" w:bidi="ar"/>
              </w:rPr>
              <w:t>%</w:t>
            </w:r>
          </w:p>
        </w:tc>
      </w:tr>
      <w:tr w14:paraId="54BE7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517" w:type="dxa"/>
          </w:tcPr>
          <w:p w14:paraId="1CF56447">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合  计</w:t>
            </w:r>
          </w:p>
        </w:tc>
        <w:tc>
          <w:tcPr>
            <w:tcW w:w="1839" w:type="dxa"/>
            <w:vAlign w:val="center"/>
          </w:tcPr>
          <w:p w14:paraId="7FB7182D">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2008</w:t>
            </w:r>
          </w:p>
        </w:tc>
        <w:tc>
          <w:tcPr>
            <w:tcW w:w="2200" w:type="dxa"/>
            <w:vAlign w:val="center"/>
          </w:tcPr>
          <w:p w14:paraId="37D34763">
            <w:pPr>
              <w:keepNext w:val="0"/>
              <w:keepLines w:val="0"/>
              <w:pageBreakBefore w:val="0"/>
              <w:widowControl/>
              <w:kinsoku/>
              <w:wordWrap/>
              <w:overflowPunct/>
              <w:topLinePunct w:val="0"/>
              <w:autoSpaceDE/>
              <w:autoSpaceDN/>
              <w:bidi w:val="0"/>
              <w:adjustRightInd/>
              <w:spacing w:line="560" w:lineRule="exact"/>
              <w:jc w:val="both"/>
              <w:textAlignment w:val="center"/>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1878</w:t>
            </w:r>
          </w:p>
        </w:tc>
        <w:tc>
          <w:tcPr>
            <w:tcW w:w="1582" w:type="dxa"/>
            <w:vAlign w:val="center"/>
          </w:tcPr>
          <w:p w14:paraId="7F9E7D07">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-136</w:t>
            </w:r>
          </w:p>
        </w:tc>
        <w:tc>
          <w:tcPr>
            <w:tcW w:w="1538" w:type="dxa"/>
            <w:vAlign w:val="center"/>
          </w:tcPr>
          <w:p w14:paraId="614B65CB">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93.6%</w:t>
            </w:r>
          </w:p>
        </w:tc>
      </w:tr>
    </w:tbl>
    <w:p w14:paraId="376FEE8C">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（二）绩效指标情况分析</w:t>
      </w:r>
    </w:p>
    <w:p w14:paraId="40766227">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1</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目标设定：</w:t>
      </w:r>
      <w:r>
        <w:rPr>
          <w:rFonts w:hint="eastAsia" w:ascii="Times New Roman" w:hAnsi="Times New Roman" w:eastAsia="仿宋_GB2312" w:cs="仿宋_GB2312"/>
          <w:sz w:val="32"/>
          <w:szCs w:val="32"/>
        </w:rPr>
        <w:t>单位设立的目标依据充分，符合实际情况；设定的绩效指标清晰，做到了细化和量化。</w:t>
      </w:r>
    </w:p>
    <w:p w14:paraId="71164719">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2</w:t>
      </w:r>
      <w:r>
        <w:rPr>
          <w:rFonts w:hint="eastAsia" w:ascii="Times New Roman" w:hAnsi="Times New Roman"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预算执行情况分析</w:t>
      </w:r>
    </w:p>
    <w:p w14:paraId="5AE4432C">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预算调整率:（年初预算数+预算调增数-预算调减数/年初预算数）*100%，324/3810=8.5%，调整率在0-10%内，得4分。</w:t>
      </w:r>
    </w:p>
    <w:p w14:paraId="5A58F4C3">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基本支出预算控制率:（基本支出实际支出/基本支出年度总预算）</w:t>
      </w:r>
      <w:r>
        <w:rPr>
          <w:rFonts w:hint="eastAsia" w:ascii="Times New Roman" w:hAnsi="Times New Roman" w:eastAsia="仿宋_GB2312" w:cs="仿宋_GB2312"/>
          <w:kern w:val="2"/>
          <w:sz w:val="32"/>
          <w:szCs w:val="32"/>
          <w:lang w:val="en-US" w:eastAsia="zh-CN" w:bidi="ar-SA"/>
        </w:rPr>
        <w:t>*100%=2066/2125=97%，基本支出预算控制率≦100%，计5分。</w:t>
      </w:r>
    </w:p>
    <w:p w14:paraId="77CB252B">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项目支出预算控制率:（项目支出实际支出/项目支出年度总预算）*100%=1367/2009=68%，项目支出预算控制率≦100%，得5分。</w:t>
      </w:r>
    </w:p>
    <w:p w14:paraId="5F361B5F">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年末无资金结余，分项目核算结余结转，得5分。</w:t>
      </w:r>
    </w:p>
    <w:p w14:paraId="0FBEE54C">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分项目核算结余结转，得5分。</w:t>
      </w:r>
    </w:p>
    <w:p w14:paraId="34C082E4">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“三公经费”控制率:（“三公经费”实际支出数/“三公经费”预算安排数）×100%=</w:t>
      </w:r>
      <w:r>
        <w:rPr>
          <w:rFonts w:hint="eastAsia" w:ascii="Times New Roman" w:hAnsi="Times New Roman" w:eastAsia="仿宋_GB2312" w:cs="仿宋_GB2312"/>
          <w:sz w:val="32"/>
          <w:szCs w:val="32"/>
          <w:lang w:val="en-US" w:eastAsia="zh-CN"/>
        </w:rPr>
        <w:t>0.58/5=11.6%</w:t>
      </w:r>
      <w:r>
        <w:rPr>
          <w:rFonts w:hint="eastAsia" w:ascii="Times New Roman" w:hAnsi="Times New Roman" w:eastAsia="仿宋_GB2312" w:cs="仿宋_GB2312"/>
          <w:sz w:val="32"/>
          <w:szCs w:val="32"/>
        </w:rPr>
        <w:t>，以100%为标准。三公经费控制率≦100%，得5分。</w:t>
      </w:r>
    </w:p>
    <w:p w14:paraId="674629EA">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综上所述，预算执行考核指标总计30分，扣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 xml:space="preserve">分，得 </w:t>
      </w:r>
      <w:r>
        <w:rPr>
          <w:rFonts w:hint="eastAsia" w:ascii="Times New Roman" w:hAnsi="Times New Roman" w:eastAsia="仿宋_GB2312" w:cs="仿宋_GB2312"/>
          <w:sz w:val="32"/>
          <w:szCs w:val="32"/>
          <w:lang w:val="en-US" w:eastAsia="zh-CN"/>
        </w:rPr>
        <w:t>29</w:t>
      </w:r>
      <w:r>
        <w:rPr>
          <w:rFonts w:hint="eastAsia" w:ascii="Times New Roman" w:hAnsi="Times New Roman" w:eastAsia="仿宋_GB2312" w:cs="仿宋_GB2312"/>
          <w:sz w:val="32"/>
          <w:szCs w:val="32"/>
        </w:rPr>
        <w:t>分。</w:t>
      </w:r>
    </w:p>
    <w:p w14:paraId="677FA9F2">
      <w:pPr>
        <w:pStyle w:val="5"/>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color w:val="0000FF"/>
          <w:sz w:val="32"/>
          <w:szCs w:val="32"/>
        </w:rPr>
      </w:pPr>
      <w:r>
        <w:rPr>
          <w:rFonts w:hint="eastAsia" w:ascii="Times New Roman" w:hAnsi="Times New Roman" w:eastAsia="仿宋_GB2312" w:cs="仿宋_GB2312"/>
          <w:b/>
          <w:bCs/>
          <w:sz w:val="32"/>
          <w:szCs w:val="32"/>
        </w:rPr>
        <w:t>3</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预算管理情况分析</w:t>
      </w:r>
    </w:p>
    <w:p w14:paraId="55E945C8">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管理制度健全:认真贯彻执行《会计法》、《预算法》、《行政单位会计制度》等法律法规，各项经费支出严格按照政府采购、国库集中支付等有关规定执行。规范了公务接待的审批管理，较好的控制了行政运行成本</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得</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分。</w:t>
      </w:r>
    </w:p>
    <w:p w14:paraId="796BFF59">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专账核算管理：本年度支出严格分项目单独核算，支出符合财务管理制度以及有关专项资金管理办法的规定；资金拨付有完整的审批程序和手续；项目支出按规定经过评估论证；支出符合部门预算批复的用途；资金使用无截留、挤占、挪用、虚列支出等情况，得5分。</w:t>
      </w:r>
    </w:p>
    <w:p w14:paraId="144E5630">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预决算信息公开性和完善性：一是按规定内容公开预决算信息；二是按规定时限公开预决算信息，且相关信息资料真实、完整、准确，得5分。</w:t>
      </w:r>
    </w:p>
    <w:p w14:paraId="0438ABD4">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政府采购完成情况：达到政府采购要求的均按规定进行了政府采购，得5分。</w:t>
      </w:r>
    </w:p>
    <w:p w14:paraId="44E1725F">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综上所述，预算管理考核指标总计20分，扣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分，得</w:t>
      </w:r>
      <w:r>
        <w:rPr>
          <w:rFonts w:hint="eastAsia" w:ascii="Times New Roman" w:hAnsi="Times New Roman" w:eastAsia="仿宋_GB2312" w:cs="仿宋_GB2312"/>
          <w:sz w:val="32"/>
          <w:szCs w:val="32"/>
          <w:lang w:val="en-US" w:eastAsia="zh-CN"/>
        </w:rPr>
        <w:t>19</w:t>
      </w:r>
      <w:r>
        <w:rPr>
          <w:rFonts w:hint="eastAsia" w:ascii="Times New Roman" w:hAnsi="Times New Roman" w:eastAsia="仿宋_GB2312" w:cs="仿宋_GB2312"/>
          <w:sz w:val="32"/>
          <w:szCs w:val="32"/>
        </w:rPr>
        <w:t>分。</w:t>
      </w:r>
    </w:p>
    <w:p w14:paraId="7BFCCB74">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4</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rPr>
        <w:t>资产管理情况分析</w:t>
      </w:r>
    </w:p>
    <w:p w14:paraId="217F4BBF">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管理制度健全性：本单位制定了资产管理制度，相关资产管理制度合法、合规、完整。本单位202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年对国有资产进行了清查，固定资产</w:t>
      </w:r>
      <w:r>
        <w:rPr>
          <w:rFonts w:hint="eastAsia" w:ascii="Times New Roman" w:hAnsi="Times New Roman" w:eastAsia="仿宋_GB2312" w:cs="仿宋_GB2312"/>
          <w:sz w:val="32"/>
          <w:szCs w:val="32"/>
          <w:lang w:eastAsia="zh-CN"/>
        </w:rPr>
        <w:t>基本</w:t>
      </w:r>
      <w:r>
        <w:rPr>
          <w:rFonts w:hint="eastAsia" w:ascii="Times New Roman" w:hAnsi="Times New Roman" w:eastAsia="仿宋_GB2312" w:cs="仿宋_GB2312"/>
          <w:sz w:val="32"/>
          <w:szCs w:val="32"/>
        </w:rPr>
        <w:t>做</w:t>
      </w:r>
      <w:r>
        <w:rPr>
          <w:rFonts w:hint="eastAsia" w:ascii="Times New Roman" w:hAnsi="Times New Roman" w:eastAsia="仿宋_GB2312" w:cs="仿宋_GB2312"/>
          <w:sz w:val="32"/>
          <w:szCs w:val="32"/>
          <w:lang w:eastAsia="zh-CN"/>
        </w:rPr>
        <w:t>到账实相符</w:t>
      </w:r>
      <w:r>
        <w:rPr>
          <w:rFonts w:hint="eastAsia" w:ascii="Times New Roman" w:hAnsi="Times New Roman" w:eastAsia="仿宋_GB2312" w:cs="仿宋_GB2312"/>
          <w:sz w:val="32"/>
          <w:szCs w:val="32"/>
        </w:rPr>
        <w:t>。</w:t>
      </w:r>
    </w:p>
    <w:p w14:paraId="0598DF8A">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综上所述，资产管理考核指标总计5分，扣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分，得</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分。</w:t>
      </w:r>
    </w:p>
    <w:p w14:paraId="38CEE3CD">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5</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rPr>
        <w:t>产出分析：职责履行情况分析</w:t>
      </w:r>
    </w:p>
    <w:p w14:paraId="16609414">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抓实产业发展</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b/>
          <w:bCs/>
          <w:sz w:val="32"/>
          <w:szCs w:val="32"/>
          <w:lang w:val="en-US" w:eastAsia="zh-CN"/>
        </w:rPr>
        <w:t>一是经济指标平稳运行。</w:t>
      </w:r>
      <w:r>
        <w:rPr>
          <w:rFonts w:hint="eastAsia" w:ascii="Times New Roman" w:hAnsi="Times New Roman" w:eastAsia="仿宋_GB2312" w:cs="仿宋_GB2312"/>
          <w:sz w:val="32"/>
          <w:szCs w:val="32"/>
          <w:lang w:val="en-US" w:eastAsia="zh-CN"/>
        </w:rPr>
        <w:t>完成工业产值8800万元；研究与试验发展经费投入占规模以上工业总产值比重达到6.8%；固定资产投资48000万元；拥有规模以上企业3家，省级专精特新企业1家；拟入规企业3家。</w:t>
      </w:r>
      <w:r>
        <w:rPr>
          <w:rFonts w:hint="eastAsia" w:ascii="Times New Roman" w:hAnsi="Times New Roman" w:eastAsia="仿宋_GB2312" w:cs="仿宋_GB2312"/>
          <w:b/>
          <w:bCs/>
          <w:sz w:val="32"/>
          <w:szCs w:val="32"/>
          <w:lang w:val="en-US" w:eastAsia="zh-CN"/>
        </w:rPr>
        <w:t>二是园区发展更具活力。</w:t>
      </w:r>
      <w:r>
        <w:rPr>
          <w:rFonts w:hint="eastAsia" w:ascii="Times New Roman" w:hAnsi="Times New Roman" w:eastAsia="仿宋_GB2312" w:cs="仿宋_GB2312"/>
          <w:sz w:val="32"/>
          <w:szCs w:val="32"/>
          <w:lang w:val="en-US" w:eastAsia="zh-CN"/>
        </w:rPr>
        <w:t>加快茶恩竹木工业园建设，湖南五颗星内部厂房建设于11月底动工。湖南俊祥农业有限公司年底将进行生产。湘宝二期项目建设相关图纸已成形。持续推动培优扶强龙头企业、专精特新企业，湖南湘宝竹木制品有限公司荣获“湖南省林业产业龙头企业”称号。</w:t>
      </w:r>
      <w:r>
        <w:rPr>
          <w:rFonts w:hint="eastAsia" w:ascii="Times New Roman" w:hAnsi="Times New Roman" w:eastAsia="仿宋_GB2312" w:cs="仿宋_GB2312"/>
          <w:b/>
          <w:bCs/>
          <w:sz w:val="32"/>
          <w:szCs w:val="32"/>
          <w:lang w:val="en-US" w:eastAsia="zh-CN"/>
        </w:rPr>
        <w:t>三是营商环境持续优化。</w:t>
      </w:r>
      <w:r>
        <w:rPr>
          <w:rFonts w:hint="eastAsia" w:ascii="Times New Roman" w:hAnsi="Times New Roman" w:eastAsia="仿宋_GB2312" w:cs="仿宋_GB2312"/>
          <w:sz w:val="32"/>
          <w:szCs w:val="32"/>
          <w:lang w:val="en-US" w:eastAsia="zh-CN"/>
        </w:rPr>
        <w:t>深入开展“两重”“两新”送解优专项行动，制定领导班子成员联企走访计划，先后解决企业难题18个。</w:t>
      </w:r>
    </w:p>
    <w:p w14:paraId="309CFF5B">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抓细农业生产。一是扛牢粮食安全责任。</w:t>
      </w:r>
      <w:r>
        <w:rPr>
          <w:rFonts w:hint="eastAsia" w:ascii="Times New Roman" w:hAnsi="Times New Roman" w:eastAsia="仿宋_GB2312" w:cs="仿宋_GB2312"/>
          <w:sz w:val="32"/>
          <w:szCs w:val="32"/>
          <w:lang w:val="en-US" w:eastAsia="zh-CN"/>
        </w:rPr>
        <w:t>2024年粮食产量播种面积4.7万亩，粮食产量2.3万吨，油菜种植面积1.21万亩。打造柏棠村、青坪村、茶花村3个“早专晚优”示范片。桥市村、上丰村2个重点村完成双季稻生产面积55%以上。巩固2023年抛荒治理145亩，在种植结构调整区治理非粮化面积153亩。整村流转、划片分包的“青坪模式”得到宣传推介，为盘活土地资源提供借鉴和参考。</w:t>
      </w:r>
      <w:r>
        <w:rPr>
          <w:rFonts w:hint="eastAsia" w:ascii="Times New Roman" w:hAnsi="Times New Roman" w:eastAsia="仿宋_GB2312" w:cs="仿宋_GB2312"/>
          <w:b/>
          <w:bCs/>
          <w:sz w:val="32"/>
          <w:szCs w:val="32"/>
          <w:lang w:val="en-US" w:eastAsia="zh-CN"/>
        </w:rPr>
        <w:t>二是巩固拓展脱贫攻坚成果。</w:t>
      </w:r>
      <w:r>
        <w:rPr>
          <w:rFonts w:hint="eastAsia" w:ascii="Times New Roman" w:hAnsi="Times New Roman" w:eastAsia="仿宋_GB2312" w:cs="仿宋_GB2312"/>
          <w:sz w:val="32"/>
          <w:szCs w:val="32"/>
          <w:lang w:val="en-US" w:eastAsia="zh-CN"/>
        </w:rPr>
        <w:t>全面落实好教育、医疗、住房、饮水等民生保障普惠性政策。落实408名脱贫群众务工就业一次性交通补助，共计发放12.51万元。开发改厕管护员、保洁员等公益性岗位22个。雨露计划申报142人，共计发放21.3万元。持续做好44户97人监测户动态管理，消除风险18户36人，切实提升精准帮扶实效。坚持不懈推进农村“厕所革命”，完成户厕改造55座。</w:t>
      </w:r>
      <w:r>
        <w:rPr>
          <w:rFonts w:hint="eastAsia" w:ascii="Times New Roman" w:hAnsi="Times New Roman" w:eastAsia="仿宋_GB2312" w:cs="仿宋_GB2312"/>
          <w:b/>
          <w:bCs/>
          <w:sz w:val="32"/>
          <w:szCs w:val="32"/>
          <w:lang w:val="en-US" w:eastAsia="zh-CN"/>
        </w:rPr>
        <w:t>三是完善农村基础设施。</w:t>
      </w:r>
      <w:r>
        <w:rPr>
          <w:rFonts w:hint="eastAsia" w:ascii="Times New Roman" w:hAnsi="Times New Roman" w:eastAsia="仿宋_GB2312" w:cs="仿宋_GB2312"/>
          <w:sz w:val="32"/>
          <w:szCs w:val="32"/>
          <w:lang w:val="en-US" w:eastAsia="zh-CN"/>
        </w:rPr>
        <w:t>对镇域乡村道路日常养护、除杂，投入14.3万元。大旺田至关王庙道路改扩建项目于2024年8月开工，涉及3个村2.5万余人出行，道路提质改造后将极大方便群众出行。投入59.8万元解决镇污水处理厂管道塌陷、进水量及污水浓度等问题。加强农田水利基础设施建设，茶恩村高标准农田建设项目已完成主体工程，目前正在加紧扫尾；申报移民后扶项目7处；完成青坪村三角坪提水工程；青坪村、桥市村、茶恩村、东三村、上丰村等村7.3水毁修复工程全部完工；向阳闸除险加固工程建设火速推进。四是纵深推进林业工作。严格落实巡林制度，</w:t>
      </w:r>
      <w:r>
        <w:rPr>
          <w:rFonts w:hint="eastAsia" w:ascii="Times New Roman" w:hAnsi="Times New Roman" w:eastAsia="仿宋_GB2312" w:cs="仿宋_GB2312"/>
          <w:sz w:val="32"/>
          <w:szCs w:val="32"/>
        </w:rPr>
        <w:t>完成国土绿化示范项目</w:t>
      </w:r>
      <w:r>
        <w:rPr>
          <w:rFonts w:hint="eastAsia" w:ascii="Times New Roman" w:hAnsi="Times New Roman" w:eastAsia="仿宋_GB2312" w:cs="仿宋_GB2312"/>
          <w:sz w:val="32"/>
          <w:szCs w:val="32"/>
          <w:lang w:val="en-US" w:eastAsia="zh-CN"/>
        </w:rPr>
        <w:t>1000余</w:t>
      </w:r>
      <w:r>
        <w:rPr>
          <w:rFonts w:hint="eastAsia" w:ascii="Times New Roman" w:hAnsi="Times New Roman" w:eastAsia="仿宋_GB2312" w:cs="仿宋_GB2312"/>
          <w:sz w:val="32"/>
          <w:szCs w:val="32"/>
        </w:rPr>
        <w:t>亩，油茶三年行动项目新造油茶</w:t>
      </w: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00亩，森林质量精准提升项目1</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00亩，中央财政造林补贴项目300亩，三边绿化20公里左右，打造庭院绿化200余户，建立义务植树基地1处，义务植树11.4万余株，楠竹扩鞭5000余亩</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五是发展壮大乡村产业。天马山户外休闲运动基地修建健身步道，改善景区道路，中秋、国庆假期基地日均客流量达到500人次，乡村“微旅游”持续焕发活力。全镇村集体经济收入总量达215万元，金坪村集体经济收入达30万元以上，桥市村通过箱包制造产业，激发村集体发展内生动力，年产值达120万元。六是系统推进农村环境整治。推进“垃圾不落地”模式，镇区生活垃圾清运实行市场化运作方式，实现环卫服务常态化。动员党员干部群众参与“村庄清洁行动日”，参与人员达3680人次，清理农村生活垃圾3201吨。积极推行乡村生活垃圾处理付费制度，解决农村生活垃圾治理资金短缺、群众参与不够等问题，有力地推动了农村人居环境治理向纵深和更高层次发展。</w:t>
      </w:r>
    </w:p>
    <w:p w14:paraId="33BBC887">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抓好民生福祉。一是社会保障坚实有力。</w:t>
      </w:r>
      <w:r>
        <w:rPr>
          <w:rFonts w:hint="eastAsia" w:ascii="Times New Roman" w:hAnsi="Times New Roman" w:eastAsia="仿宋_GB2312" w:cs="仿宋_GB2312"/>
          <w:sz w:val="32"/>
          <w:szCs w:val="32"/>
          <w:lang w:val="en-US" w:eastAsia="zh-CN"/>
        </w:rPr>
        <w:t>社会救助领域通过“一卡通”发放救助金额共计531万元，其中临时救助82人，救助金额11.7万元；低保累计救助12239人，发放低保金328万元；特困累计救助2587人、发放资金173.5万元，基本生活和护理费用发放18.2万元，真正做到了应保尽保，应兜尽兜。</w:t>
      </w:r>
      <w:r>
        <w:rPr>
          <w:rFonts w:hint="eastAsia" w:ascii="Times New Roman" w:hAnsi="Times New Roman" w:eastAsia="仿宋_GB2312" w:cs="仿宋_GB2312"/>
          <w:b/>
          <w:bCs/>
          <w:sz w:val="32"/>
          <w:szCs w:val="32"/>
          <w:lang w:val="en-US" w:eastAsia="zh-CN"/>
        </w:rPr>
        <w:t>二是充分就业高效开展。</w:t>
      </w:r>
      <w:r>
        <w:rPr>
          <w:rFonts w:hint="eastAsia" w:ascii="Times New Roman" w:hAnsi="Times New Roman" w:eastAsia="仿宋_GB2312" w:cs="仿宋_GB2312"/>
          <w:sz w:val="32"/>
          <w:szCs w:val="32"/>
          <w:lang w:val="en-US" w:eastAsia="zh-CN"/>
        </w:rPr>
        <w:t>全镇新增农村劳动力转移就业249人，完成率达106%；城镇新增就业155人，完成率115%。组织开展网络直播创业、营养配餐员职业培训，培训人次达70余人，进一步提升了农村劳动力就业技能。</w:t>
      </w:r>
      <w:r>
        <w:rPr>
          <w:rFonts w:hint="eastAsia" w:ascii="Times New Roman" w:hAnsi="Times New Roman" w:eastAsia="仿宋_GB2312" w:cs="仿宋_GB2312"/>
          <w:b/>
          <w:bCs/>
          <w:sz w:val="32"/>
          <w:szCs w:val="32"/>
          <w:lang w:val="en-US" w:eastAsia="zh-CN"/>
        </w:rPr>
        <w:t>三是政务服务水平提升。</w:t>
      </w:r>
      <w:r>
        <w:rPr>
          <w:rFonts w:hint="eastAsia" w:ascii="Times New Roman" w:hAnsi="Times New Roman" w:eastAsia="仿宋_GB2312" w:cs="仿宋_GB2312"/>
          <w:sz w:val="32"/>
          <w:szCs w:val="32"/>
          <w:lang w:val="en-US" w:eastAsia="zh-CN"/>
        </w:rPr>
        <w:t>湘潭市互联网+政务服务一体化平台录入3523条办件，办结率100%，平均办件195件/村。基层政务公开栏目公开政策信息和政府动态142条。畅通群众诉求渠道，回复百姓呼声、问政湖南等各类投诉6条，12345热线回复226条，回复率100%。</w:t>
      </w:r>
      <w:r>
        <w:rPr>
          <w:rFonts w:hint="eastAsia" w:ascii="Times New Roman" w:hAnsi="Times New Roman" w:eastAsia="仿宋_GB2312" w:cs="仿宋_GB2312"/>
          <w:b/>
          <w:bCs/>
          <w:sz w:val="32"/>
          <w:szCs w:val="32"/>
          <w:lang w:val="en-US" w:eastAsia="zh-CN"/>
        </w:rPr>
        <w:t>四是社会事业全面发展。</w:t>
      </w:r>
      <w:r>
        <w:rPr>
          <w:rFonts w:hint="eastAsia" w:ascii="Times New Roman" w:hAnsi="Times New Roman" w:eastAsia="仿宋_GB2312" w:cs="仿宋_GB2312"/>
          <w:sz w:val="32"/>
          <w:szCs w:val="32"/>
          <w:lang w:val="en-US" w:eastAsia="zh-CN"/>
        </w:rPr>
        <w:t>“两癌”免费筛查完成471人，完成率96.1%。医保征缴入库完成3万多人，完成比例达85.4%。公共卫生服务水平全面提升，全镇居民健康档案建档3.7万人。教学质量显著提升，180人考入普通高中，其中20人达到湘潭县一中录取线。开展品牌服务项目“耆乐生活圈，共筑幸福家”农村困难老人关爱系列活动4次，营造养老孝老敬老的良好社会氛围。精神文化活动丰富多彩，我镇代表队荣获全县群众广场舞大赛二等奖，湖南省第五届社区运动会拔河总决赛第五名。</w:t>
      </w:r>
    </w:p>
    <w:p w14:paraId="11E7F624">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抓紧防汛救灾。一是全力保障群众生命财产安全。</w:t>
      </w:r>
      <w:r>
        <w:rPr>
          <w:rFonts w:hint="eastAsia" w:ascii="Times New Roman" w:hAnsi="Times New Roman" w:eastAsia="仿宋_GB2312" w:cs="仿宋_GB2312"/>
          <w:sz w:val="32"/>
          <w:szCs w:val="32"/>
          <w:lang w:val="en-US" w:eastAsia="zh-CN"/>
        </w:rPr>
        <w:t>7月28日强降雨导致我镇18个村及镇区受灾严重，镇党委、政府迅速响应、紧急动员、科学调度、果断处置，镇级抢险突击队和17个村级应急小分队闻令而动、听令而行，先后紧急转移安置757人，解救受困人员213人。全体党员干部和片长、组长、邻长积极参与网格内险情摸排、路障设置、入户走访、巡堤查险、除险救助等行动，做好群众疏散安置工作。</w:t>
      </w:r>
      <w:r>
        <w:rPr>
          <w:rFonts w:hint="eastAsia" w:ascii="Times New Roman" w:hAnsi="Times New Roman" w:eastAsia="仿宋_GB2312" w:cs="仿宋_GB2312"/>
          <w:b/>
          <w:bCs/>
          <w:sz w:val="32"/>
          <w:szCs w:val="32"/>
          <w:lang w:val="en-US" w:eastAsia="zh-CN"/>
        </w:rPr>
        <w:t>二是抢修恢复水毁基础设施。</w:t>
      </w:r>
      <w:r>
        <w:rPr>
          <w:rFonts w:hint="eastAsia" w:ascii="Times New Roman" w:hAnsi="Times New Roman" w:eastAsia="仿宋_GB2312" w:cs="仿宋_GB2312"/>
          <w:sz w:val="32"/>
          <w:szCs w:val="32"/>
          <w:lang w:val="en-US" w:eastAsia="zh-CN"/>
        </w:rPr>
        <w:t>加快电力、通信、供水、交通等基础设施恢复，全面开展清淤复洁、消杀预防工作，统筹协调推进水毁水利工程修复、地质灾害点治理、农业生产自救、房屋受损处置等重点工作，已完成道路维修198处、桥梁8处；修复水利工程105处；房屋倒损救助21户、危房改造8户。</w:t>
      </w:r>
      <w:r>
        <w:rPr>
          <w:rFonts w:hint="eastAsia" w:ascii="Times New Roman" w:hAnsi="Times New Roman" w:eastAsia="仿宋_GB2312" w:cs="仿宋_GB2312"/>
          <w:b/>
          <w:bCs/>
          <w:sz w:val="32"/>
          <w:szCs w:val="32"/>
          <w:lang w:val="en-US" w:eastAsia="zh-CN"/>
        </w:rPr>
        <w:t>三是全面核实灾害损失，做到应保尽保。</w:t>
      </w:r>
      <w:r>
        <w:rPr>
          <w:rFonts w:hint="eastAsia" w:ascii="Times New Roman" w:hAnsi="Times New Roman" w:eastAsia="仿宋_GB2312" w:cs="仿宋_GB2312"/>
          <w:sz w:val="32"/>
          <w:szCs w:val="32"/>
          <w:lang w:val="en-US" w:eastAsia="zh-CN"/>
        </w:rPr>
        <w:t>初步统计，我镇24254人口受灾，23582亩农作物受灾，堤防决口、塘坝、护岸等水利工程设施受灾严重，全镇经济损失达1.04亿元。我镇积极加强与上级部门的沟通汇报，争取为灾后恢复获得更多资金支持。坚持合理使用每一笔救灾资金，确保救灾资金用在“刀刃上”。</w:t>
      </w:r>
    </w:p>
    <w:p w14:paraId="2E7BA992">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抓牢基层治理。一是提升基层治理能力</w:t>
      </w:r>
      <w:r>
        <w:rPr>
          <w:rFonts w:hint="eastAsia" w:ascii="Times New Roman" w:hAnsi="Times New Roman" w:eastAsia="仿宋_GB2312" w:cs="仿宋_GB2312"/>
          <w:sz w:val="32"/>
          <w:szCs w:val="32"/>
          <w:lang w:val="en-US" w:eastAsia="zh-CN"/>
        </w:rPr>
        <w:t>。坚持和发展新时代“枫桥经验”，以“网格化管理”和“微积分管理”两个平台为依托，</w:t>
      </w:r>
      <w:r>
        <w:rPr>
          <w:rFonts w:hint="eastAsia" w:ascii="Times New Roman" w:hAnsi="Times New Roman" w:eastAsia="仿宋_GB2312" w:cs="仿宋_GB2312"/>
          <w:sz w:val="32"/>
          <w:szCs w:val="32"/>
          <w:lang w:eastAsia="zh-CN"/>
        </w:rPr>
        <w:t>收集群众反映问题67</w:t>
      </w:r>
      <w:r>
        <w:rPr>
          <w:rFonts w:hint="eastAsia" w:ascii="Times New Roman" w:hAnsi="Times New Roman" w:eastAsia="仿宋_GB2312" w:cs="仿宋_GB2312"/>
          <w:sz w:val="32"/>
          <w:szCs w:val="32"/>
          <w:lang w:val="en-US" w:eastAsia="zh-CN"/>
        </w:rPr>
        <w:t>个</w:t>
      </w:r>
      <w:r>
        <w:rPr>
          <w:rFonts w:hint="eastAsia" w:ascii="Times New Roman" w:hAnsi="Times New Roman" w:eastAsia="仿宋_GB2312" w:cs="仿宋_GB2312"/>
          <w:sz w:val="32"/>
          <w:szCs w:val="32"/>
          <w:lang w:eastAsia="zh-CN"/>
        </w:rPr>
        <w:t>，均得到妥善解决。接待来访189人次，当场解释解决87次。网上信访登记事项14例，</w:t>
      </w:r>
      <w:r>
        <w:rPr>
          <w:rFonts w:hint="eastAsia" w:ascii="Times New Roman" w:hAnsi="Times New Roman" w:eastAsia="仿宋_GB2312" w:cs="仿宋_GB2312"/>
          <w:sz w:val="32"/>
          <w:szCs w:val="32"/>
          <w:lang w:val="en-US" w:eastAsia="zh-CN"/>
        </w:rPr>
        <w:t>均</w:t>
      </w:r>
      <w:r>
        <w:rPr>
          <w:rFonts w:hint="eastAsia" w:ascii="Times New Roman" w:hAnsi="Times New Roman" w:eastAsia="仿宋_GB2312" w:cs="仿宋_GB2312"/>
          <w:sz w:val="32"/>
          <w:szCs w:val="32"/>
          <w:lang w:eastAsia="zh-CN"/>
        </w:rPr>
        <w:t>如期办理。</w:t>
      </w:r>
      <w:r>
        <w:rPr>
          <w:rFonts w:hint="eastAsia" w:ascii="Times New Roman" w:hAnsi="Times New Roman" w:eastAsia="仿宋_GB2312" w:cs="仿宋_GB2312"/>
          <w:sz w:val="32"/>
          <w:szCs w:val="32"/>
        </w:rPr>
        <w:t>掌握辖区内的重点维稳对象</w:t>
      </w:r>
      <w:r>
        <w:rPr>
          <w:rFonts w:hint="eastAsia" w:ascii="Times New Roman" w:hAnsi="Times New Roman" w:eastAsia="仿宋_GB2312" w:cs="仿宋_GB2312"/>
          <w:sz w:val="32"/>
          <w:szCs w:val="32"/>
          <w:lang w:eastAsia="zh-CN"/>
        </w:rPr>
        <w:t>动态，实行“五包一”重点人员22人。</w:t>
      </w:r>
      <w:r>
        <w:rPr>
          <w:rFonts w:hint="eastAsia" w:ascii="Times New Roman" w:hAnsi="Times New Roman" w:eastAsia="仿宋_GB2312" w:cs="仿宋_GB2312"/>
          <w:sz w:val="32"/>
          <w:szCs w:val="32"/>
          <w:lang w:val="en-US" w:eastAsia="zh-CN"/>
        </w:rPr>
        <w:t>常态化推进扫黑除恶、反诈打跨、禁毒人民战争、未成年人保护等工作。</w:t>
      </w:r>
      <w:r>
        <w:rPr>
          <w:rFonts w:hint="eastAsia" w:ascii="Times New Roman" w:hAnsi="Times New Roman" w:eastAsia="仿宋_GB2312" w:cs="仿宋_GB2312"/>
          <w:b/>
          <w:bCs/>
          <w:sz w:val="32"/>
          <w:szCs w:val="32"/>
          <w:lang w:val="en-US" w:eastAsia="zh-CN"/>
        </w:rPr>
        <w:t>二是严把安全生产关口。</w:t>
      </w:r>
      <w:r>
        <w:rPr>
          <w:rFonts w:hint="eastAsia" w:ascii="Times New Roman" w:hAnsi="Times New Roman" w:eastAsia="仿宋_GB2312" w:cs="仿宋_GB2312"/>
          <w:sz w:val="32"/>
          <w:szCs w:val="32"/>
          <w:lang w:val="en-US" w:eastAsia="zh-CN"/>
        </w:rPr>
        <w:t>严格按照年度安全生产执法工作计划，出动监管执法人员478人次，检查生产经营单位199家，下发现场检查文书232份、责令整改文书12份、现场处置措施决定书1份，发现并整改一般问题隐患127处、重大事故隐患49处。强力推进打非治违工作，2024年以来我镇共查处行政违法案件10起，罚款1.55万元；联合公安行政拘留1人，有效打击了我镇辖区非法违法行为</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积极统筹学生防溺水、道路交通、水上交通、燃气领域、建筑市场、森林防灭火、消防安全、食品安全等各重点行业领域工作，全面筑牢安全屏障。</w:t>
      </w:r>
      <w:r>
        <w:rPr>
          <w:rFonts w:hint="eastAsia" w:ascii="Times New Roman" w:hAnsi="Times New Roman" w:eastAsia="仿宋_GB2312" w:cs="仿宋_GB2312"/>
          <w:sz w:val="32"/>
          <w:szCs w:val="32"/>
          <w:lang w:eastAsia="zh-CN"/>
        </w:rPr>
        <w:t>政府专职消防队</w:t>
      </w:r>
      <w:r>
        <w:rPr>
          <w:rFonts w:hint="eastAsia" w:ascii="Times New Roman" w:hAnsi="Times New Roman" w:eastAsia="仿宋_GB2312" w:cs="仿宋_GB2312"/>
          <w:sz w:val="32"/>
          <w:szCs w:val="32"/>
          <w:lang w:val="en-US" w:eastAsia="zh-CN"/>
        </w:rPr>
        <w:t>以“火情就是命令，火场就是战场”的高度责任感和使命感，处理</w:t>
      </w:r>
      <w:r>
        <w:rPr>
          <w:rFonts w:hint="eastAsia" w:ascii="Times New Roman" w:hAnsi="Times New Roman" w:eastAsia="仿宋_GB2312" w:cs="仿宋_GB2312"/>
          <w:sz w:val="32"/>
          <w:szCs w:val="32"/>
          <w:lang w:eastAsia="zh-CN"/>
        </w:rPr>
        <w:t>消防应急救援警情</w:t>
      </w:r>
      <w:r>
        <w:rPr>
          <w:rFonts w:hint="eastAsia" w:ascii="Times New Roman" w:hAnsi="Times New Roman" w:eastAsia="仿宋_GB2312" w:cs="仿宋_GB2312"/>
          <w:sz w:val="32"/>
          <w:szCs w:val="32"/>
          <w:lang w:val="en-US" w:eastAsia="zh-CN"/>
        </w:rPr>
        <w:t>25起。</w:t>
      </w:r>
      <w:r>
        <w:rPr>
          <w:rFonts w:hint="eastAsia" w:ascii="Times New Roman" w:hAnsi="Times New Roman" w:eastAsia="仿宋_GB2312" w:cs="仿宋_GB2312"/>
          <w:b/>
          <w:bCs/>
          <w:sz w:val="32"/>
          <w:szCs w:val="32"/>
          <w:lang w:val="en-US" w:eastAsia="zh-CN"/>
        </w:rPr>
        <w:t>三是自觉守护生态安全。</w:t>
      </w:r>
      <w:r>
        <w:rPr>
          <w:rFonts w:hint="eastAsia" w:ascii="Times New Roman" w:hAnsi="Times New Roman" w:eastAsia="仿宋_GB2312" w:cs="仿宋_GB2312"/>
          <w:sz w:val="32"/>
          <w:szCs w:val="32"/>
          <w:lang w:val="en-US" w:eastAsia="zh-CN"/>
        </w:rPr>
        <w:t>购置秸秆打捆收集机具11台，有效促进秸秆回收利用。</w:t>
      </w:r>
      <w:r>
        <w:rPr>
          <w:rFonts w:hint="eastAsia" w:ascii="Times New Roman" w:hAnsi="Times New Roman" w:eastAsia="仿宋_GB2312" w:cs="仿宋_GB2312"/>
          <w:sz w:val="32"/>
          <w:szCs w:val="32"/>
          <w:lang w:eastAsia="zh-CN"/>
        </w:rPr>
        <w:t>加强对露天焚烧秸秆、垃圾的</w:t>
      </w:r>
      <w:r>
        <w:rPr>
          <w:rFonts w:hint="eastAsia" w:ascii="Times New Roman" w:hAnsi="Times New Roman" w:eastAsia="仿宋_GB2312" w:cs="仿宋_GB2312"/>
          <w:sz w:val="32"/>
          <w:szCs w:val="32"/>
          <w:lang w:val="en-US" w:eastAsia="zh-CN"/>
        </w:rPr>
        <w:t>巡查</w:t>
      </w:r>
      <w:r>
        <w:rPr>
          <w:rFonts w:hint="eastAsia" w:ascii="Times New Roman" w:hAnsi="Times New Roman" w:eastAsia="仿宋_GB2312" w:cs="仿宋_GB2312"/>
          <w:sz w:val="32"/>
          <w:szCs w:val="32"/>
          <w:lang w:eastAsia="zh-CN"/>
        </w:rPr>
        <w:t>管控，发现秸秆、垃圾焚烧点及时处置。</w:t>
      </w:r>
      <w:r>
        <w:rPr>
          <w:rFonts w:hint="eastAsia" w:ascii="Times New Roman" w:hAnsi="Times New Roman" w:eastAsia="仿宋_GB2312" w:cs="仿宋_GB2312"/>
          <w:sz w:val="32"/>
          <w:szCs w:val="32"/>
          <w:lang w:val="en-US" w:eastAsia="zh-CN"/>
        </w:rPr>
        <w:t>加强园区废气排放管控，持续提升园区环境空气质量。推动河长制工作落实落细，镇级河长每月巡河1次，完善河道设施，落实管护措施，着力打造河畅水清、岸绿景美的水生态环境。</w:t>
      </w:r>
    </w:p>
    <w:p w14:paraId="2B1C1012">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抓严自身建设。</w:t>
      </w:r>
      <w:r>
        <w:rPr>
          <w:rFonts w:hint="eastAsia" w:ascii="Times New Roman" w:hAnsi="Times New Roman" w:eastAsia="仿宋_GB2312" w:cs="仿宋_GB2312"/>
          <w:sz w:val="32"/>
          <w:szCs w:val="32"/>
          <w:lang w:val="en-US" w:eastAsia="zh-CN"/>
        </w:rPr>
        <w:t>坚持用法治思维和法治方法指导工作，加快推动政府治理体系和治理能力现代化。自觉接受人大依法监督，主动接受社会监督和舆论监督。推动党纪学习教育走深走实，切实把学习成效转化为广大党员干部遵规守纪、做好本职工作、推动事业发展的强劲动力。全力推进群众身边不正之风和腐败问题集中整治，加大违法违纪案件查办力度，持续保持惩治腐败的高压态势，2024年党纪政务立案26件，给予党纪政务处分26人，廉政谈话50余人次。将过紧日子落在实处，树牢节俭意识，严格控制“三公经费”，坚决杜绝铺张浪费。从改进工作作风、提高工作效能入手，建立健全机关干部考勤值班制度、请销假制度、财经管理等规章制度。落实省委巡视整改和县委巡察村级党组织有关工作，把接受巡察监督与推动高质量发展结合起来，深刻剖析、追根溯源、举一反三、标本兼治，以巡察促整改，以巡察促发展。</w:t>
      </w:r>
    </w:p>
    <w:p w14:paraId="1E4ABD98">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sz w:val="32"/>
          <w:szCs w:val="32"/>
          <w:lang w:val="en-US" w:eastAsia="zh-CN"/>
        </w:rPr>
        <w:t>综上所述，产出效果考核指标总计45分，扣5分，得40分。</w:t>
      </w:r>
    </w:p>
    <w:p w14:paraId="160533C9">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五、存在的主要问题</w:t>
      </w:r>
    </w:p>
    <w:p w14:paraId="4F652E2B">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sz w:val="32"/>
          <w:szCs w:val="32"/>
          <w:lang w:val="en-US" w:eastAsia="zh-CN"/>
        </w:rPr>
        <w:t>1.财政收支矛盾突出。</w:t>
      </w:r>
      <w:r>
        <w:rPr>
          <w:rFonts w:hint="eastAsia" w:ascii="Times New Roman" w:hAnsi="Times New Roman" w:eastAsia="仿宋_GB2312" w:cs="仿宋_GB2312"/>
          <w:sz w:val="32"/>
          <w:szCs w:val="32"/>
          <w:lang w:val="en-US" w:eastAsia="zh-CN"/>
        </w:rPr>
        <w:t>目前财政收入呈下降趋势，收入增速放缓，保运转、保基本民生等各项刚性支出持续增加，镇村两级债务压力加大，收支矛盾比较突出。</w:t>
      </w:r>
    </w:p>
    <w:p w14:paraId="6074DE44">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楷体_GB2312" w:cs="楷体_GB2312"/>
          <w:b/>
          <w:bCs/>
          <w:sz w:val="32"/>
          <w:szCs w:val="32"/>
          <w:lang w:val="en-US" w:eastAsia="zh-CN"/>
        </w:rPr>
        <w:t>2.基础设施有待夯实。</w:t>
      </w:r>
      <w:r>
        <w:rPr>
          <w:rFonts w:hint="eastAsia" w:ascii="Times New Roman" w:hAnsi="Times New Roman" w:eastAsia="仿宋_GB2312" w:cs="仿宋_GB2312"/>
          <w:sz w:val="32"/>
          <w:szCs w:val="32"/>
          <w:lang w:val="en-US" w:eastAsia="zh-CN"/>
        </w:rPr>
        <w:t>水利设施老化，配套设施不全，山塘、堤坝需加固硬化，影响了农业生产和农民增收。园区基础设施配套不完善，企业入园难，影响招商引资。马路市场、森林防灭火、道路交通等重点行业安全隐患依然存在，防灾救灾能力有待加强。</w:t>
      </w:r>
    </w:p>
    <w:p w14:paraId="78FE151A">
      <w:pPr>
        <w:pStyle w:val="2"/>
        <w:keepNext w:val="0"/>
        <w:keepLines w:val="0"/>
        <w:pageBreakBefore w:val="0"/>
        <w:kinsoku/>
        <w:wordWrap/>
        <w:overflowPunct/>
        <w:topLinePunct w:val="0"/>
        <w:autoSpaceDE/>
        <w:autoSpaceDN/>
        <w:bidi w:val="0"/>
        <w:adjustRightInd/>
        <w:spacing w:line="560" w:lineRule="exact"/>
        <w:ind w:left="0" w:leftChars="0" w:firstLine="643"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楷体_GB2312" w:cs="楷体_GB2312"/>
          <w:b/>
          <w:bCs/>
          <w:kern w:val="2"/>
          <w:sz w:val="32"/>
          <w:szCs w:val="32"/>
          <w:lang w:val="en-US" w:eastAsia="zh-CN" w:bidi="ar-SA"/>
        </w:rPr>
        <w:t>3.队伍建设有待加强。</w:t>
      </w:r>
      <w:r>
        <w:rPr>
          <w:rFonts w:hint="eastAsia" w:ascii="Times New Roman" w:hAnsi="Times New Roman" w:eastAsia="仿宋_GB2312" w:cs="仿宋_GB2312"/>
          <w:kern w:val="2"/>
          <w:sz w:val="32"/>
          <w:szCs w:val="32"/>
          <w:lang w:val="en-US" w:eastAsia="zh-CN" w:bidi="ar-SA"/>
        </w:rPr>
        <w:t>个别干部责任和担当意识不足，抓工作落实的标准不高、速度不快、成效不大。</w:t>
      </w:r>
    </w:p>
    <w:p w14:paraId="48B5E9CF">
      <w:pPr>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b/>
          <w:bCs/>
          <w:kern w:val="0"/>
          <w:sz w:val="32"/>
          <w:szCs w:val="32"/>
          <w:lang w:val="en-US" w:eastAsia="zh-CN" w:bidi="ar-SA"/>
        </w:rPr>
      </w:pPr>
      <w:r>
        <w:rPr>
          <w:rFonts w:hint="eastAsia" w:ascii="Times New Roman" w:hAnsi="Times New Roman" w:eastAsia="仿宋_GB2312" w:cs="仿宋_GB2312"/>
          <w:b/>
          <w:bCs/>
          <w:kern w:val="2"/>
          <w:sz w:val="32"/>
          <w:szCs w:val="32"/>
          <w:lang w:val="en-US" w:eastAsia="zh-CN" w:bidi="ar-SA"/>
        </w:rPr>
        <w:t xml:space="preserve">  </w:t>
      </w:r>
      <w:r>
        <w:rPr>
          <w:rFonts w:hint="eastAsia" w:ascii="Times New Roman" w:hAnsi="Times New Roman" w:eastAsia="黑体" w:cs="黑体"/>
          <w:b w:val="0"/>
          <w:bCs w:val="0"/>
          <w:sz w:val="32"/>
          <w:szCs w:val="32"/>
          <w:lang w:val="en-US" w:eastAsia="zh-CN"/>
        </w:rPr>
        <w:t xml:space="preserve">  六、改进措施和有关建议</w:t>
      </w:r>
      <w:r>
        <w:rPr>
          <w:rFonts w:hint="eastAsia" w:ascii="Times New Roman" w:hAnsi="Times New Roman" w:eastAsia="黑体" w:cs="黑体"/>
          <w:b w:val="0"/>
          <w:bCs w:val="0"/>
          <w:sz w:val="32"/>
          <w:szCs w:val="32"/>
          <w:lang w:val="en-US" w:eastAsia="zh-CN"/>
        </w:rPr>
        <w:tab/>
      </w:r>
    </w:p>
    <w:p w14:paraId="18340430">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1.发挥资源优势，强化经济支撑。</w:t>
      </w:r>
      <w:r>
        <w:rPr>
          <w:rFonts w:hint="eastAsia" w:ascii="Times New Roman" w:hAnsi="Times New Roman" w:eastAsia="仿宋_GB2312" w:cs="仿宋_GB2312"/>
          <w:sz w:val="32"/>
          <w:szCs w:val="32"/>
          <w:lang w:val="en-US" w:eastAsia="zh-CN"/>
        </w:rPr>
        <w:t>从资源、环境、政策等方面着手，进一步优化营商环境，树立亲商意识，提高办事效率，提升服务质量，招引一批有前景、有潜力、有发展的绿色企业，突出竹木产业主抓手，推进竹产业纵深发展。立足天马山资源禀赋，大力推进天马山户外休闲运动基地提档升级，精心包装策划飞拉达山地越野、民宿等户外项目，打造高品质、体验佳、功能全的山地户外旅游目的地，为全县乃至全市的文旅融合和全域旅游提供有力支撑。学习运用“千万工程”经验，积极申报市“一乡一业、一村一品”项目，立足产业优势和村情实际发展特色产业，壮大村集体经济，拓宽群众增收渠道，增加财政收入。</w:t>
      </w:r>
    </w:p>
    <w:p w14:paraId="742C14B9">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2.完善基础设施，增进民生福祉。</w:t>
      </w:r>
      <w:r>
        <w:rPr>
          <w:rFonts w:hint="eastAsia" w:ascii="Times New Roman" w:hAnsi="Times New Roman" w:eastAsia="仿宋_GB2312" w:cs="仿宋_GB2312"/>
          <w:sz w:val="32"/>
          <w:szCs w:val="32"/>
          <w:lang w:val="en-US" w:eastAsia="zh-CN"/>
        </w:rPr>
        <w:t>坚持以民为本、关注民生、顺应民意，努力为广大人民群众谋福祉。统筹推进水利工程建设，完成宁桥、樊田、千家、双花、东三、双凤、青坪等村山塘维修项目，对向阳渠茶恩段进行除险加固，向阳渠上丰段、花桥段开展山洪沟治理，做好水库日常巡查维护保养等工作。做好农村公路提质改造，开展道路安全隐患整治，提升农村道路养护水平。严格落实河长制、林长制、田长制等工作，抓好环保问题整改，推进“美丽蓝天建设”，推进农村生活污水和黑臭水体治理，常态化开展秸秆禁烧和农业面源污染治理，创造更加美好的茶恩未来。</w:t>
      </w:r>
    </w:p>
    <w:p w14:paraId="2198C488">
      <w:pPr>
        <w:keepNext w:val="0"/>
        <w:keepLines w:val="0"/>
        <w:pageBreakBefore w:val="0"/>
        <w:kinsoku/>
        <w:wordWrap/>
        <w:overflowPunct/>
        <w:topLinePunct w:val="0"/>
        <w:autoSpaceDE/>
        <w:autoSpaceDN/>
        <w:bidi w:val="0"/>
        <w:adjustRightInd/>
        <w:spacing w:line="560" w:lineRule="exact"/>
        <w:ind w:firstLine="643"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3.筑牢安全防线，抓好自身建设。</w:t>
      </w:r>
      <w:r>
        <w:rPr>
          <w:rFonts w:hint="eastAsia" w:ascii="Times New Roman" w:hAnsi="Times New Roman" w:eastAsia="仿宋_GB2312" w:cs="仿宋_GB2312"/>
          <w:sz w:val="32"/>
          <w:szCs w:val="32"/>
          <w:lang w:val="en-US" w:eastAsia="zh-CN"/>
        </w:rPr>
        <w:t>坚持把党的政治建设摆在首位，不断提高政治判断力、政治领悟力、政治执行力，不折不扣落实党中央及省、市、县各项重点工作部署，确保令行禁止、政令畅通；严格落实中央八项规定及实施细则精神，持续深化纠治“四风”，推动作风建设常态化、长效化；加强巡察问题整改，切实把巡察整改成果转化为高质量发展的新成效；坚持尽力而为、量力而行，兜住、兜准、兜牢民生底线，把有限财力用在助企业、惠民生、促发展上，切实发挥公共资金使用效益。</w:t>
      </w:r>
    </w:p>
    <w:p w14:paraId="560EE62A">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rPr>
      </w:pPr>
      <w:r>
        <w:rPr>
          <w:rFonts w:hint="eastAsia" w:ascii="Times New Roman" w:hAnsi="Times New Roman" w:eastAsia="黑体" w:cs="黑体"/>
          <w:b w:val="0"/>
          <w:bCs w:val="0"/>
          <w:sz w:val="32"/>
          <w:szCs w:val="32"/>
          <w:lang w:eastAsia="zh-CN"/>
        </w:rPr>
        <w:t>七</w:t>
      </w:r>
      <w:r>
        <w:rPr>
          <w:rFonts w:hint="eastAsia" w:ascii="Times New Roman" w:hAnsi="Times New Roman" w:eastAsia="黑体" w:cs="黑体"/>
          <w:b w:val="0"/>
          <w:bCs w:val="0"/>
          <w:sz w:val="32"/>
          <w:szCs w:val="32"/>
        </w:rPr>
        <w:t>、综合评价结论</w:t>
      </w:r>
    </w:p>
    <w:p w14:paraId="4D46E7FB">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根据以上预算绩效完成情况，我单位202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年预算绩效自评得分9</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分，评定等次：良</w:t>
      </w:r>
    </w:p>
    <w:p w14:paraId="45B5C151">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p>
    <w:p w14:paraId="4000FF42">
      <w:pPr>
        <w:pStyle w:val="2"/>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p>
    <w:p w14:paraId="7BE1D871">
      <w:pPr>
        <w:pStyle w:val="2"/>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p>
    <w:p w14:paraId="6F2A1865">
      <w:pPr>
        <w:keepNext w:val="0"/>
        <w:keepLines w:val="0"/>
        <w:pageBreakBefore w:val="0"/>
        <w:kinsoku/>
        <w:wordWrap/>
        <w:overflowPunct/>
        <w:topLinePunct w:val="0"/>
        <w:autoSpaceDE/>
        <w:autoSpaceDN/>
        <w:bidi w:val="0"/>
        <w:adjustRightInd/>
        <w:spacing w:line="560" w:lineRule="exact"/>
        <w:ind w:firstLine="5120" w:firstLineChars="16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湘潭县</w:t>
      </w:r>
      <w:r>
        <w:rPr>
          <w:rFonts w:hint="eastAsia" w:ascii="Times New Roman" w:hAnsi="Times New Roman" w:eastAsia="仿宋_GB2312" w:cs="仿宋_GB2312"/>
          <w:sz w:val="32"/>
          <w:szCs w:val="32"/>
        </w:rPr>
        <w:t>茶恩寺镇人民政府</w:t>
      </w:r>
    </w:p>
    <w:p w14:paraId="6BD8BF18">
      <w:pPr>
        <w:keepNext w:val="0"/>
        <w:keepLines w:val="0"/>
        <w:pageBreakBefore w:val="0"/>
        <w:kinsoku/>
        <w:wordWrap/>
        <w:overflowPunct/>
        <w:topLinePunct w:val="0"/>
        <w:autoSpaceDE/>
        <w:autoSpaceDN/>
        <w:bidi w:val="0"/>
        <w:adjustRightInd/>
        <w:spacing w:line="560" w:lineRule="exact"/>
        <w:ind w:left="559" w:leftChars="266"/>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2025年5月26日</w:t>
      </w:r>
    </w:p>
    <w:p w14:paraId="2EAC7080">
      <w:pPr>
        <w:keepNext w:val="0"/>
        <w:keepLines w:val="0"/>
        <w:pageBreakBefore w:val="0"/>
        <w:kinsoku/>
        <w:wordWrap/>
        <w:overflowPunct/>
        <w:topLinePunct w:val="0"/>
        <w:autoSpaceDE/>
        <w:autoSpaceDN/>
        <w:bidi w:val="0"/>
        <w:adjustRightInd/>
        <w:spacing w:line="560" w:lineRule="exact"/>
        <w:ind w:left="559" w:leftChars="266"/>
        <w:rPr>
          <w:rFonts w:hint="eastAsia" w:ascii="Times New Roman" w:hAnsi="Times New Roman"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ljZTEyNWMzYTRmMmU2MWJlM2Q0ZWZhNmRlOGRkZWYifQ=="/>
  </w:docVars>
  <w:rsids>
    <w:rsidRoot w:val="00D945A6"/>
    <w:rsid w:val="000735E1"/>
    <w:rsid w:val="000E2C0E"/>
    <w:rsid w:val="000F275E"/>
    <w:rsid w:val="0010090D"/>
    <w:rsid w:val="00130B2B"/>
    <w:rsid w:val="00164C26"/>
    <w:rsid w:val="001E45AA"/>
    <w:rsid w:val="00283C5B"/>
    <w:rsid w:val="00335BF5"/>
    <w:rsid w:val="00344CBA"/>
    <w:rsid w:val="0035014D"/>
    <w:rsid w:val="00363726"/>
    <w:rsid w:val="00386A6D"/>
    <w:rsid w:val="003D46E4"/>
    <w:rsid w:val="003E59AD"/>
    <w:rsid w:val="00413345"/>
    <w:rsid w:val="00421B2F"/>
    <w:rsid w:val="004F1EF2"/>
    <w:rsid w:val="0051462C"/>
    <w:rsid w:val="0057021B"/>
    <w:rsid w:val="005A7691"/>
    <w:rsid w:val="005C6FD4"/>
    <w:rsid w:val="006A2747"/>
    <w:rsid w:val="006A5ECB"/>
    <w:rsid w:val="006C7341"/>
    <w:rsid w:val="006E7A04"/>
    <w:rsid w:val="0072744E"/>
    <w:rsid w:val="007630AD"/>
    <w:rsid w:val="00775C6C"/>
    <w:rsid w:val="007E0EE4"/>
    <w:rsid w:val="007E7377"/>
    <w:rsid w:val="007F140B"/>
    <w:rsid w:val="007F171B"/>
    <w:rsid w:val="00824A0C"/>
    <w:rsid w:val="00827FDE"/>
    <w:rsid w:val="008817B6"/>
    <w:rsid w:val="008D41FA"/>
    <w:rsid w:val="008E0C60"/>
    <w:rsid w:val="009772EB"/>
    <w:rsid w:val="00A21789"/>
    <w:rsid w:val="00AB6A6D"/>
    <w:rsid w:val="00B2744C"/>
    <w:rsid w:val="00B43FE4"/>
    <w:rsid w:val="00C03CA3"/>
    <w:rsid w:val="00C1792F"/>
    <w:rsid w:val="00C268F9"/>
    <w:rsid w:val="00C4314F"/>
    <w:rsid w:val="00C6381D"/>
    <w:rsid w:val="00CA1856"/>
    <w:rsid w:val="00CD7DC7"/>
    <w:rsid w:val="00D2518C"/>
    <w:rsid w:val="00D25469"/>
    <w:rsid w:val="00D36F06"/>
    <w:rsid w:val="00D73F70"/>
    <w:rsid w:val="00D945A6"/>
    <w:rsid w:val="00DD06B6"/>
    <w:rsid w:val="00E01B9B"/>
    <w:rsid w:val="00E453DC"/>
    <w:rsid w:val="00ED227A"/>
    <w:rsid w:val="00FC50BF"/>
    <w:rsid w:val="01257C23"/>
    <w:rsid w:val="016248D9"/>
    <w:rsid w:val="01675739"/>
    <w:rsid w:val="017E1E62"/>
    <w:rsid w:val="0194292A"/>
    <w:rsid w:val="01960DAB"/>
    <w:rsid w:val="01A25A90"/>
    <w:rsid w:val="01EF4A50"/>
    <w:rsid w:val="01F571E8"/>
    <w:rsid w:val="023F2212"/>
    <w:rsid w:val="027405ED"/>
    <w:rsid w:val="02936A01"/>
    <w:rsid w:val="02947211"/>
    <w:rsid w:val="029E2172"/>
    <w:rsid w:val="02A76009"/>
    <w:rsid w:val="0301396B"/>
    <w:rsid w:val="032416C0"/>
    <w:rsid w:val="0348159A"/>
    <w:rsid w:val="038D16A3"/>
    <w:rsid w:val="03A951F3"/>
    <w:rsid w:val="03AF1619"/>
    <w:rsid w:val="03C926DB"/>
    <w:rsid w:val="0438160E"/>
    <w:rsid w:val="04415D9F"/>
    <w:rsid w:val="045F303F"/>
    <w:rsid w:val="0462668B"/>
    <w:rsid w:val="050035D1"/>
    <w:rsid w:val="050A1CD9"/>
    <w:rsid w:val="051305CF"/>
    <w:rsid w:val="053B7179"/>
    <w:rsid w:val="056326BB"/>
    <w:rsid w:val="056A3A4A"/>
    <w:rsid w:val="057E4B03"/>
    <w:rsid w:val="05845057"/>
    <w:rsid w:val="05934284"/>
    <w:rsid w:val="05945A2F"/>
    <w:rsid w:val="05C814FE"/>
    <w:rsid w:val="05E84AAB"/>
    <w:rsid w:val="0621672E"/>
    <w:rsid w:val="065A3ABE"/>
    <w:rsid w:val="067C3324"/>
    <w:rsid w:val="0695398A"/>
    <w:rsid w:val="06BA27AF"/>
    <w:rsid w:val="06E56987"/>
    <w:rsid w:val="07302A71"/>
    <w:rsid w:val="074C57E4"/>
    <w:rsid w:val="07A40BEB"/>
    <w:rsid w:val="07CD3EBD"/>
    <w:rsid w:val="07E24329"/>
    <w:rsid w:val="08143F57"/>
    <w:rsid w:val="08762705"/>
    <w:rsid w:val="08805332"/>
    <w:rsid w:val="08887733"/>
    <w:rsid w:val="08B17695"/>
    <w:rsid w:val="08D631A4"/>
    <w:rsid w:val="093B6D3F"/>
    <w:rsid w:val="09684744"/>
    <w:rsid w:val="09772764"/>
    <w:rsid w:val="099D294F"/>
    <w:rsid w:val="099D53F0"/>
    <w:rsid w:val="09ED4C49"/>
    <w:rsid w:val="0A014251"/>
    <w:rsid w:val="0A1E4E03"/>
    <w:rsid w:val="0A3101E5"/>
    <w:rsid w:val="0A546A76"/>
    <w:rsid w:val="0A5D158F"/>
    <w:rsid w:val="0A874077"/>
    <w:rsid w:val="0ADB7197"/>
    <w:rsid w:val="0B2777B0"/>
    <w:rsid w:val="0B3C330E"/>
    <w:rsid w:val="0B3D1979"/>
    <w:rsid w:val="0B492353"/>
    <w:rsid w:val="0B767403"/>
    <w:rsid w:val="0BF3076F"/>
    <w:rsid w:val="0C0A5CBC"/>
    <w:rsid w:val="0C2741AD"/>
    <w:rsid w:val="0C360B29"/>
    <w:rsid w:val="0C366DB7"/>
    <w:rsid w:val="0C3B6140"/>
    <w:rsid w:val="0C44334A"/>
    <w:rsid w:val="0C844E7F"/>
    <w:rsid w:val="0CE20369"/>
    <w:rsid w:val="0CE3133B"/>
    <w:rsid w:val="0CE51C08"/>
    <w:rsid w:val="0E016F15"/>
    <w:rsid w:val="0E3E731D"/>
    <w:rsid w:val="0E513DE6"/>
    <w:rsid w:val="0E87741A"/>
    <w:rsid w:val="0E890F8B"/>
    <w:rsid w:val="0EA0244A"/>
    <w:rsid w:val="0EDD34DE"/>
    <w:rsid w:val="0F49401D"/>
    <w:rsid w:val="0F4F6FAF"/>
    <w:rsid w:val="0F9A13CF"/>
    <w:rsid w:val="0F9D0AB9"/>
    <w:rsid w:val="0FA638D0"/>
    <w:rsid w:val="0FAA0619"/>
    <w:rsid w:val="0FC64A1D"/>
    <w:rsid w:val="10A07A0D"/>
    <w:rsid w:val="10A67900"/>
    <w:rsid w:val="110F02D5"/>
    <w:rsid w:val="111B3762"/>
    <w:rsid w:val="112D5E40"/>
    <w:rsid w:val="114C421E"/>
    <w:rsid w:val="11A84F79"/>
    <w:rsid w:val="11CB3AC2"/>
    <w:rsid w:val="11E2282D"/>
    <w:rsid w:val="11EE58A1"/>
    <w:rsid w:val="127B2364"/>
    <w:rsid w:val="129A3587"/>
    <w:rsid w:val="12C329EB"/>
    <w:rsid w:val="12E30A2A"/>
    <w:rsid w:val="130F79DE"/>
    <w:rsid w:val="1323348A"/>
    <w:rsid w:val="13655850"/>
    <w:rsid w:val="13AF13FA"/>
    <w:rsid w:val="14157276"/>
    <w:rsid w:val="142B5B82"/>
    <w:rsid w:val="146A23B8"/>
    <w:rsid w:val="14DE0790"/>
    <w:rsid w:val="14E30C95"/>
    <w:rsid w:val="14F32B04"/>
    <w:rsid w:val="150035B4"/>
    <w:rsid w:val="153542FD"/>
    <w:rsid w:val="154A11A2"/>
    <w:rsid w:val="154F2942"/>
    <w:rsid w:val="15645B86"/>
    <w:rsid w:val="15DA0777"/>
    <w:rsid w:val="16161084"/>
    <w:rsid w:val="161672D6"/>
    <w:rsid w:val="164D28AE"/>
    <w:rsid w:val="168C45E3"/>
    <w:rsid w:val="16A4276F"/>
    <w:rsid w:val="16AA639C"/>
    <w:rsid w:val="16BA2357"/>
    <w:rsid w:val="171655B5"/>
    <w:rsid w:val="17402C5E"/>
    <w:rsid w:val="179E0777"/>
    <w:rsid w:val="17BE19D3"/>
    <w:rsid w:val="17C43B83"/>
    <w:rsid w:val="17CD6397"/>
    <w:rsid w:val="17E06C0C"/>
    <w:rsid w:val="18062C2E"/>
    <w:rsid w:val="184F0BB8"/>
    <w:rsid w:val="185F31B6"/>
    <w:rsid w:val="186A1692"/>
    <w:rsid w:val="18846779"/>
    <w:rsid w:val="18AB1670"/>
    <w:rsid w:val="18BD2382"/>
    <w:rsid w:val="19696C0A"/>
    <w:rsid w:val="1988673C"/>
    <w:rsid w:val="19BB266E"/>
    <w:rsid w:val="19BE3F0C"/>
    <w:rsid w:val="19C0127F"/>
    <w:rsid w:val="1A253F8B"/>
    <w:rsid w:val="1A5B1B46"/>
    <w:rsid w:val="1AB342D2"/>
    <w:rsid w:val="1AE312C8"/>
    <w:rsid w:val="1B1C2EAE"/>
    <w:rsid w:val="1B58691F"/>
    <w:rsid w:val="1BA17641"/>
    <w:rsid w:val="1BE40F61"/>
    <w:rsid w:val="1C29344F"/>
    <w:rsid w:val="1C395ACC"/>
    <w:rsid w:val="1C5D55FD"/>
    <w:rsid w:val="1C6963B1"/>
    <w:rsid w:val="1C8F393E"/>
    <w:rsid w:val="1D686669"/>
    <w:rsid w:val="1DF63C23"/>
    <w:rsid w:val="1EE2040C"/>
    <w:rsid w:val="1EED76E0"/>
    <w:rsid w:val="1EF03DA5"/>
    <w:rsid w:val="1F37249F"/>
    <w:rsid w:val="1F376A06"/>
    <w:rsid w:val="1F6C401A"/>
    <w:rsid w:val="1FA47700"/>
    <w:rsid w:val="1FDF6F0B"/>
    <w:rsid w:val="202325E4"/>
    <w:rsid w:val="202F7912"/>
    <w:rsid w:val="205672AE"/>
    <w:rsid w:val="20BC7932"/>
    <w:rsid w:val="20C64363"/>
    <w:rsid w:val="20F67A58"/>
    <w:rsid w:val="211E5F67"/>
    <w:rsid w:val="2126339B"/>
    <w:rsid w:val="21325C72"/>
    <w:rsid w:val="21355F7C"/>
    <w:rsid w:val="214E14F5"/>
    <w:rsid w:val="21675C61"/>
    <w:rsid w:val="2180146C"/>
    <w:rsid w:val="21A67760"/>
    <w:rsid w:val="21A73172"/>
    <w:rsid w:val="21C64E80"/>
    <w:rsid w:val="21D266CD"/>
    <w:rsid w:val="21F02B28"/>
    <w:rsid w:val="22317971"/>
    <w:rsid w:val="22444780"/>
    <w:rsid w:val="228201CD"/>
    <w:rsid w:val="2288155B"/>
    <w:rsid w:val="229533BE"/>
    <w:rsid w:val="22C31167"/>
    <w:rsid w:val="22DD22C9"/>
    <w:rsid w:val="22E744D4"/>
    <w:rsid w:val="22EA5D72"/>
    <w:rsid w:val="235427EB"/>
    <w:rsid w:val="243A6885"/>
    <w:rsid w:val="243C084F"/>
    <w:rsid w:val="243D76A7"/>
    <w:rsid w:val="253622CE"/>
    <w:rsid w:val="25B15DF4"/>
    <w:rsid w:val="25D5617A"/>
    <w:rsid w:val="262D6CFC"/>
    <w:rsid w:val="26630315"/>
    <w:rsid w:val="2670658E"/>
    <w:rsid w:val="26932DCB"/>
    <w:rsid w:val="26B24FEE"/>
    <w:rsid w:val="26CF3E66"/>
    <w:rsid w:val="27360F82"/>
    <w:rsid w:val="27764078"/>
    <w:rsid w:val="27AC5CEC"/>
    <w:rsid w:val="27CB6172"/>
    <w:rsid w:val="27DD7EB9"/>
    <w:rsid w:val="282C13FB"/>
    <w:rsid w:val="28942BD0"/>
    <w:rsid w:val="29336324"/>
    <w:rsid w:val="2985212C"/>
    <w:rsid w:val="29F3519F"/>
    <w:rsid w:val="2A11464D"/>
    <w:rsid w:val="2A2E4796"/>
    <w:rsid w:val="2A55414D"/>
    <w:rsid w:val="2A557386"/>
    <w:rsid w:val="2A994C3C"/>
    <w:rsid w:val="2A9C21D4"/>
    <w:rsid w:val="2B015E80"/>
    <w:rsid w:val="2B663B9E"/>
    <w:rsid w:val="2B717030"/>
    <w:rsid w:val="2B9920E3"/>
    <w:rsid w:val="2B99791F"/>
    <w:rsid w:val="2BB05DAB"/>
    <w:rsid w:val="2C1874AC"/>
    <w:rsid w:val="2CC264B9"/>
    <w:rsid w:val="2CC8796C"/>
    <w:rsid w:val="2D35408E"/>
    <w:rsid w:val="2D720E3E"/>
    <w:rsid w:val="2DF6627C"/>
    <w:rsid w:val="2E424CB4"/>
    <w:rsid w:val="2E87550D"/>
    <w:rsid w:val="2EFB7ADA"/>
    <w:rsid w:val="2F18324A"/>
    <w:rsid w:val="2F520F27"/>
    <w:rsid w:val="2F653BA9"/>
    <w:rsid w:val="2F9154D6"/>
    <w:rsid w:val="2F975E32"/>
    <w:rsid w:val="2FDC6A42"/>
    <w:rsid w:val="304B42F4"/>
    <w:rsid w:val="305A10D0"/>
    <w:rsid w:val="30AB4D93"/>
    <w:rsid w:val="317533EC"/>
    <w:rsid w:val="31B93075"/>
    <w:rsid w:val="31C80C80"/>
    <w:rsid w:val="31CD6F8B"/>
    <w:rsid w:val="31D367ED"/>
    <w:rsid w:val="31F167D5"/>
    <w:rsid w:val="32203EBA"/>
    <w:rsid w:val="322F37A1"/>
    <w:rsid w:val="326E6078"/>
    <w:rsid w:val="3299256F"/>
    <w:rsid w:val="329A3ED2"/>
    <w:rsid w:val="32A505C1"/>
    <w:rsid w:val="32BA750F"/>
    <w:rsid w:val="32BD0CDF"/>
    <w:rsid w:val="32C141A7"/>
    <w:rsid w:val="32FB6754"/>
    <w:rsid w:val="33134E71"/>
    <w:rsid w:val="33244988"/>
    <w:rsid w:val="334F6EE4"/>
    <w:rsid w:val="34086058"/>
    <w:rsid w:val="343F797A"/>
    <w:rsid w:val="348C4512"/>
    <w:rsid w:val="35762D7B"/>
    <w:rsid w:val="35FB549E"/>
    <w:rsid w:val="360B3D27"/>
    <w:rsid w:val="36713803"/>
    <w:rsid w:val="36BD312A"/>
    <w:rsid w:val="36C1629B"/>
    <w:rsid w:val="36EF3803"/>
    <w:rsid w:val="3724506D"/>
    <w:rsid w:val="37C315AE"/>
    <w:rsid w:val="387908F6"/>
    <w:rsid w:val="38881374"/>
    <w:rsid w:val="38D7084C"/>
    <w:rsid w:val="38F60C77"/>
    <w:rsid w:val="392C0A3B"/>
    <w:rsid w:val="39A85A15"/>
    <w:rsid w:val="39C3649F"/>
    <w:rsid w:val="39C944DB"/>
    <w:rsid w:val="3ACC7DDF"/>
    <w:rsid w:val="3B2F5133"/>
    <w:rsid w:val="3B5129DA"/>
    <w:rsid w:val="3B535DAE"/>
    <w:rsid w:val="3B5D4EDB"/>
    <w:rsid w:val="3B6B3AFA"/>
    <w:rsid w:val="3B7F0674"/>
    <w:rsid w:val="3B8B3833"/>
    <w:rsid w:val="3BC43780"/>
    <w:rsid w:val="3BD629AA"/>
    <w:rsid w:val="3C383577"/>
    <w:rsid w:val="3C5B6482"/>
    <w:rsid w:val="3C5F5429"/>
    <w:rsid w:val="3C910B06"/>
    <w:rsid w:val="3CEA279F"/>
    <w:rsid w:val="3CF33A12"/>
    <w:rsid w:val="3D1F3A46"/>
    <w:rsid w:val="3D3D4DF3"/>
    <w:rsid w:val="3D831B8D"/>
    <w:rsid w:val="3D9E4E3C"/>
    <w:rsid w:val="3DAE73B1"/>
    <w:rsid w:val="3DB60494"/>
    <w:rsid w:val="3DCC6A9E"/>
    <w:rsid w:val="3DD376D7"/>
    <w:rsid w:val="3E4374A6"/>
    <w:rsid w:val="3E62445F"/>
    <w:rsid w:val="3E810EE1"/>
    <w:rsid w:val="3EA03A5D"/>
    <w:rsid w:val="3EA35079"/>
    <w:rsid w:val="3EBF7C5B"/>
    <w:rsid w:val="3F50253D"/>
    <w:rsid w:val="3F7E27EB"/>
    <w:rsid w:val="3FCB4FD8"/>
    <w:rsid w:val="3FF03506"/>
    <w:rsid w:val="40185875"/>
    <w:rsid w:val="4021297B"/>
    <w:rsid w:val="405045F3"/>
    <w:rsid w:val="407F76A2"/>
    <w:rsid w:val="40B76E3C"/>
    <w:rsid w:val="411B4A52"/>
    <w:rsid w:val="412A1A6A"/>
    <w:rsid w:val="414F176A"/>
    <w:rsid w:val="41EE4ADF"/>
    <w:rsid w:val="421D53C4"/>
    <w:rsid w:val="42680164"/>
    <w:rsid w:val="42726307"/>
    <w:rsid w:val="42C22637"/>
    <w:rsid w:val="43454A3B"/>
    <w:rsid w:val="436808C1"/>
    <w:rsid w:val="437F4F03"/>
    <w:rsid w:val="43827BD5"/>
    <w:rsid w:val="438668CF"/>
    <w:rsid w:val="43C158AB"/>
    <w:rsid w:val="43DB5537"/>
    <w:rsid w:val="43EB6B74"/>
    <w:rsid w:val="44372F5F"/>
    <w:rsid w:val="44461FCB"/>
    <w:rsid w:val="44865CCB"/>
    <w:rsid w:val="44951D0F"/>
    <w:rsid w:val="44C15D5B"/>
    <w:rsid w:val="44C67AB8"/>
    <w:rsid w:val="44EE4DF6"/>
    <w:rsid w:val="45806E70"/>
    <w:rsid w:val="462D453B"/>
    <w:rsid w:val="46342CDD"/>
    <w:rsid w:val="46807DC3"/>
    <w:rsid w:val="4697097E"/>
    <w:rsid w:val="46BD0F24"/>
    <w:rsid w:val="46D3282B"/>
    <w:rsid w:val="46EA2570"/>
    <w:rsid w:val="471C20EE"/>
    <w:rsid w:val="47225B89"/>
    <w:rsid w:val="472964E3"/>
    <w:rsid w:val="475D3985"/>
    <w:rsid w:val="477F61D9"/>
    <w:rsid w:val="47CD0701"/>
    <w:rsid w:val="48396CD0"/>
    <w:rsid w:val="484A4A39"/>
    <w:rsid w:val="48507C9C"/>
    <w:rsid w:val="487469FF"/>
    <w:rsid w:val="49441489"/>
    <w:rsid w:val="494D7856"/>
    <w:rsid w:val="494F752B"/>
    <w:rsid w:val="49836455"/>
    <w:rsid w:val="4A0F2FCA"/>
    <w:rsid w:val="4A2512BA"/>
    <w:rsid w:val="4ACD7022"/>
    <w:rsid w:val="4AD0756D"/>
    <w:rsid w:val="4AD41461"/>
    <w:rsid w:val="4AEA2515"/>
    <w:rsid w:val="4AFF47E8"/>
    <w:rsid w:val="4B2212C8"/>
    <w:rsid w:val="4B2565EB"/>
    <w:rsid w:val="4B332F45"/>
    <w:rsid w:val="4B3B5C2E"/>
    <w:rsid w:val="4B3E3CB0"/>
    <w:rsid w:val="4B9D25B0"/>
    <w:rsid w:val="4B9D4992"/>
    <w:rsid w:val="4BD91CCE"/>
    <w:rsid w:val="4C667968"/>
    <w:rsid w:val="4CF47651"/>
    <w:rsid w:val="4D382B0B"/>
    <w:rsid w:val="4D3D691B"/>
    <w:rsid w:val="4D6631F1"/>
    <w:rsid w:val="4D847A22"/>
    <w:rsid w:val="4DC95151"/>
    <w:rsid w:val="4DDD7347"/>
    <w:rsid w:val="4E7D7917"/>
    <w:rsid w:val="4E8529AA"/>
    <w:rsid w:val="4E9311E7"/>
    <w:rsid w:val="4EDE1FDD"/>
    <w:rsid w:val="4EEA4D8F"/>
    <w:rsid w:val="4EFD2805"/>
    <w:rsid w:val="4F693B8D"/>
    <w:rsid w:val="4F7D547E"/>
    <w:rsid w:val="4F922829"/>
    <w:rsid w:val="4FF5172F"/>
    <w:rsid w:val="500E4FC2"/>
    <w:rsid w:val="503E4E84"/>
    <w:rsid w:val="506C3F7C"/>
    <w:rsid w:val="50881012"/>
    <w:rsid w:val="50E24CFA"/>
    <w:rsid w:val="51425B86"/>
    <w:rsid w:val="51610F5D"/>
    <w:rsid w:val="51730B5D"/>
    <w:rsid w:val="519F16E4"/>
    <w:rsid w:val="51A90653"/>
    <w:rsid w:val="51D27F79"/>
    <w:rsid w:val="52080DC5"/>
    <w:rsid w:val="52100AA2"/>
    <w:rsid w:val="521640C9"/>
    <w:rsid w:val="523A7256"/>
    <w:rsid w:val="5261672F"/>
    <w:rsid w:val="527B23BF"/>
    <w:rsid w:val="52884ADC"/>
    <w:rsid w:val="52DA2F73"/>
    <w:rsid w:val="52E37FD9"/>
    <w:rsid w:val="53054429"/>
    <w:rsid w:val="53131313"/>
    <w:rsid w:val="533838B1"/>
    <w:rsid w:val="535B5ED6"/>
    <w:rsid w:val="53961C8B"/>
    <w:rsid w:val="53A719D0"/>
    <w:rsid w:val="53C778D8"/>
    <w:rsid w:val="53DD0E57"/>
    <w:rsid w:val="53DF0DAF"/>
    <w:rsid w:val="5409322F"/>
    <w:rsid w:val="542B5911"/>
    <w:rsid w:val="546D7B65"/>
    <w:rsid w:val="558F253F"/>
    <w:rsid w:val="55995896"/>
    <w:rsid w:val="55C4140C"/>
    <w:rsid w:val="56127544"/>
    <w:rsid w:val="561843C9"/>
    <w:rsid w:val="562000EF"/>
    <w:rsid w:val="568E6439"/>
    <w:rsid w:val="56D025AE"/>
    <w:rsid w:val="56F97D56"/>
    <w:rsid w:val="573C1A5F"/>
    <w:rsid w:val="57810FCC"/>
    <w:rsid w:val="57883AAA"/>
    <w:rsid w:val="57A9177C"/>
    <w:rsid w:val="57D936E4"/>
    <w:rsid w:val="57F765A7"/>
    <w:rsid w:val="58741D62"/>
    <w:rsid w:val="59007B03"/>
    <w:rsid w:val="59097FF9"/>
    <w:rsid w:val="59247B2F"/>
    <w:rsid w:val="5943175D"/>
    <w:rsid w:val="596335AA"/>
    <w:rsid w:val="59707B69"/>
    <w:rsid w:val="598A3EFA"/>
    <w:rsid w:val="59AF7A04"/>
    <w:rsid w:val="59B83EF9"/>
    <w:rsid w:val="5A156465"/>
    <w:rsid w:val="5A6D4C16"/>
    <w:rsid w:val="5A737E20"/>
    <w:rsid w:val="5A755872"/>
    <w:rsid w:val="5ABF7611"/>
    <w:rsid w:val="5BC32832"/>
    <w:rsid w:val="5C5D1A3A"/>
    <w:rsid w:val="5C733810"/>
    <w:rsid w:val="5C8C341B"/>
    <w:rsid w:val="5CBA7F88"/>
    <w:rsid w:val="5CDB1B73"/>
    <w:rsid w:val="5D424259"/>
    <w:rsid w:val="5DCE5755"/>
    <w:rsid w:val="5DF81D9F"/>
    <w:rsid w:val="5E281F05"/>
    <w:rsid w:val="5EAE58CA"/>
    <w:rsid w:val="5FBD6C93"/>
    <w:rsid w:val="5FCB1629"/>
    <w:rsid w:val="60340051"/>
    <w:rsid w:val="603718EF"/>
    <w:rsid w:val="61572249"/>
    <w:rsid w:val="61FE0491"/>
    <w:rsid w:val="62417376"/>
    <w:rsid w:val="62627FD4"/>
    <w:rsid w:val="6299063F"/>
    <w:rsid w:val="62AE6ADE"/>
    <w:rsid w:val="62C31218"/>
    <w:rsid w:val="62FB30A8"/>
    <w:rsid w:val="63011920"/>
    <w:rsid w:val="634405AB"/>
    <w:rsid w:val="63482889"/>
    <w:rsid w:val="634E7862"/>
    <w:rsid w:val="635D341B"/>
    <w:rsid w:val="637A221F"/>
    <w:rsid w:val="63CC732A"/>
    <w:rsid w:val="63DE7D0C"/>
    <w:rsid w:val="63EB4ECB"/>
    <w:rsid w:val="63F62B3F"/>
    <w:rsid w:val="64601415"/>
    <w:rsid w:val="64775A27"/>
    <w:rsid w:val="64B654D9"/>
    <w:rsid w:val="64E262CE"/>
    <w:rsid w:val="64F93617"/>
    <w:rsid w:val="650665E0"/>
    <w:rsid w:val="65733E15"/>
    <w:rsid w:val="65C049EB"/>
    <w:rsid w:val="65DD0843"/>
    <w:rsid w:val="65EF7B6A"/>
    <w:rsid w:val="661831FF"/>
    <w:rsid w:val="66320B8F"/>
    <w:rsid w:val="664702C2"/>
    <w:rsid w:val="664946B5"/>
    <w:rsid w:val="664A412A"/>
    <w:rsid w:val="666B6D4A"/>
    <w:rsid w:val="668D04BB"/>
    <w:rsid w:val="67125D61"/>
    <w:rsid w:val="67246C2F"/>
    <w:rsid w:val="673D5A3D"/>
    <w:rsid w:val="67902011"/>
    <w:rsid w:val="67B53A13"/>
    <w:rsid w:val="67B6134C"/>
    <w:rsid w:val="685D09D5"/>
    <w:rsid w:val="68761F9F"/>
    <w:rsid w:val="68C34D74"/>
    <w:rsid w:val="68F57A16"/>
    <w:rsid w:val="6913742F"/>
    <w:rsid w:val="691610F4"/>
    <w:rsid w:val="691B590A"/>
    <w:rsid w:val="691E364C"/>
    <w:rsid w:val="693B74C7"/>
    <w:rsid w:val="696107CD"/>
    <w:rsid w:val="69972BF7"/>
    <w:rsid w:val="69BD4C13"/>
    <w:rsid w:val="69EA57F7"/>
    <w:rsid w:val="69ED2ADE"/>
    <w:rsid w:val="6A2C1D99"/>
    <w:rsid w:val="6A3B19C7"/>
    <w:rsid w:val="6A815C41"/>
    <w:rsid w:val="6A8231EA"/>
    <w:rsid w:val="6AC11C41"/>
    <w:rsid w:val="6AD8713D"/>
    <w:rsid w:val="6B792DBC"/>
    <w:rsid w:val="6B88262A"/>
    <w:rsid w:val="6BD21044"/>
    <w:rsid w:val="6BEA2E75"/>
    <w:rsid w:val="6BFB7F04"/>
    <w:rsid w:val="6C0F7B9F"/>
    <w:rsid w:val="6C3948F8"/>
    <w:rsid w:val="6C69168C"/>
    <w:rsid w:val="6C6B6BA9"/>
    <w:rsid w:val="6CA22577"/>
    <w:rsid w:val="6CBB49BD"/>
    <w:rsid w:val="6CC14A1B"/>
    <w:rsid w:val="6CE32BE3"/>
    <w:rsid w:val="6D3A657B"/>
    <w:rsid w:val="6D3F1513"/>
    <w:rsid w:val="6D5238C5"/>
    <w:rsid w:val="6D6B2A55"/>
    <w:rsid w:val="6DBC51E2"/>
    <w:rsid w:val="6DDC63FB"/>
    <w:rsid w:val="6DE22D54"/>
    <w:rsid w:val="6E482E3E"/>
    <w:rsid w:val="6E674D18"/>
    <w:rsid w:val="6ED24CBD"/>
    <w:rsid w:val="6ED529FF"/>
    <w:rsid w:val="6FA56875"/>
    <w:rsid w:val="6FC32557"/>
    <w:rsid w:val="6FFD16FA"/>
    <w:rsid w:val="708B0D3E"/>
    <w:rsid w:val="708E5F26"/>
    <w:rsid w:val="71077775"/>
    <w:rsid w:val="712D08D1"/>
    <w:rsid w:val="717174A8"/>
    <w:rsid w:val="71E44F1C"/>
    <w:rsid w:val="720F447A"/>
    <w:rsid w:val="72225F5B"/>
    <w:rsid w:val="722E7376"/>
    <w:rsid w:val="723F6E2F"/>
    <w:rsid w:val="72886A72"/>
    <w:rsid w:val="728E1843"/>
    <w:rsid w:val="739D0E0A"/>
    <w:rsid w:val="73A82490"/>
    <w:rsid w:val="74402C5F"/>
    <w:rsid w:val="74803196"/>
    <w:rsid w:val="74BB0F99"/>
    <w:rsid w:val="74D80B53"/>
    <w:rsid w:val="74F02341"/>
    <w:rsid w:val="75410DEE"/>
    <w:rsid w:val="75814EB7"/>
    <w:rsid w:val="75825E56"/>
    <w:rsid w:val="75970A0E"/>
    <w:rsid w:val="75ED73BD"/>
    <w:rsid w:val="7611394B"/>
    <w:rsid w:val="764D541F"/>
    <w:rsid w:val="76A258BD"/>
    <w:rsid w:val="76B8379C"/>
    <w:rsid w:val="773651D5"/>
    <w:rsid w:val="775C7824"/>
    <w:rsid w:val="7774220A"/>
    <w:rsid w:val="77AD2931"/>
    <w:rsid w:val="78D95167"/>
    <w:rsid w:val="794270CA"/>
    <w:rsid w:val="7A255FC5"/>
    <w:rsid w:val="7A3251AA"/>
    <w:rsid w:val="7A335E70"/>
    <w:rsid w:val="7A3E320E"/>
    <w:rsid w:val="7A827C66"/>
    <w:rsid w:val="7AD7365B"/>
    <w:rsid w:val="7AFE32DE"/>
    <w:rsid w:val="7B0C77A9"/>
    <w:rsid w:val="7B4B6BA7"/>
    <w:rsid w:val="7B6D0F4A"/>
    <w:rsid w:val="7B876E2F"/>
    <w:rsid w:val="7BA479E1"/>
    <w:rsid w:val="7BB00E61"/>
    <w:rsid w:val="7BDC53CD"/>
    <w:rsid w:val="7BDE750D"/>
    <w:rsid w:val="7C067F4F"/>
    <w:rsid w:val="7C2D78ED"/>
    <w:rsid w:val="7C980F0B"/>
    <w:rsid w:val="7D045CF0"/>
    <w:rsid w:val="7D32101D"/>
    <w:rsid w:val="7D5B30B8"/>
    <w:rsid w:val="7D754331"/>
    <w:rsid w:val="7D756300"/>
    <w:rsid w:val="7D822A3A"/>
    <w:rsid w:val="7DBB7264"/>
    <w:rsid w:val="7E4436FD"/>
    <w:rsid w:val="7E494946"/>
    <w:rsid w:val="7ED20D09"/>
    <w:rsid w:val="7EEC2FC9"/>
    <w:rsid w:val="7F0147D8"/>
    <w:rsid w:val="7F3D43E8"/>
    <w:rsid w:val="7FA75CF2"/>
    <w:rsid w:val="7FC70142"/>
    <w:rsid w:val="7FE405C7"/>
    <w:rsid w:val="7FF14BDD"/>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index 5"/>
    <w:basedOn w:val="1"/>
    <w:next w:val="1"/>
    <w:qFormat/>
    <w:uiPriority w:val="0"/>
    <w:pPr>
      <w:ind w:left="1680"/>
    </w:pPr>
    <w:rPr>
      <w:rFonts w:ascii="Times New Roman" w:hAnsi="Times New Roman" w:eastAsia="宋体" w:cs="Times New Roman"/>
      <w:szCs w:val="24"/>
      <w:lang w:bidi="ar-SA"/>
    </w:rPr>
  </w:style>
  <w:style w:type="paragraph" w:styleId="5">
    <w:name w:val="Body Text"/>
    <w:basedOn w:val="1"/>
    <w:next w:val="6"/>
    <w:qFormat/>
    <w:uiPriority w:val="0"/>
    <w:pPr>
      <w:tabs>
        <w:tab w:val="left" w:pos="720"/>
      </w:tabs>
    </w:pPr>
    <w:rPr>
      <w:rFonts w:ascii="仿宋_GB2312" w:hAnsi="Times New Roman" w:eastAsia="仿宋_GB2312" w:cs="Times New Roman"/>
      <w:sz w:val="32"/>
    </w:rPr>
  </w:style>
  <w:style w:type="paragraph" w:styleId="6">
    <w:name w:val="Body Text First Indent"/>
    <w:next w:val="4"/>
    <w:qFormat/>
    <w:uiPriority w:val="0"/>
    <w:pPr>
      <w:widowControl w:val="0"/>
      <w:ind w:firstLine="100" w:firstLineChars="100"/>
      <w:jc w:val="both"/>
    </w:pPr>
    <w:rPr>
      <w:rFonts w:ascii="Times New Roman" w:hAnsi="Times New Roman" w:eastAsia="宋体" w:cs="Times New Roman"/>
      <w:kern w:val="2"/>
      <w:sz w:val="21"/>
      <w:szCs w:val="24"/>
      <w:lang w:val="en-US" w:eastAsia="zh-CN" w:bidi="ar-SA"/>
    </w:rPr>
  </w:style>
  <w:style w:type="paragraph" w:styleId="7">
    <w:name w:val="endnote text"/>
    <w:basedOn w:val="1"/>
    <w:next w:val="5"/>
    <w:qFormat/>
    <w:uiPriority w:val="0"/>
    <w:rPr>
      <w:rFonts w:ascii="Times New Roman" w:hAnsi="Times New Roman" w:eastAsia="宋体" w:cs="Times New Roman"/>
      <w:szCs w:val="24"/>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Emphasis"/>
    <w:basedOn w:val="13"/>
    <w:qFormat/>
    <w:uiPriority w:val="20"/>
    <w:rPr>
      <w:i/>
      <w:iCs/>
    </w:rPr>
  </w:style>
  <w:style w:type="paragraph" w:customStyle="1" w:styleId="15">
    <w:name w:val="样式2"/>
    <w:basedOn w:val="1"/>
    <w:qFormat/>
    <w:uiPriority w:val="0"/>
    <w:pPr>
      <w:widowControl/>
      <w:shd w:val="clear" w:color="auto" w:fill="FFFFFF"/>
      <w:spacing w:before="100" w:beforeAutospacing="1" w:after="100" w:afterAutospacing="1"/>
      <w:ind w:left="562"/>
      <w:jc w:val="center"/>
    </w:pPr>
    <w:rPr>
      <w:rFonts w:hint="eastAsia" w:ascii="宋体" w:hAnsi="宋体"/>
      <w:b/>
    </w:rPr>
  </w:style>
  <w:style w:type="character" w:customStyle="1" w:styleId="16">
    <w:name w:val="zy-fr-bj20"/>
    <w:basedOn w:val="13"/>
    <w:qFormat/>
    <w:uiPriority w:val="0"/>
  </w:style>
  <w:style w:type="character" w:customStyle="1" w:styleId="17">
    <w:name w:val="页眉 Char"/>
    <w:basedOn w:val="13"/>
    <w:link w:val="9"/>
    <w:qFormat/>
    <w:uiPriority w:val="99"/>
    <w:rPr>
      <w:sz w:val="18"/>
      <w:szCs w:val="18"/>
    </w:rPr>
  </w:style>
  <w:style w:type="character" w:customStyle="1" w:styleId="18">
    <w:name w:val="页脚 Char"/>
    <w:basedOn w:val="13"/>
    <w:link w:val="8"/>
    <w:qFormat/>
    <w:uiPriority w:val="99"/>
    <w:rPr>
      <w:sz w:val="18"/>
      <w:szCs w:val="18"/>
    </w:rPr>
  </w:style>
  <w:style w:type="paragraph" w:customStyle="1" w:styleId="19">
    <w:name w:val="样式1"/>
    <w:basedOn w:val="1"/>
    <w:qFormat/>
    <w:uiPriority w:val="0"/>
    <w:pPr>
      <w:adjustRightInd w:val="0"/>
      <w:ind w:firstLine="200" w:firstLineChars="200"/>
      <w:textAlignment w:val="baseline"/>
    </w:pPr>
    <w:rPr>
      <w:rFonts w:ascii="宋体" w:hAnsi="宋体" w:eastAsia="仿宋_GB2312" w:cs="Times New Roman"/>
      <w:kern w:val="0"/>
      <w:sz w:val="28"/>
      <w:szCs w:val="28"/>
    </w:rPr>
  </w:style>
  <w:style w:type="paragraph" w:customStyle="1" w:styleId="20">
    <w:name w:val="列出段落1"/>
    <w:basedOn w:val="1"/>
    <w:qFormat/>
    <w:uiPriority w:val="99"/>
    <w:pPr>
      <w:spacing w:line="360" w:lineRule="auto"/>
      <w:ind w:firstLine="420" w:firstLineChars="200"/>
    </w:pPr>
    <w:rPr>
      <w:rFonts w:eastAsia="仿宋_GB2312"/>
    </w:rPr>
  </w:style>
  <w:style w:type="paragraph" w:customStyle="1" w:styleId="2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2">
    <w:name w:val="NormalCharacter"/>
    <w:qFormat/>
    <w:uiPriority w:val="0"/>
  </w:style>
  <w:style w:type="paragraph" w:customStyle="1" w:styleId="23">
    <w:name w:val="BodyText1I2"/>
    <w:qFormat/>
    <w:uiPriority w:val="0"/>
    <w:pPr>
      <w:widowControl w:val="0"/>
      <w:spacing w:after="120"/>
      <w:ind w:left="420" w:leftChars="200" w:firstLine="420" w:firstLineChars="200"/>
      <w:jc w:val="both"/>
    </w:pPr>
    <w:rPr>
      <w:rFonts w:ascii="宋体" w:hAnsi="宋体"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8196</Words>
  <Characters>8716</Characters>
  <Lines>44</Lines>
  <Paragraphs>12</Paragraphs>
  <TotalTime>110</TotalTime>
  <ScaleCrop>false</ScaleCrop>
  <LinksUpToDate>false</LinksUpToDate>
  <CharactersWithSpaces>8816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2020-08-22T06:02:00Z</dcterms:created>
  <dc:creator>李 荡</dc:creator>
  <cp:lastModifiedBy>上尉</cp:lastModifiedBy>
  <cp:lastPrinted>2023-05-31T05:38:00Z</cp:lastPrinted>
  <dcterms:modified xsi:type="dcterms:W3CDTF">2025-06-30T02:10:01Z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9335BB84F5C34F319F9BBAF8EDBCEC13_13</vt:lpwstr>
  </property>
  <property fmtid="{D5CDD505-2E9C-101B-9397-08002B2CF9AE}" pid="4" name="KSOTemplateDocerSaveRecord">
    <vt:lpwstr>eyJoZGlkIjoiN2RkNDU4Y2RkOGE0NWI5MDEzMzVhMTlmNTQwMTM4ZTMiLCJ1c2VySWQiOiIzMzgyNDQyNDYifQ==</vt:lpwstr>
  </property>
</Properties>
</file>