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黑体" w:hAnsi="黑体" w:eastAsia="黑体" w:cs="方正小标宋简体"/>
          <w:sz w:val="44"/>
          <w:szCs w:val="32"/>
          <w:lang w:val="en-US" w:eastAsia="zh-CN"/>
        </w:rPr>
      </w:pPr>
      <w:r>
        <w:rPr>
          <w:rFonts w:hint="eastAsia" w:ascii="黑体" w:hAnsi="黑体" w:eastAsia="黑体" w:cs="方正小标宋简体"/>
          <w:sz w:val="44"/>
          <w:szCs w:val="32"/>
        </w:rPr>
        <w:t>湘潭县农业</w:t>
      </w:r>
      <w:r>
        <w:rPr>
          <w:rFonts w:hint="eastAsia" w:ascii="黑体" w:hAnsi="黑体" w:eastAsia="黑体" w:cs="方正小标宋简体"/>
          <w:sz w:val="44"/>
          <w:szCs w:val="32"/>
          <w:lang w:val="en-US" w:eastAsia="zh-CN"/>
        </w:rPr>
        <w:t>发展服务中心</w:t>
      </w:r>
    </w:p>
    <w:p>
      <w:pPr>
        <w:spacing w:line="240" w:lineRule="auto"/>
        <w:jc w:val="center"/>
        <w:rPr>
          <w:rFonts w:ascii="黑体" w:hAnsi="黑体" w:eastAsia="黑体" w:cs="方正小标宋简体"/>
          <w:sz w:val="18"/>
          <w:szCs w:val="18"/>
        </w:rPr>
      </w:pPr>
      <w:r>
        <w:rPr>
          <w:rFonts w:hint="eastAsia" w:ascii="黑体" w:hAnsi="黑体" w:eastAsia="黑体" w:cs="方正小标宋简体"/>
          <w:sz w:val="44"/>
          <w:szCs w:val="32"/>
        </w:rPr>
        <w:t>202</w:t>
      </w:r>
      <w:r>
        <w:rPr>
          <w:rFonts w:hint="eastAsia" w:ascii="黑体" w:hAnsi="黑体" w:eastAsia="黑体" w:cs="方正小标宋简体"/>
          <w:sz w:val="44"/>
          <w:szCs w:val="32"/>
          <w:lang w:val="en-US" w:eastAsia="zh-CN"/>
        </w:rPr>
        <w:t>4</w:t>
      </w:r>
      <w:r>
        <w:rPr>
          <w:rFonts w:hint="eastAsia" w:ascii="黑体" w:hAnsi="黑体" w:eastAsia="黑体" w:cs="方正小标宋简体"/>
          <w:sz w:val="44"/>
          <w:szCs w:val="32"/>
        </w:rPr>
        <w:t>年部门</w:t>
      </w:r>
      <w:r>
        <w:rPr>
          <w:rFonts w:hint="eastAsia" w:ascii="黑体" w:hAnsi="黑体" w:eastAsia="黑体" w:cs="方正小标宋简体"/>
          <w:sz w:val="44"/>
          <w:szCs w:val="32"/>
          <w:lang w:eastAsia="zh-CN"/>
        </w:rPr>
        <w:t>预算</w:t>
      </w:r>
      <w:r>
        <w:rPr>
          <w:rFonts w:hint="eastAsia" w:ascii="黑体" w:hAnsi="黑体" w:eastAsia="黑体" w:cs="方正小标宋简体"/>
          <w:sz w:val="44"/>
          <w:szCs w:val="32"/>
        </w:rPr>
        <w:t>整体支出绩效自评报告</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一、基本概况</w:t>
      </w:r>
    </w:p>
    <w:p>
      <w:pPr>
        <w:spacing w:line="52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（一）单位基本职能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贯彻落实农村土地承包经营制度，保护土地资源的合理开发和可持续利用，支持、引导、扶持农民合作社和家庭农场等新型农业经营主体发展。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贯彻落实农民负担相关政策，组织实施农民负担监督管理工作，配合查处涉及农民负担案（事）件。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指导农村集体经济组织财务审计工作，支持、引导、扶持村级集体经济发展。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负责全县农田建设项目的前期申报工作，并组织实施，强化后续管理。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完成县委、县政府、县农业农村局交办的其他工作任务。 </w:t>
      </w:r>
    </w:p>
    <w:p>
      <w:pPr>
        <w:spacing w:line="520" w:lineRule="exact"/>
        <w:ind w:firstLine="420"/>
        <w:rPr>
          <w:rFonts w:hint="eastAsia" w:ascii="仿宋" w:hAnsi="仿宋" w:eastAsia="仿宋" w:cs="仿宋"/>
          <w:b/>
          <w:sz w:val="32"/>
          <w:szCs w:val="32"/>
        </w:rPr>
      </w:pPr>
      <w:r>
        <w:rPr>
          <w:rFonts w:hint="eastAsia" w:ascii="仿宋" w:hAnsi="仿宋" w:eastAsia="仿宋" w:cs="仿宋"/>
          <w:b/>
          <w:sz w:val="32"/>
          <w:szCs w:val="32"/>
        </w:rPr>
        <w:t>（二）人员编制</w:t>
      </w:r>
    </w:p>
    <w:p>
      <w:pPr>
        <w:spacing w:line="520" w:lineRule="exact"/>
        <w:ind w:firstLine="420"/>
        <w:rPr>
          <w:rFonts w:hint="eastAsia" w:ascii="仿宋_GB2312" w:eastAsia="仿宋_GB2312"/>
          <w:sz w:val="32"/>
          <w:szCs w:val="32"/>
          <w:lang w:eastAsia="zh-CN"/>
        </w:rPr>
      </w:pPr>
      <w:r>
        <w:rPr>
          <w:rFonts w:hint="eastAsia" w:ascii="仿宋_GB2312" w:eastAsia="仿宋_GB2312"/>
          <w:sz w:val="32"/>
          <w:szCs w:val="32"/>
        </w:rPr>
        <w:t>现有编制人数</w:t>
      </w:r>
      <w:r>
        <w:rPr>
          <w:rFonts w:hint="eastAsia" w:ascii="仿宋_GB2312" w:eastAsia="仿宋_GB2312"/>
          <w:sz w:val="32"/>
          <w:szCs w:val="32"/>
          <w:lang w:val="en-US" w:eastAsia="zh-CN"/>
        </w:rPr>
        <w:t>31</w:t>
      </w:r>
      <w:r>
        <w:rPr>
          <w:rFonts w:hint="eastAsia" w:ascii="仿宋_GB2312" w:eastAsia="仿宋_GB2312"/>
          <w:sz w:val="32"/>
          <w:szCs w:val="32"/>
        </w:rPr>
        <w:t>人，</w:t>
      </w:r>
      <w:r>
        <w:rPr>
          <w:rFonts w:hint="eastAsia" w:ascii="仿宋_GB2312" w:eastAsia="仿宋_GB2312"/>
          <w:sz w:val="32"/>
          <w:szCs w:val="32"/>
          <w:lang w:val="en-US" w:eastAsia="zh-CN"/>
        </w:rPr>
        <w:t>年初</w:t>
      </w:r>
      <w:r>
        <w:rPr>
          <w:rFonts w:hint="eastAsia" w:ascii="仿宋_GB2312" w:eastAsia="仿宋_GB2312"/>
          <w:sz w:val="32"/>
          <w:szCs w:val="32"/>
        </w:rPr>
        <w:t>实有人数</w:t>
      </w:r>
      <w:r>
        <w:rPr>
          <w:rFonts w:hint="eastAsia" w:ascii="仿宋_GB2312" w:eastAsia="仿宋_GB2312"/>
          <w:sz w:val="32"/>
          <w:szCs w:val="32"/>
          <w:lang w:val="en-US" w:eastAsia="zh-CN"/>
        </w:rPr>
        <w:t>30</w:t>
      </w:r>
      <w:r>
        <w:rPr>
          <w:rFonts w:hint="eastAsia" w:ascii="仿宋_GB2312" w:eastAsia="仿宋_GB2312"/>
          <w:sz w:val="32"/>
          <w:szCs w:val="32"/>
        </w:rPr>
        <w:t>人，</w:t>
      </w:r>
      <w:r>
        <w:rPr>
          <w:rFonts w:hint="eastAsia" w:ascii="仿宋_GB2312" w:eastAsia="仿宋_GB2312"/>
          <w:sz w:val="32"/>
          <w:szCs w:val="32"/>
          <w:lang w:val="en-US" w:eastAsia="zh-CN"/>
        </w:rPr>
        <w:t>年中退休2人，调出3人，调进2人，</w:t>
      </w:r>
      <w:r>
        <w:rPr>
          <w:rFonts w:hint="eastAsia" w:ascii="仿宋_GB2312" w:eastAsia="仿宋_GB2312"/>
          <w:sz w:val="32"/>
          <w:szCs w:val="32"/>
        </w:rPr>
        <w:t>另有</w:t>
      </w:r>
      <w:r>
        <w:rPr>
          <w:rFonts w:hint="eastAsia" w:ascii="仿宋_GB2312" w:eastAsia="仿宋_GB2312"/>
          <w:sz w:val="32"/>
          <w:szCs w:val="32"/>
          <w:lang w:val="en-US" w:eastAsia="zh-CN"/>
        </w:rPr>
        <w:t>劳务派遣</w:t>
      </w:r>
      <w:r>
        <w:rPr>
          <w:rFonts w:hint="eastAsia" w:ascii="仿宋_GB2312" w:eastAsia="仿宋_GB2312"/>
          <w:sz w:val="32"/>
          <w:szCs w:val="32"/>
        </w:rPr>
        <w:t xml:space="preserve">人员 </w:t>
      </w:r>
      <w:r>
        <w:rPr>
          <w:rFonts w:hint="eastAsia" w:ascii="仿宋_GB2312" w:eastAsia="仿宋_GB2312"/>
          <w:sz w:val="32"/>
          <w:szCs w:val="32"/>
          <w:lang w:val="en-US" w:eastAsia="zh-CN"/>
        </w:rPr>
        <w:t>1</w:t>
      </w:r>
      <w:r>
        <w:rPr>
          <w:rFonts w:hint="eastAsia" w:ascii="仿宋_GB2312" w:eastAsia="仿宋_GB2312"/>
          <w:sz w:val="32"/>
          <w:szCs w:val="32"/>
        </w:rPr>
        <w:t>人</w:t>
      </w:r>
      <w:r>
        <w:rPr>
          <w:rFonts w:hint="eastAsia" w:ascii="仿宋_GB2312" w:eastAsia="仿宋_GB2312"/>
          <w:sz w:val="32"/>
          <w:szCs w:val="32"/>
          <w:lang w:eastAsia="zh-CN"/>
        </w:rPr>
        <w:t>。</w:t>
      </w:r>
    </w:p>
    <w:p>
      <w:pPr>
        <w:spacing w:line="520" w:lineRule="exact"/>
        <w:ind w:firstLine="420"/>
        <w:rPr>
          <w:rFonts w:hint="eastAsia" w:ascii="仿宋" w:hAnsi="仿宋" w:eastAsia="仿宋" w:cs="仿宋"/>
          <w:b/>
          <w:sz w:val="32"/>
          <w:szCs w:val="32"/>
        </w:rPr>
      </w:pPr>
      <w:r>
        <w:rPr>
          <w:rFonts w:hint="eastAsia" w:ascii="仿宋" w:hAnsi="仿宋" w:eastAsia="仿宋" w:cs="仿宋"/>
          <w:b/>
          <w:sz w:val="32"/>
          <w:szCs w:val="32"/>
        </w:rPr>
        <w:t xml:space="preserve">（三）机构设置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县农业发展服务中心设下列内设</w:t>
      </w:r>
      <w:r>
        <w:rPr>
          <w:rFonts w:hint="eastAsia" w:ascii="仿宋_GB2312" w:hAnsi="仿宋_GB2312" w:eastAsia="仿宋_GB2312" w:cs="仿宋_GB2312"/>
          <w:sz w:val="32"/>
          <w:szCs w:val="32"/>
          <w:lang w:val="en-US" w:eastAsia="zh-CN"/>
        </w:rPr>
        <w:t>8个</w:t>
      </w:r>
      <w:r>
        <w:rPr>
          <w:rFonts w:hint="eastAsia" w:ascii="仿宋_GB2312" w:hAnsi="仿宋_GB2312" w:eastAsia="仿宋_GB2312" w:cs="仿宋_GB2312"/>
          <w:sz w:val="32"/>
          <w:szCs w:val="32"/>
        </w:rPr>
        <w:t>机构：综合股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财务股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农业发展改革股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农民权益维护股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集体经济发展股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农田项目计划发展股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农田项目建设管理股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人事股。</w:t>
      </w:r>
    </w:p>
    <w:p>
      <w:pPr>
        <w:spacing w:line="52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二、绩效评价工作情况</w:t>
      </w:r>
    </w:p>
    <w:p>
      <w:pPr>
        <w:pStyle w:val="17"/>
        <w:spacing w:line="520" w:lineRule="exact"/>
        <w:ind w:firstLine="643" w:firstLineChars="200"/>
        <w:rPr>
          <w:rFonts w:ascii="仿宋_GB2312" w:hAnsi="仿宋" w:eastAsia="仿宋_GB2312"/>
          <w:b/>
          <w:bCs/>
          <w:kern w:val="0"/>
          <w:sz w:val="32"/>
          <w:szCs w:val="32"/>
        </w:rPr>
      </w:pPr>
      <w:r>
        <w:rPr>
          <w:rFonts w:hint="eastAsia" w:ascii="仿宋_GB2312" w:hAnsi="仿宋" w:eastAsia="仿宋_GB2312"/>
          <w:b/>
          <w:bCs/>
          <w:kern w:val="0"/>
          <w:sz w:val="32"/>
          <w:szCs w:val="32"/>
        </w:rPr>
        <w:t>（一）绩效评价工作组织情况</w:t>
      </w:r>
    </w:p>
    <w:p>
      <w:pPr>
        <w:spacing w:line="520" w:lineRule="exact"/>
        <w:ind w:firstLine="600"/>
        <w:rPr>
          <w:rFonts w:ascii="仿宋_GB2312" w:hAnsi="Calibri" w:eastAsia="仿宋_GB2312" w:cs="Times New Roman"/>
          <w:sz w:val="32"/>
          <w:szCs w:val="32"/>
        </w:rPr>
      </w:pPr>
      <w:r>
        <w:rPr>
          <w:rFonts w:hint="eastAsia" w:ascii="仿宋_GB2312" w:hAnsi="仿宋" w:eastAsia="仿宋_GB2312"/>
          <w:b/>
          <w:sz w:val="32"/>
          <w:szCs w:val="32"/>
        </w:rPr>
        <w:t>1、前期准备。</w:t>
      </w:r>
      <w:r>
        <w:rPr>
          <w:rFonts w:hint="eastAsia" w:ascii="仿宋_GB2312" w:hAnsi="Calibri" w:eastAsia="仿宋_GB2312" w:cs="Times New Roman"/>
          <w:sz w:val="32"/>
          <w:szCs w:val="32"/>
        </w:rPr>
        <w:t>根据《湘潭县预算绩效管理工作方案》和</w:t>
      </w:r>
      <w:r>
        <w:rPr>
          <w:rFonts w:hint="eastAsia" w:ascii="仿宋_GB2312" w:hAnsi="Calibri" w:eastAsia="仿宋_GB2312" w:cs="Times New Roman"/>
          <w:sz w:val="32"/>
          <w:szCs w:val="32"/>
          <w:lang w:eastAsia="zh-CN"/>
        </w:rPr>
        <w:t>开展</w:t>
      </w:r>
      <w:r>
        <w:rPr>
          <w:rFonts w:hint="eastAsia" w:ascii="仿宋_GB2312" w:hAnsi="Calibri" w:eastAsia="仿宋_GB2312" w:cs="Times New Roman"/>
          <w:sz w:val="32"/>
          <w:szCs w:val="32"/>
        </w:rPr>
        <w:t>绩效自评工作的</w:t>
      </w:r>
      <w:r>
        <w:rPr>
          <w:rFonts w:hint="eastAsia" w:ascii="仿宋_GB2312" w:hAnsi="Calibri" w:eastAsia="仿宋_GB2312" w:cs="Times New Roman"/>
          <w:sz w:val="32"/>
          <w:szCs w:val="32"/>
          <w:lang w:eastAsia="zh-CN"/>
        </w:rPr>
        <w:t>相关</w:t>
      </w:r>
      <w:r>
        <w:rPr>
          <w:rFonts w:hint="eastAsia" w:ascii="仿宋_GB2312" w:hAnsi="Calibri" w:eastAsia="仿宋_GB2312" w:cs="Times New Roman"/>
          <w:sz w:val="32"/>
          <w:szCs w:val="32"/>
        </w:rPr>
        <w:t>通知</w:t>
      </w:r>
      <w:r>
        <w:rPr>
          <w:rFonts w:hint="eastAsia" w:ascii="仿宋_GB2312" w:hAnsi="Calibri" w:eastAsia="仿宋_GB2312" w:cs="Times New Roman"/>
          <w:sz w:val="32"/>
          <w:szCs w:val="32"/>
          <w:lang w:eastAsia="zh-CN"/>
        </w:rPr>
        <w:t>要求</w:t>
      </w:r>
      <w:r>
        <w:rPr>
          <w:rFonts w:hint="eastAsia" w:ascii="仿宋_GB2312" w:hAnsi="Calibri" w:eastAsia="仿宋_GB2312" w:cs="Times New Roman"/>
          <w:sz w:val="32"/>
          <w:szCs w:val="32"/>
        </w:rPr>
        <w:t>，为做好202</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年度我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预算支出绩效自评工作，</w:t>
      </w:r>
      <w:r>
        <w:rPr>
          <w:rFonts w:hint="eastAsia" w:ascii="仿宋_GB2312" w:hAnsi="Calibri" w:eastAsia="仿宋_GB2312" w:cs="Times New Roman"/>
          <w:sz w:val="32"/>
          <w:szCs w:val="32"/>
          <w:lang w:val="en-US" w:eastAsia="zh-CN"/>
        </w:rPr>
        <w:t>我单位</w:t>
      </w:r>
      <w:r>
        <w:rPr>
          <w:rFonts w:hint="eastAsia" w:ascii="仿宋_GB2312" w:hAnsi="Calibri" w:eastAsia="仿宋_GB2312" w:cs="Times New Roman"/>
          <w:sz w:val="32"/>
          <w:szCs w:val="32"/>
        </w:rPr>
        <w:t>召开了绩效自评工作会议，对绩效评价工作进行了专题部署，明确了责任，成立了以</w:t>
      </w:r>
      <w:r>
        <w:rPr>
          <w:rFonts w:hint="eastAsia" w:ascii="仿宋_GB2312" w:hAnsi="Calibri" w:eastAsia="仿宋_GB2312" w:cs="Times New Roman"/>
          <w:sz w:val="32"/>
          <w:szCs w:val="32"/>
          <w:lang w:val="en-US" w:eastAsia="zh-CN"/>
        </w:rPr>
        <w:t>中心主任</w:t>
      </w:r>
      <w:r>
        <w:rPr>
          <w:rFonts w:hint="eastAsia" w:ascii="仿宋_GB2312" w:hAnsi="Calibri" w:eastAsia="仿宋_GB2312" w:cs="Times New Roman"/>
          <w:sz w:val="32"/>
          <w:szCs w:val="32"/>
        </w:rPr>
        <w:t>为组长，分管</w:t>
      </w:r>
      <w:r>
        <w:rPr>
          <w:rFonts w:hint="eastAsia" w:ascii="仿宋_GB2312" w:hAnsi="Calibri" w:eastAsia="仿宋_GB2312" w:cs="Times New Roman"/>
          <w:sz w:val="32"/>
          <w:szCs w:val="32"/>
          <w:lang w:val="en-US" w:eastAsia="zh-CN"/>
        </w:rPr>
        <w:t>副主任</w:t>
      </w:r>
      <w:r>
        <w:rPr>
          <w:rFonts w:hint="eastAsia" w:ascii="仿宋_GB2312" w:hAnsi="Calibri" w:eastAsia="仿宋_GB2312" w:cs="Times New Roman"/>
          <w:sz w:val="32"/>
          <w:szCs w:val="32"/>
        </w:rPr>
        <w:t>为副组长，</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rPr>
        <w:t>股站负责人为成员的湘潭县</w:t>
      </w:r>
      <w:r>
        <w:rPr>
          <w:rFonts w:hint="eastAsia" w:ascii="仿宋_GB2312" w:hAnsi="Calibri" w:eastAsia="仿宋_GB2312" w:cs="Times New Roman"/>
          <w:sz w:val="32"/>
          <w:szCs w:val="32"/>
          <w:lang w:val="en-US" w:eastAsia="zh-CN"/>
        </w:rPr>
        <w:t>农业发展服务中心</w:t>
      </w:r>
      <w:r>
        <w:rPr>
          <w:rFonts w:hint="eastAsia" w:ascii="仿宋_GB2312" w:hAnsi="Calibri" w:eastAsia="仿宋_GB2312" w:cs="Times New Roman"/>
          <w:sz w:val="32"/>
          <w:szCs w:val="32"/>
        </w:rPr>
        <w:t>预算绩效管理领导小组，并制定了预算绩效管理工作方案。</w:t>
      </w:r>
    </w:p>
    <w:p>
      <w:pPr>
        <w:spacing w:line="520" w:lineRule="exact"/>
        <w:ind w:firstLine="600"/>
        <w:rPr>
          <w:rFonts w:hint="eastAsia" w:ascii="仿宋_GB2312" w:hAnsi="Calibri" w:eastAsia="仿宋_GB2312" w:cs="Times New Roman"/>
          <w:sz w:val="32"/>
          <w:szCs w:val="32"/>
        </w:rPr>
      </w:pPr>
      <w:r>
        <w:rPr>
          <w:rFonts w:hint="eastAsia" w:ascii="仿宋_GB2312" w:hAnsi="Calibri" w:eastAsia="仿宋_GB2312" w:cs="Times New Roman"/>
          <w:b/>
          <w:sz w:val="32"/>
          <w:szCs w:val="32"/>
        </w:rPr>
        <w:t>2、组织实施。</w:t>
      </w:r>
      <w:r>
        <w:rPr>
          <w:rFonts w:hint="eastAsia" w:ascii="仿宋_GB2312" w:hAnsi="Calibri" w:eastAsia="仿宋_GB2312" w:cs="Times New Roman"/>
          <w:sz w:val="32"/>
          <w:szCs w:val="32"/>
        </w:rPr>
        <w:t>由</w:t>
      </w:r>
      <w:r>
        <w:rPr>
          <w:rFonts w:hint="eastAsia" w:ascii="仿宋_GB2312" w:hAnsi="Calibri" w:eastAsia="仿宋_GB2312" w:cs="Times New Roman"/>
          <w:sz w:val="32"/>
          <w:szCs w:val="32"/>
          <w:lang w:val="en-US" w:eastAsia="zh-CN"/>
        </w:rPr>
        <w:t>财务股</w:t>
      </w:r>
      <w:r>
        <w:rPr>
          <w:rFonts w:hint="eastAsia" w:ascii="仿宋_GB2312" w:hAnsi="Calibri" w:eastAsia="仿宋_GB2312" w:cs="Times New Roman"/>
          <w:sz w:val="32"/>
          <w:szCs w:val="32"/>
        </w:rPr>
        <w:t>牵头，组织</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rPr>
        <w:t>股站，对202</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年度县级部门预算资金开展绩效自评工作，根据绩效评价指标完成情况表要求对照评分，并将绩效评价报告和绩效评价相关辅证资料汇编成册后，</w:t>
      </w:r>
      <w:r>
        <w:rPr>
          <w:rFonts w:hint="eastAsia" w:ascii="仿宋_GB2312" w:hAnsi="Calibri" w:eastAsia="仿宋_GB2312" w:cs="Times New Roman"/>
          <w:sz w:val="32"/>
          <w:szCs w:val="32"/>
          <w:lang w:eastAsia="zh-CN"/>
        </w:rPr>
        <w:t>于</w:t>
      </w:r>
      <w:r>
        <w:rPr>
          <w:rFonts w:hint="eastAsia" w:ascii="仿宋_GB2312" w:hAnsi="Calibri" w:eastAsia="仿宋_GB2312" w:cs="Times New Roman"/>
          <w:sz w:val="32"/>
          <w:szCs w:val="32"/>
          <w:lang w:val="en-US" w:eastAsia="zh-CN"/>
        </w:rPr>
        <w:t>6月30日前</w:t>
      </w:r>
      <w:r>
        <w:rPr>
          <w:rFonts w:hint="eastAsia" w:ascii="仿宋_GB2312" w:hAnsi="Calibri" w:eastAsia="仿宋_GB2312" w:cs="Times New Roman"/>
          <w:sz w:val="32"/>
          <w:szCs w:val="32"/>
        </w:rPr>
        <w:t>报县财政局绩效评价股。</w:t>
      </w:r>
    </w:p>
    <w:p>
      <w:pPr>
        <w:spacing w:line="520" w:lineRule="exact"/>
        <w:ind w:firstLine="600"/>
        <w:rPr>
          <w:rFonts w:hint="eastAsia" w:ascii="仿宋_GB2312" w:hAnsi="Calibri" w:eastAsia="仿宋_GB2312" w:cs="Times New Roman"/>
          <w:b/>
          <w:bCs/>
          <w:sz w:val="32"/>
          <w:szCs w:val="32"/>
          <w:lang w:eastAsia="zh-CN"/>
        </w:rPr>
      </w:pPr>
      <w:r>
        <w:rPr>
          <w:rFonts w:hint="eastAsia" w:ascii="仿宋_GB2312" w:hAnsi="Calibri" w:eastAsia="仿宋_GB2312" w:cs="Times New Roman"/>
          <w:b/>
          <w:bCs/>
          <w:sz w:val="32"/>
          <w:szCs w:val="32"/>
        </w:rPr>
        <w:t>（二）部门自评</w:t>
      </w:r>
      <w:r>
        <w:rPr>
          <w:rFonts w:hint="eastAsia" w:ascii="仿宋_GB2312" w:hAnsi="Calibri" w:eastAsia="仿宋_GB2312" w:cs="Times New Roman"/>
          <w:b/>
          <w:bCs/>
          <w:sz w:val="32"/>
          <w:szCs w:val="32"/>
          <w:lang w:eastAsia="zh-CN"/>
        </w:rPr>
        <w:t>结果</w:t>
      </w:r>
    </w:p>
    <w:p>
      <w:pPr>
        <w:spacing w:line="520" w:lineRule="exact"/>
        <w:ind w:firstLine="640" w:firstLineChars="200"/>
        <w:jc w:val="left"/>
        <w:outlineLvl w:val="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根据《</w:t>
      </w:r>
      <w:r>
        <w:rPr>
          <w:rFonts w:hint="eastAsia" w:ascii="仿宋_GB2312" w:eastAsia="仿宋_GB2312"/>
          <w:color w:val="auto"/>
          <w:sz w:val="32"/>
          <w:szCs w:val="32"/>
          <w:highlight w:val="none"/>
        </w:rPr>
        <w:t>部门整体支出绩效评价指标完成情况评分表</w:t>
      </w:r>
      <w:r>
        <w:rPr>
          <w:rFonts w:hint="eastAsia" w:ascii="仿宋_GB2312" w:eastAsia="仿宋_GB2312"/>
          <w:color w:val="auto"/>
          <w:sz w:val="32"/>
          <w:szCs w:val="32"/>
          <w:highlight w:val="none"/>
          <w:lang w:eastAsia="zh-CN"/>
        </w:rPr>
        <w:t>》进行评分，自评得分</w:t>
      </w:r>
      <w:r>
        <w:rPr>
          <w:rFonts w:hint="eastAsia" w:ascii="仿宋_GB2312" w:eastAsia="仿宋_GB2312"/>
          <w:color w:val="auto"/>
          <w:sz w:val="32"/>
          <w:szCs w:val="32"/>
          <w:highlight w:val="none"/>
          <w:lang w:val="en-US" w:eastAsia="zh-CN"/>
        </w:rPr>
        <w:t>95分，自评结果为“优秀”。</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三、部门整体支出管理和使用基本情况</w:t>
      </w:r>
    </w:p>
    <w:p>
      <w:pPr>
        <w:spacing w:line="520" w:lineRule="exact"/>
        <w:ind w:firstLine="600"/>
        <w:rPr>
          <w:rFonts w:hint="eastAsia" w:ascii="仿宋_GB2312" w:hAnsi="Calibri" w:eastAsia="仿宋_GB2312" w:cs="Times New Roman"/>
          <w:sz w:val="32"/>
          <w:szCs w:val="32"/>
        </w:rPr>
      </w:pPr>
      <w:r>
        <w:rPr>
          <w:rFonts w:hint="eastAsia" w:ascii="仿宋_GB2312" w:hAnsi="Calibri" w:eastAsia="仿宋_GB2312" w:cs="Times New Roman"/>
          <w:sz w:val="32"/>
          <w:szCs w:val="32"/>
        </w:rPr>
        <w:t>认真贯彻执行《会计法</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rPr>
        <w:t>预算法</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rPr>
        <w:t>行政事业单位会计制度》等法律法规，各项经费支出严格按照政府采购、国库集中支付、公务卡支付等有关规定执行。202</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年我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县级年初部门预算资金</w:t>
      </w:r>
      <w:r>
        <w:rPr>
          <w:rFonts w:hint="eastAsia" w:ascii="仿宋_GB2312" w:hAnsi="Calibri" w:eastAsia="仿宋_GB2312" w:cs="Times New Roman"/>
          <w:sz w:val="32"/>
          <w:szCs w:val="32"/>
          <w:lang w:val="en-US" w:eastAsia="zh-CN"/>
        </w:rPr>
        <w:t>448.4</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（不含上级补助收入）</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val="en-US" w:eastAsia="zh-CN"/>
        </w:rPr>
        <w:t>其中</w:t>
      </w:r>
      <w:r>
        <w:rPr>
          <w:rFonts w:hint="eastAsia" w:ascii="仿宋_GB2312" w:hAnsi="Calibri" w:eastAsia="仿宋_GB2312" w:cs="Times New Roman"/>
          <w:sz w:val="32"/>
          <w:szCs w:val="32"/>
          <w:lang w:eastAsia="zh-CN"/>
        </w:rPr>
        <w:t>：基本</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eastAsia="zh-CN"/>
        </w:rPr>
        <w:t>预算</w:t>
      </w:r>
      <w:r>
        <w:rPr>
          <w:rFonts w:hint="eastAsia" w:ascii="仿宋_GB2312" w:hAnsi="Calibri" w:eastAsia="仿宋_GB2312" w:cs="Times New Roman"/>
          <w:sz w:val="32"/>
          <w:szCs w:val="32"/>
          <w:lang w:val="en-US" w:eastAsia="zh-CN"/>
        </w:rPr>
        <w:t>434.5</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（含三公经费预算支出</w:t>
      </w:r>
      <w:r>
        <w:rPr>
          <w:rFonts w:hint="eastAsia" w:ascii="仿宋_GB2312" w:hAnsi="Calibri" w:eastAsia="仿宋_GB2312" w:cs="Times New Roman"/>
          <w:sz w:val="32"/>
          <w:szCs w:val="32"/>
          <w:lang w:val="en-US" w:eastAsia="zh-CN"/>
        </w:rPr>
        <w:t>0.5万元）</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eastAsia="zh-CN"/>
        </w:rPr>
        <w:t>项目</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val="en-US" w:eastAsia="zh-CN"/>
        </w:rPr>
        <w:t>预算13.9</w:t>
      </w:r>
      <w:r>
        <w:rPr>
          <w:rFonts w:hint="eastAsia" w:ascii="仿宋_GB2312" w:hAnsi="Calibri" w:eastAsia="仿宋_GB2312" w:cs="Times New Roman"/>
          <w:sz w:val="32"/>
          <w:szCs w:val="32"/>
        </w:rPr>
        <w:t>万元。</w:t>
      </w:r>
    </w:p>
    <w:p>
      <w:pPr>
        <w:spacing w:line="520" w:lineRule="exact"/>
        <w:ind w:firstLine="643" w:firstLineChars="200"/>
        <w:jc w:val="left"/>
        <w:outlineLvl w:val="0"/>
        <w:rPr>
          <w:rFonts w:ascii="宋体" w:hAnsi="宋体" w:eastAsia="仿宋_GB2312" w:cs="宋体"/>
          <w:b/>
          <w:color w:val="auto"/>
          <w:sz w:val="32"/>
          <w:szCs w:val="32"/>
          <w:highlight w:val="none"/>
        </w:rPr>
      </w:pPr>
      <w:r>
        <w:rPr>
          <w:rFonts w:hint="eastAsia" w:ascii="宋体" w:hAnsi="宋体" w:eastAsia="仿宋_GB2312" w:cs="宋体"/>
          <w:b/>
          <w:color w:val="auto"/>
          <w:sz w:val="32"/>
          <w:szCs w:val="32"/>
          <w:highlight w:val="none"/>
        </w:rPr>
        <w:t>（一）基本支出管理和使用情况</w:t>
      </w:r>
    </w:p>
    <w:p>
      <w:pPr>
        <w:spacing w:line="520" w:lineRule="exact"/>
        <w:ind w:firstLine="640" w:firstLineChars="200"/>
        <w:jc w:val="left"/>
        <w:outlineLvl w:val="0"/>
        <w:rPr>
          <w:rFonts w:ascii="宋体" w:hAnsi="宋体" w:eastAsia="仿宋_GB2312" w:cs="宋体"/>
          <w:color w:val="auto"/>
          <w:sz w:val="32"/>
          <w:szCs w:val="32"/>
          <w:highlight w:val="none"/>
        </w:rPr>
      </w:pPr>
      <w:r>
        <w:rPr>
          <w:rFonts w:hint="eastAsia" w:ascii="宋体" w:hAnsi="宋体" w:eastAsia="仿宋_GB2312" w:cs="宋体"/>
          <w:color w:val="auto"/>
          <w:sz w:val="32"/>
          <w:szCs w:val="32"/>
          <w:highlight w:val="none"/>
          <w:lang w:val="en-US" w:eastAsia="zh-CN"/>
        </w:rPr>
        <w:t>单位的</w:t>
      </w:r>
      <w:r>
        <w:rPr>
          <w:rFonts w:hint="eastAsia" w:ascii="宋体" w:hAnsi="宋体" w:eastAsia="仿宋_GB2312" w:cs="宋体"/>
          <w:color w:val="auto"/>
          <w:sz w:val="32"/>
          <w:szCs w:val="32"/>
          <w:highlight w:val="none"/>
        </w:rPr>
        <w:t>基本支出的范围和主要用途包括人员经费和日常公用经费。具体包括：工资福利支出、对个人和家庭的补助、商品和服务支出。基本支出的管理和使用情况如下：</w:t>
      </w:r>
    </w:p>
    <w:p>
      <w:pPr>
        <w:numPr>
          <w:ilvl w:val="0"/>
          <w:numId w:val="1"/>
        </w:numPr>
        <w:spacing w:line="240" w:lineRule="auto"/>
        <w:ind w:firstLine="640" w:firstLineChars="200"/>
        <w:jc w:val="left"/>
        <w:outlineLvl w:val="0"/>
        <w:rPr>
          <w:rFonts w:hint="eastAsia" w:ascii="宋体" w:hAnsi="宋体" w:eastAsia="仿宋_GB2312" w:cs="宋体"/>
          <w:color w:val="auto"/>
          <w:sz w:val="32"/>
          <w:szCs w:val="32"/>
          <w:highlight w:val="none"/>
        </w:rPr>
      </w:pPr>
      <w:r>
        <w:rPr>
          <w:rFonts w:hint="eastAsia" w:ascii="宋体" w:hAnsi="宋体" w:eastAsia="仿宋_GB2312" w:cs="宋体"/>
          <w:color w:val="auto"/>
          <w:sz w:val="32"/>
          <w:szCs w:val="32"/>
          <w:highlight w:val="none"/>
        </w:rPr>
        <w:t>基本支出本年预算指标可用情况（单位：元）</w:t>
      </w:r>
    </w:p>
    <w:tbl>
      <w:tblPr>
        <w:tblStyle w:val="10"/>
        <w:tblW w:w="83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0"/>
        <w:gridCol w:w="1850"/>
        <w:gridCol w:w="1850"/>
        <w:gridCol w:w="2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预算项目</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本年预算</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本年追加</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本年可用指标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工资福利支出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3866530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565357.68</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4431887.68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商品和服务支出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474700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eastAsia="zh-CN"/>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474700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对个人和家庭补助</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3800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 计</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eastAsia="zh-CN"/>
              </w:rPr>
            </w:pPr>
            <w:r>
              <w:rPr>
                <w:rFonts w:hint="eastAsia" w:ascii="仿宋" w:hAnsi="仿宋" w:eastAsia="仿宋" w:cs="仿宋"/>
                <w:b/>
                <w:bCs/>
                <w:i w:val="0"/>
                <w:iCs w:val="0"/>
                <w:color w:val="000000"/>
                <w:sz w:val="21"/>
                <w:szCs w:val="21"/>
                <w:u w:val="none"/>
                <w:lang w:val="en-US" w:eastAsia="zh-CN"/>
              </w:rPr>
              <w:t>4345030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eastAsia="zh-CN"/>
              </w:rPr>
            </w:pPr>
            <w:r>
              <w:rPr>
                <w:rFonts w:hint="eastAsia" w:ascii="仿宋" w:hAnsi="仿宋" w:eastAsia="仿宋" w:cs="仿宋"/>
                <w:b/>
                <w:bCs/>
                <w:i w:val="0"/>
                <w:iCs w:val="0"/>
                <w:color w:val="000000"/>
                <w:sz w:val="21"/>
                <w:szCs w:val="21"/>
                <w:u w:val="none"/>
                <w:lang w:val="en-US" w:eastAsia="zh-CN"/>
              </w:rPr>
              <w:t>565357.68</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4910387.68</w:t>
            </w:r>
          </w:p>
        </w:tc>
      </w:tr>
    </w:tbl>
    <w:p>
      <w:pPr>
        <w:pStyle w:val="3"/>
        <w:numPr>
          <w:ilvl w:val="0"/>
          <w:numId w:val="0"/>
        </w:numPr>
        <w:spacing w:after="0"/>
      </w:pPr>
    </w:p>
    <w:p>
      <w:pPr>
        <w:numPr>
          <w:ilvl w:val="0"/>
          <w:numId w:val="0"/>
        </w:numPr>
        <w:spacing w:line="240" w:lineRule="auto"/>
        <w:ind w:leftChars="0" w:firstLine="640" w:firstLineChars="20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2、</w:t>
      </w:r>
      <w:r>
        <w:rPr>
          <w:rFonts w:hint="eastAsia" w:ascii="仿宋_GB2312" w:hAnsi="宋体" w:eastAsia="仿宋_GB2312" w:cs="宋体"/>
          <w:color w:val="auto"/>
          <w:sz w:val="32"/>
          <w:szCs w:val="32"/>
          <w:highlight w:val="none"/>
        </w:rPr>
        <w:t>本年基本支出预算执行情况（单位：元）</w:t>
      </w:r>
    </w:p>
    <w:tbl>
      <w:tblPr>
        <w:tblStyle w:val="10"/>
        <w:tblW w:w="8586" w:type="dxa"/>
        <w:tblInd w:w="0" w:type="dxa"/>
        <w:tblLayout w:type="fixed"/>
        <w:tblCellMar>
          <w:top w:w="0" w:type="dxa"/>
          <w:left w:w="108" w:type="dxa"/>
          <w:bottom w:w="0" w:type="dxa"/>
          <w:right w:w="108" w:type="dxa"/>
        </w:tblCellMar>
      </w:tblPr>
      <w:tblGrid>
        <w:gridCol w:w="2506"/>
        <w:gridCol w:w="1755"/>
        <w:gridCol w:w="1725"/>
        <w:gridCol w:w="1450"/>
        <w:gridCol w:w="1150"/>
      </w:tblGrid>
      <w:tr>
        <w:tblPrEx>
          <w:tblCellMar>
            <w:top w:w="0" w:type="dxa"/>
            <w:left w:w="108" w:type="dxa"/>
            <w:bottom w:w="0" w:type="dxa"/>
            <w:right w:w="108" w:type="dxa"/>
          </w:tblCellMar>
        </w:tblPrEx>
        <w:trPr>
          <w:trHeight w:val="656" w:hRule="atLeast"/>
        </w:trPr>
        <w:tc>
          <w:tcPr>
            <w:tcW w:w="250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预算项目</w:t>
            </w:r>
          </w:p>
        </w:tc>
        <w:tc>
          <w:tcPr>
            <w:tcW w:w="175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预算可用指标</w:t>
            </w:r>
          </w:p>
        </w:tc>
        <w:tc>
          <w:tcPr>
            <w:tcW w:w="172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本年决算金额</w:t>
            </w:r>
          </w:p>
        </w:tc>
        <w:tc>
          <w:tcPr>
            <w:tcW w:w="14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差额</w:t>
            </w:r>
          </w:p>
        </w:tc>
        <w:tc>
          <w:tcPr>
            <w:tcW w:w="11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default" w:cs="宋体" w:asciiTheme="majorEastAsia" w:hAnsiTheme="majorEastAsia" w:eastAsiaTheme="majorEastAsia"/>
                <w:b/>
                <w:color w:val="auto"/>
                <w:kern w:val="0"/>
                <w:sz w:val="24"/>
                <w:szCs w:val="28"/>
                <w:highlight w:val="none"/>
                <w:lang w:val="en-US" w:eastAsia="zh-CN"/>
              </w:rPr>
            </w:pPr>
            <w:r>
              <w:rPr>
                <w:rFonts w:hint="eastAsia" w:cs="宋体" w:asciiTheme="majorEastAsia" w:hAnsiTheme="majorEastAsia" w:eastAsiaTheme="majorEastAsia"/>
                <w:b/>
                <w:color w:val="auto"/>
                <w:kern w:val="0"/>
                <w:sz w:val="24"/>
                <w:szCs w:val="28"/>
                <w:highlight w:val="none"/>
                <w:lang w:eastAsia="zh-CN"/>
              </w:rPr>
              <w:t>预算执行率（</w:t>
            </w:r>
            <w:r>
              <w:rPr>
                <w:rFonts w:hint="eastAsia" w:cs="宋体" w:asciiTheme="majorEastAsia" w:hAnsiTheme="majorEastAsia" w:eastAsiaTheme="majorEastAsia"/>
                <w:b/>
                <w:color w:val="auto"/>
                <w:kern w:val="0"/>
                <w:sz w:val="24"/>
                <w:szCs w:val="28"/>
                <w:highlight w:val="none"/>
                <w:lang w:val="en-US" w:eastAsia="zh-CN"/>
              </w:rPr>
              <w:t>%）</w:t>
            </w:r>
          </w:p>
        </w:tc>
      </w:tr>
      <w:tr>
        <w:tblPrEx>
          <w:tblCellMar>
            <w:top w:w="0" w:type="dxa"/>
            <w:left w:w="108" w:type="dxa"/>
            <w:bottom w:w="0" w:type="dxa"/>
            <w:right w:w="108" w:type="dxa"/>
          </w:tblCellMar>
        </w:tblPrEx>
        <w:trPr>
          <w:trHeight w:val="54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工资福利支出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4431887.68</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4166682.76</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265204.92</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94.01%</w:t>
            </w:r>
          </w:p>
        </w:tc>
      </w:tr>
      <w:tr>
        <w:tblPrEx>
          <w:tblCellMar>
            <w:top w:w="0" w:type="dxa"/>
            <w:left w:w="108" w:type="dxa"/>
            <w:bottom w:w="0" w:type="dxa"/>
            <w:right w:w="108" w:type="dxa"/>
          </w:tblCellMar>
        </w:tblPrEx>
        <w:trPr>
          <w:trHeight w:val="490"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商品和服务支出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474700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538137.45</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-63437.45</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111.94%</w:t>
            </w:r>
          </w:p>
        </w:tc>
      </w:tr>
      <w:tr>
        <w:tblPrEx>
          <w:tblCellMar>
            <w:top w:w="0" w:type="dxa"/>
            <w:left w:w="108" w:type="dxa"/>
            <w:bottom w:w="0" w:type="dxa"/>
            <w:right w:w="108" w:type="dxa"/>
          </w:tblCellMar>
        </w:tblPrEx>
        <w:trPr>
          <w:trHeight w:val="50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对个人和家庭补助</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3800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3920</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-120</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103%</w:t>
            </w:r>
          </w:p>
        </w:tc>
      </w:tr>
      <w:tr>
        <w:tblPrEx>
          <w:tblCellMar>
            <w:top w:w="0" w:type="dxa"/>
            <w:left w:w="108" w:type="dxa"/>
            <w:bottom w:w="0" w:type="dxa"/>
            <w:right w:w="108" w:type="dxa"/>
          </w:tblCellMar>
        </w:tblPrEx>
        <w:trPr>
          <w:trHeight w:val="527"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合 计</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i w:val="0"/>
                <w:iCs w:val="0"/>
                <w:color w:val="000000"/>
                <w:kern w:val="0"/>
                <w:sz w:val="21"/>
                <w:szCs w:val="21"/>
                <w:u w:val="none"/>
                <w:lang w:val="en-US" w:eastAsia="zh-CN" w:bidi="ar"/>
              </w:rPr>
              <w:t>4910387.68</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4708740.21</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201647.47</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96.01%</w:t>
            </w:r>
          </w:p>
        </w:tc>
      </w:tr>
    </w:tbl>
    <w:p>
      <w:pPr>
        <w:numPr>
          <w:ilvl w:val="0"/>
          <w:numId w:val="0"/>
        </w:numPr>
        <w:spacing w:line="520" w:lineRule="exact"/>
        <w:ind w:left="630" w:leftChars="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3、</w:t>
      </w:r>
      <w:r>
        <w:rPr>
          <w:rFonts w:hint="eastAsia" w:ascii="仿宋_GB2312" w:hAnsi="宋体" w:eastAsia="仿宋_GB2312" w:cs="宋体"/>
          <w:color w:val="auto"/>
          <w:sz w:val="32"/>
          <w:szCs w:val="32"/>
          <w:highlight w:val="none"/>
        </w:rPr>
        <w:t>“三公”经费预算</w:t>
      </w:r>
      <w:r>
        <w:rPr>
          <w:rFonts w:hint="eastAsia" w:ascii="仿宋_GB2312" w:hAnsi="宋体" w:eastAsia="仿宋_GB2312" w:cs="宋体"/>
          <w:color w:val="auto"/>
          <w:sz w:val="32"/>
          <w:szCs w:val="32"/>
          <w:highlight w:val="none"/>
          <w:lang w:eastAsia="zh-CN"/>
        </w:rPr>
        <w:t>执行</w:t>
      </w:r>
      <w:r>
        <w:rPr>
          <w:rFonts w:hint="eastAsia" w:ascii="仿宋_GB2312" w:hAnsi="宋体" w:eastAsia="仿宋_GB2312" w:cs="宋体"/>
          <w:color w:val="auto"/>
          <w:sz w:val="32"/>
          <w:szCs w:val="32"/>
          <w:highlight w:val="none"/>
        </w:rPr>
        <w:t>情况（单位：万元）</w:t>
      </w:r>
    </w:p>
    <w:tbl>
      <w:tblPr>
        <w:tblStyle w:val="11"/>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9"/>
        <w:gridCol w:w="2199"/>
        <w:gridCol w:w="2200"/>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费用项目</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决算金额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增加额（决</w:t>
            </w:r>
            <w:r>
              <w:rPr>
                <w:rFonts w:hint="eastAsia" w:cs="宋体" w:asciiTheme="majorEastAsia" w:hAnsiTheme="majorEastAsia" w:eastAsiaTheme="majorEastAsia"/>
                <w:b/>
                <w:color w:val="auto"/>
                <w:kern w:val="0"/>
                <w:sz w:val="24"/>
                <w:szCs w:val="28"/>
                <w:highlight w:val="none"/>
                <w:lang w:eastAsia="zh-CN"/>
              </w:rPr>
              <w:t>－</w:t>
            </w:r>
            <w:r>
              <w:rPr>
                <w:rFonts w:hint="eastAsia" w:cs="宋体" w:asciiTheme="majorEastAsia" w:hAnsiTheme="majorEastAsia" w:eastAsiaTheme="majorEastAsia"/>
                <w:b/>
                <w:color w:val="auto"/>
                <w:kern w:val="0"/>
                <w:sz w:val="24"/>
                <w:szCs w:val="28"/>
                <w:highlight w:val="none"/>
              </w:rPr>
              <w:t>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公务接待费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0.5</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0.13</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公车运行维护费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default"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bCs/>
                <w:color w:val="auto"/>
                <w:kern w:val="0"/>
                <w:sz w:val="24"/>
                <w:szCs w:val="28"/>
                <w:highlight w:val="none"/>
              </w:rPr>
            </w:pPr>
            <w:r>
              <w:rPr>
                <w:rFonts w:hint="eastAsia" w:cs="宋体" w:asciiTheme="majorEastAsia" w:hAnsiTheme="majorEastAsia" w:eastAsiaTheme="majorEastAsia"/>
                <w:b/>
                <w:bCs/>
                <w:color w:val="auto"/>
                <w:kern w:val="0"/>
                <w:sz w:val="24"/>
                <w:szCs w:val="28"/>
                <w:highlight w:val="none"/>
              </w:rPr>
              <w:t>合 计</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0.5</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8"/>
                <w:highlight w:val="none"/>
                <w:lang w:val="en-US" w:eastAsia="zh-CN"/>
              </w:rPr>
            </w:pPr>
            <w:r>
              <w:rPr>
                <w:rFonts w:hint="eastAsia" w:cs="宋体" w:asciiTheme="majorEastAsia" w:hAnsiTheme="majorEastAsia" w:eastAsiaTheme="majorEastAsia"/>
                <w:b/>
                <w:bCs/>
                <w:color w:val="auto"/>
                <w:kern w:val="0"/>
                <w:sz w:val="24"/>
                <w:szCs w:val="28"/>
                <w:highlight w:val="none"/>
                <w:lang w:val="en-US" w:eastAsia="zh-CN"/>
              </w:rPr>
              <w:t>0</w:t>
            </w:r>
          </w:p>
        </w:tc>
      </w:tr>
    </w:tbl>
    <w:p>
      <w:pPr>
        <w:numPr>
          <w:ilvl w:val="0"/>
          <w:numId w:val="0"/>
        </w:numPr>
        <w:spacing w:line="520" w:lineRule="exact"/>
        <w:jc w:val="left"/>
        <w:outlineLvl w:val="0"/>
        <w:rPr>
          <w:rFonts w:hint="eastAsia" w:ascii="仿宋_GB2312" w:hAnsi="宋体" w:eastAsia="仿宋_GB2312" w:cs="宋体"/>
          <w:b/>
          <w:color w:val="auto"/>
          <w:sz w:val="32"/>
          <w:szCs w:val="32"/>
          <w:highlight w:val="none"/>
          <w:lang w:eastAsia="zh-CN"/>
        </w:rPr>
      </w:pPr>
      <w:r>
        <w:rPr>
          <w:rFonts w:hint="eastAsia" w:ascii="仿宋_GB2312" w:hAnsi="宋体" w:eastAsia="仿宋_GB2312" w:cs="宋体"/>
          <w:b/>
          <w:color w:val="auto"/>
          <w:sz w:val="32"/>
          <w:szCs w:val="32"/>
          <w:highlight w:val="none"/>
          <w:lang w:eastAsia="zh-CN"/>
        </w:rPr>
        <w:t>（</w:t>
      </w:r>
      <w:r>
        <w:rPr>
          <w:rFonts w:hint="eastAsia" w:ascii="仿宋_GB2312" w:hAnsi="宋体" w:eastAsia="仿宋_GB2312" w:cs="宋体"/>
          <w:b/>
          <w:color w:val="auto"/>
          <w:sz w:val="32"/>
          <w:szCs w:val="32"/>
          <w:highlight w:val="none"/>
          <w:lang w:val="en-US" w:eastAsia="zh-CN"/>
        </w:rPr>
        <w:t>二</w:t>
      </w:r>
      <w:r>
        <w:rPr>
          <w:rFonts w:hint="eastAsia" w:ascii="仿宋_GB2312" w:hAnsi="宋体" w:eastAsia="仿宋_GB2312" w:cs="宋体"/>
          <w:b/>
          <w:color w:val="auto"/>
          <w:sz w:val="32"/>
          <w:szCs w:val="32"/>
          <w:highlight w:val="none"/>
          <w:lang w:eastAsia="zh-CN"/>
        </w:rPr>
        <w:t>）</w:t>
      </w:r>
      <w:r>
        <w:rPr>
          <w:rFonts w:hint="eastAsia" w:ascii="仿宋_GB2312" w:hAnsi="宋体" w:eastAsia="仿宋_GB2312" w:cs="宋体"/>
          <w:b/>
          <w:color w:val="auto"/>
          <w:sz w:val="32"/>
          <w:szCs w:val="32"/>
          <w:highlight w:val="none"/>
        </w:rPr>
        <w:t>项目支出预算执行情况</w:t>
      </w:r>
      <w:r>
        <w:rPr>
          <w:rFonts w:hint="eastAsia" w:ascii="仿宋_GB2312" w:hAnsi="宋体" w:eastAsia="仿宋_GB2312" w:cs="宋体"/>
          <w:b/>
          <w:color w:val="auto"/>
          <w:sz w:val="32"/>
          <w:szCs w:val="32"/>
          <w:highlight w:val="none"/>
          <w:lang w:eastAsia="zh-CN"/>
        </w:rPr>
        <w:t>（明细见附表）</w:t>
      </w:r>
    </w:p>
    <w:p>
      <w:pPr>
        <w:numPr>
          <w:ilvl w:val="0"/>
          <w:numId w:val="0"/>
        </w:numPr>
        <w:spacing w:line="520" w:lineRule="exact"/>
        <w:ind w:firstLine="640" w:firstLineChars="200"/>
        <w:jc w:val="left"/>
        <w:outlineLvl w:val="0"/>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年初部门预算30万元以上项目无</w:t>
      </w:r>
    </w:p>
    <w:p>
      <w:pPr>
        <w:numPr>
          <w:ilvl w:val="0"/>
          <w:numId w:val="0"/>
        </w:numPr>
        <w:spacing w:line="520" w:lineRule="exact"/>
        <w:ind w:firstLine="643" w:firstLineChars="200"/>
        <w:jc w:val="left"/>
        <w:outlineLvl w:val="0"/>
        <w:rPr>
          <w:rFonts w:hint="eastAsia"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四、</w:t>
      </w:r>
      <w:r>
        <w:rPr>
          <w:rFonts w:hint="eastAsia" w:asciiTheme="majorEastAsia" w:hAnsiTheme="majorEastAsia" w:eastAsiaTheme="majorEastAsia"/>
          <w:b/>
          <w:bCs/>
          <w:sz w:val="32"/>
          <w:szCs w:val="32"/>
        </w:rPr>
        <w:t>部门整体支出绩效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val="0"/>
          <w:kern w:val="44"/>
          <w:sz w:val="32"/>
          <w:szCs w:val="32"/>
          <w:lang w:val="en-US" w:eastAsia="zh-CN" w:bidi="ar"/>
        </w:rPr>
      </w:pPr>
      <w:r>
        <w:rPr>
          <w:rFonts w:hint="eastAsia" w:ascii="楷体_GB2312" w:hAnsi="楷体_GB2312" w:eastAsia="楷体_GB2312" w:cs="楷体_GB2312"/>
          <w:b/>
          <w:bCs w:val="0"/>
          <w:kern w:val="44"/>
          <w:sz w:val="32"/>
          <w:szCs w:val="32"/>
          <w:lang w:val="en-US" w:eastAsia="zh-CN" w:bidi="ar"/>
        </w:rPr>
        <w:t>（一）</w:t>
      </w:r>
      <w:r>
        <w:rPr>
          <w:rFonts w:hint="default" w:ascii="楷体_GB2312" w:hAnsi="楷体_GB2312" w:eastAsia="楷体_GB2312" w:cs="楷体_GB2312"/>
          <w:b/>
          <w:bCs w:val="0"/>
          <w:kern w:val="44"/>
          <w:sz w:val="32"/>
          <w:szCs w:val="32"/>
          <w:lang w:val="en-US" w:eastAsia="zh-CN" w:bidi="ar"/>
        </w:rPr>
        <w:t>突出质量，狠抓进度，高标准农田建设稳步实施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eastAsia" w:ascii="Times New Roman" w:hAnsi="Times New Roman" w:eastAsia="仿宋_GB2312" w:cs="Times New Roman"/>
          <w:b/>
          <w:bCs w:val="0"/>
          <w:kern w:val="44"/>
          <w:sz w:val="32"/>
          <w:szCs w:val="32"/>
          <w:lang w:val="en-US" w:eastAsia="zh-CN" w:bidi="ar"/>
        </w:rPr>
        <w:t>1.</w:t>
      </w:r>
      <w:r>
        <w:rPr>
          <w:rFonts w:hint="default" w:ascii="Times New Roman" w:hAnsi="Times New Roman" w:eastAsia="仿宋_GB2312" w:cs="Times New Roman"/>
          <w:b/>
          <w:bCs w:val="0"/>
          <w:kern w:val="44"/>
          <w:sz w:val="32"/>
          <w:szCs w:val="32"/>
          <w:lang w:val="en-US" w:eastAsia="zh-CN" w:bidi="ar"/>
        </w:rPr>
        <w:t>全面完成2023年度高标项目验收。</w:t>
      </w:r>
      <w:r>
        <w:rPr>
          <w:rFonts w:hint="default" w:ascii="Times New Roman" w:hAnsi="Times New Roman" w:eastAsia="仿宋_GB2312" w:cs="Times New Roman"/>
          <w:b w:val="0"/>
          <w:bCs/>
          <w:kern w:val="44"/>
          <w:sz w:val="32"/>
          <w:szCs w:val="32"/>
          <w:lang w:val="en-US" w:eastAsia="zh-CN" w:bidi="ar"/>
        </w:rPr>
        <w:t>2023年指标任务6.66万亩，总投资</w:t>
      </w:r>
      <w:r>
        <w:rPr>
          <w:rFonts w:hint="eastAsia" w:ascii="Times New Roman" w:hAnsi="Times New Roman" w:eastAsia="仿宋_GB2312" w:cs="Times New Roman"/>
          <w:b w:val="0"/>
          <w:bCs/>
          <w:kern w:val="44"/>
          <w:sz w:val="32"/>
          <w:szCs w:val="32"/>
          <w:lang w:val="en-US" w:eastAsia="zh-CN" w:bidi="ar"/>
        </w:rPr>
        <w:t>13575</w:t>
      </w:r>
      <w:r>
        <w:rPr>
          <w:rFonts w:hint="default" w:ascii="Times New Roman" w:hAnsi="Times New Roman" w:eastAsia="仿宋_GB2312" w:cs="Times New Roman"/>
          <w:b w:val="0"/>
          <w:bCs/>
          <w:kern w:val="44"/>
          <w:sz w:val="32"/>
          <w:szCs w:val="32"/>
          <w:lang w:val="en-US" w:eastAsia="zh-CN" w:bidi="ar"/>
        </w:rPr>
        <w:t>万元，项目于2023年10月开工，2024年5月完成县级验收。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eastAsia" w:ascii="Times New Roman" w:hAnsi="Times New Roman" w:eastAsia="仿宋_GB2312" w:cs="Times New Roman"/>
          <w:b/>
          <w:bCs w:val="0"/>
          <w:kern w:val="44"/>
          <w:sz w:val="32"/>
          <w:szCs w:val="32"/>
          <w:lang w:val="en-US" w:eastAsia="zh-CN" w:bidi="ar"/>
        </w:rPr>
        <w:t>2.</w:t>
      </w:r>
      <w:r>
        <w:rPr>
          <w:rFonts w:hint="default" w:ascii="Times New Roman" w:hAnsi="Times New Roman" w:eastAsia="仿宋_GB2312" w:cs="Times New Roman"/>
          <w:b/>
          <w:bCs w:val="0"/>
          <w:kern w:val="44"/>
          <w:sz w:val="32"/>
          <w:szCs w:val="32"/>
          <w:lang w:val="en-US" w:eastAsia="zh-CN" w:bidi="ar"/>
        </w:rPr>
        <w:t>全力推进2024年度高标项目。</w:t>
      </w:r>
      <w:r>
        <w:rPr>
          <w:rFonts w:hint="default" w:ascii="Times New Roman" w:hAnsi="Times New Roman" w:eastAsia="仿宋_GB2312" w:cs="Times New Roman"/>
          <w:b w:val="0"/>
          <w:bCs/>
          <w:kern w:val="44"/>
          <w:sz w:val="32"/>
          <w:szCs w:val="32"/>
          <w:lang w:val="en-US" w:eastAsia="zh-CN" w:bidi="ar"/>
        </w:rPr>
        <w:t>2024年建设高标准农田3.44万亩，财政总投资12546万元。其中增发国债高标项目2.4万亩已竣工验收，中央预算内高标准农田项目1.04万亩正在建设中，目前已完成主体工程的90％以上，所有标段年前均可完成主体工程任务，较计划工期提前两个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eastAsia" w:ascii="Times New Roman" w:hAnsi="Times New Roman" w:eastAsia="仿宋_GB2312" w:cs="Times New Roman"/>
          <w:b/>
          <w:bCs w:val="0"/>
          <w:kern w:val="44"/>
          <w:sz w:val="32"/>
          <w:szCs w:val="32"/>
          <w:lang w:val="en-US" w:eastAsia="zh-CN" w:bidi="ar"/>
        </w:rPr>
        <w:t>3.</w:t>
      </w:r>
      <w:r>
        <w:rPr>
          <w:rFonts w:hint="default" w:ascii="Times New Roman" w:hAnsi="Times New Roman" w:eastAsia="仿宋_GB2312" w:cs="Times New Roman"/>
          <w:b/>
          <w:bCs w:val="0"/>
          <w:kern w:val="44"/>
          <w:sz w:val="32"/>
          <w:szCs w:val="32"/>
          <w:lang w:val="en-US" w:eastAsia="zh-CN" w:bidi="ar"/>
        </w:rPr>
        <w:t>积极申报来年项目。</w:t>
      </w:r>
      <w:r>
        <w:rPr>
          <w:rFonts w:hint="default" w:ascii="Times New Roman" w:hAnsi="Times New Roman" w:eastAsia="仿宋_GB2312" w:cs="Times New Roman"/>
          <w:b w:val="0"/>
          <w:bCs/>
          <w:kern w:val="44"/>
          <w:sz w:val="32"/>
          <w:szCs w:val="32"/>
          <w:lang w:val="en-US" w:eastAsia="zh-CN" w:bidi="ar"/>
        </w:rPr>
        <w:t>申报2025年高标项目10万亩，总投资2.8亿元，目前待上级批复。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val="0"/>
          <w:kern w:val="44"/>
          <w:sz w:val="32"/>
          <w:szCs w:val="32"/>
          <w:lang w:val="en-US" w:eastAsia="zh-CN" w:bidi="ar"/>
        </w:rPr>
      </w:pPr>
      <w:r>
        <w:rPr>
          <w:rFonts w:hint="default" w:ascii="楷体_GB2312" w:hAnsi="楷体_GB2312" w:eastAsia="楷体_GB2312" w:cs="楷体_GB2312"/>
          <w:b/>
          <w:bCs w:val="0"/>
          <w:kern w:val="44"/>
          <w:sz w:val="32"/>
          <w:szCs w:val="32"/>
          <w:lang w:val="en-US" w:eastAsia="zh-CN" w:bidi="ar"/>
        </w:rPr>
        <w:t>（二）压实责任，聚势赋能，村集体经济发展工作强力推进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bCs w:val="0"/>
          <w:kern w:val="44"/>
          <w:sz w:val="32"/>
          <w:szCs w:val="32"/>
          <w:lang w:val="en-US" w:eastAsia="zh-CN" w:bidi="ar"/>
        </w:rPr>
        <w:t>1.指导村集体经济发展。</w:t>
      </w:r>
      <w:r>
        <w:rPr>
          <w:rFonts w:hint="default" w:ascii="Times New Roman" w:hAnsi="Times New Roman" w:eastAsia="仿宋_GB2312" w:cs="Times New Roman"/>
          <w:b w:val="0"/>
          <w:bCs/>
          <w:kern w:val="44"/>
          <w:sz w:val="32"/>
          <w:szCs w:val="32"/>
          <w:lang w:val="en-US" w:eastAsia="zh-CN" w:bidi="ar"/>
        </w:rPr>
        <w:t>指导镇村因地制宜，采取“一村一策”的方式制定村级集体经济发展计划，鼓励有条件的村根据区域、历史、资源等条件，利用特色小镇、美丽乡村、现代农业园等载体，吸引投资发展产业，不断创新村级集体经济发展路径。2024年全县320个行政村集体经济经营性收入总额为5284.6万元，均达到5万元以上。其中50万—100万元村12个，100万元以上村8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bCs w:val="0"/>
          <w:kern w:val="44"/>
          <w:sz w:val="32"/>
          <w:szCs w:val="32"/>
          <w:lang w:val="en-US" w:eastAsia="zh-CN" w:bidi="ar"/>
        </w:rPr>
        <w:t>2.开展农村产权流转交易规范化试点。</w:t>
      </w:r>
      <w:r>
        <w:rPr>
          <w:rFonts w:hint="default" w:ascii="Times New Roman" w:hAnsi="Times New Roman" w:eastAsia="仿宋_GB2312" w:cs="Times New Roman"/>
          <w:b w:val="0"/>
          <w:bCs/>
          <w:kern w:val="44"/>
          <w:sz w:val="32"/>
          <w:szCs w:val="32"/>
          <w:lang w:val="en-US" w:eastAsia="zh-CN" w:bidi="ar"/>
        </w:rPr>
        <w:t>率先融合农交中心数字平台推行“三资”系统，初步实现了农村集体“三资”交易“应进必进”，农村产权交易与农村“三资”数据实时更新。制定《湘潭县农村集体产权交易规则和涉农建设项目招标投标管理办法》，建立健全相关管理流程图和处置流程图。全县累计完成各类农村产权挂牌470笔，挂牌金额4.3亿元，累计成交372笔，累计成交金额2.67亿元；完成农村产权抵质押贷款7笔，累计放款619.9万元。6月份，首笔退草还耕整治项目进场交易成功；12月份，首宗集体经营性建设用地网上挂牌成功出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bCs w:val="0"/>
          <w:kern w:val="44"/>
          <w:sz w:val="32"/>
          <w:szCs w:val="32"/>
          <w:lang w:val="en-US" w:eastAsia="zh-CN" w:bidi="ar"/>
        </w:rPr>
        <w:t>3.防范村级债务风险。</w:t>
      </w:r>
      <w:r>
        <w:rPr>
          <w:rFonts w:hint="default" w:ascii="Times New Roman" w:hAnsi="Times New Roman" w:eastAsia="仿宋_GB2312" w:cs="Times New Roman"/>
          <w:b w:val="0"/>
          <w:bCs/>
          <w:kern w:val="44"/>
          <w:sz w:val="32"/>
          <w:szCs w:val="32"/>
          <w:lang w:val="en-US" w:eastAsia="zh-CN" w:bidi="ar"/>
        </w:rPr>
        <w:t>制定《湘潭县加强村级债务风险防控的指导意见》，进行村级债务风险评估测算</w:t>
      </w:r>
      <w:r>
        <w:rPr>
          <w:rFonts w:hint="eastAsia" w:ascii="Times New Roman" w:hAnsi="Times New Roman" w:eastAsia="仿宋_GB2312" w:cs="Times New Roman"/>
          <w:b w:val="0"/>
          <w:bCs/>
          <w:kern w:val="44"/>
          <w:sz w:val="32"/>
          <w:szCs w:val="32"/>
          <w:lang w:val="en-US" w:eastAsia="zh-CN" w:bidi="ar"/>
        </w:rPr>
        <w:t>，</w:t>
      </w:r>
      <w:r>
        <w:rPr>
          <w:rFonts w:hint="default" w:ascii="Times New Roman" w:hAnsi="Times New Roman" w:eastAsia="仿宋_GB2312" w:cs="Times New Roman"/>
          <w:b w:val="0"/>
          <w:bCs/>
          <w:kern w:val="44"/>
          <w:sz w:val="32"/>
          <w:szCs w:val="32"/>
          <w:lang w:val="en-US" w:eastAsia="zh-CN" w:bidi="ar"/>
        </w:rPr>
        <w:t>指导乡镇对红色风险村制定化解台账。2023年涉及11个乡镇22个红色风险村村级债务余额合计2657.5万元，截至2024年12月底，22个红色风险村村级债务余额1804.1万元，成功化解853.4万元。对石潭镇开展村级债务化解试点，指导石潭镇制定《石潭镇村级债务化解工作实施方案》，核销历史遗留的长期挂账债务326万元。目前石潭镇村级债务化解经验做法正被其他乡镇借鉴和推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val="0"/>
          <w:kern w:val="44"/>
          <w:sz w:val="32"/>
          <w:szCs w:val="32"/>
          <w:lang w:val="en-US" w:eastAsia="zh-CN" w:bidi="ar"/>
        </w:rPr>
      </w:pPr>
      <w:r>
        <w:rPr>
          <w:rFonts w:hint="default" w:ascii="楷体_GB2312" w:hAnsi="楷体_GB2312" w:eastAsia="楷体_GB2312" w:cs="楷体_GB2312"/>
          <w:b/>
          <w:bCs w:val="0"/>
          <w:kern w:val="44"/>
          <w:sz w:val="32"/>
          <w:szCs w:val="32"/>
          <w:lang w:val="en-US" w:eastAsia="zh-CN" w:bidi="ar"/>
        </w:rPr>
        <w:t>（三）加强指导，主动作为，农业发展改革工作有序推进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bCs w:val="0"/>
          <w:kern w:val="44"/>
          <w:sz w:val="32"/>
          <w:szCs w:val="32"/>
          <w:lang w:val="en-US" w:eastAsia="zh-CN" w:bidi="ar"/>
        </w:rPr>
        <w:t>1.</w:t>
      </w:r>
      <w:r>
        <w:rPr>
          <w:rFonts w:hint="default" w:ascii="Times New Roman" w:hAnsi="Times New Roman" w:eastAsia="仿宋_GB2312" w:cs="Times New Roman"/>
          <w:b/>
          <w:bCs w:val="0"/>
          <w:kern w:val="44"/>
          <w:sz w:val="32"/>
          <w:szCs w:val="32"/>
          <w:lang w:val="en" w:eastAsia="zh-CN" w:bidi="ar"/>
        </w:rPr>
        <w:t>启动二轮延包试点。</w:t>
      </w:r>
      <w:r>
        <w:rPr>
          <w:rFonts w:hint="default" w:ascii="Times New Roman" w:hAnsi="Times New Roman" w:eastAsia="仿宋_GB2312" w:cs="Times New Roman"/>
          <w:b w:val="0"/>
          <w:bCs/>
          <w:kern w:val="44"/>
          <w:sz w:val="32"/>
          <w:szCs w:val="32"/>
          <w:lang w:val="en-US" w:eastAsia="zh-CN" w:bidi="ar"/>
        </w:rPr>
        <w:t>第二轮土地承包到期后再延长30年是党中央作出的重大决策部署，关系到国家的长治久安。10月份，建立县二轮延包试点工作联席会议制度，农发中心负责二轮延包的具体业务工作。</w:t>
      </w:r>
      <w:r>
        <w:rPr>
          <w:rFonts w:hint="default" w:ascii="Times New Roman" w:hAnsi="Times New Roman" w:eastAsia="仿宋_GB2312" w:cs="Times New Roman"/>
          <w:b w:val="0"/>
          <w:bCs/>
          <w:kern w:val="44"/>
          <w:sz w:val="32"/>
          <w:szCs w:val="32"/>
          <w:lang w:val="en" w:eastAsia="zh-CN" w:bidi="ar"/>
        </w:rPr>
        <w:t>选取锦石乡碧泉村作为实施</w:t>
      </w:r>
      <w:r>
        <w:rPr>
          <w:rFonts w:hint="default" w:ascii="Times New Roman" w:hAnsi="Times New Roman" w:eastAsia="仿宋_GB2312" w:cs="Times New Roman"/>
          <w:b w:val="0"/>
          <w:bCs/>
          <w:kern w:val="44"/>
          <w:sz w:val="32"/>
          <w:szCs w:val="32"/>
          <w:lang w:val="en-US" w:eastAsia="zh-CN" w:bidi="ar"/>
        </w:rPr>
        <w:t>二轮延包</w:t>
      </w:r>
      <w:r>
        <w:rPr>
          <w:rFonts w:hint="default" w:ascii="Times New Roman" w:hAnsi="Times New Roman" w:eastAsia="仿宋_GB2312" w:cs="Times New Roman"/>
          <w:b w:val="0"/>
          <w:bCs/>
          <w:kern w:val="44"/>
          <w:sz w:val="32"/>
          <w:szCs w:val="32"/>
          <w:lang w:val="en" w:eastAsia="zh-CN" w:bidi="ar"/>
        </w:rPr>
        <w:t>试点，</w:t>
      </w:r>
      <w:r>
        <w:rPr>
          <w:rFonts w:hint="default" w:ascii="Times New Roman" w:hAnsi="Times New Roman" w:eastAsia="仿宋_GB2312" w:cs="Times New Roman"/>
          <w:b w:val="0"/>
          <w:bCs/>
          <w:kern w:val="44"/>
          <w:sz w:val="32"/>
          <w:szCs w:val="32"/>
          <w:lang w:val="en-US" w:eastAsia="zh-CN" w:bidi="ar"/>
        </w:rPr>
        <w:t>目前</w:t>
      </w:r>
      <w:r>
        <w:rPr>
          <w:rFonts w:hint="default" w:ascii="Times New Roman" w:hAnsi="Times New Roman" w:eastAsia="仿宋_GB2312" w:cs="Times New Roman"/>
          <w:b w:val="0"/>
          <w:bCs/>
          <w:kern w:val="44"/>
          <w:sz w:val="32"/>
          <w:szCs w:val="32"/>
          <w:lang w:val="en" w:eastAsia="zh-CN" w:bidi="ar"/>
        </w:rPr>
        <w:t>摸底工作基本完成，第三方技术公司正在</w:t>
      </w:r>
      <w:r>
        <w:rPr>
          <w:rFonts w:hint="default" w:ascii="Times New Roman" w:hAnsi="Times New Roman" w:eastAsia="仿宋_GB2312" w:cs="Times New Roman"/>
          <w:b w:val="0"/>
          <w:bCs/>
          <w:kern w:val="44"/>
          <w:sz w:val="32"/>
          <w:szCs w:val="32"/>
          <w:lang w:val="en-US" w:eastAsia="zh-CN" w:bidi="ar"/>
        </w:rPr>
        <w:t>开展</w:t>
      </w:r>
      <w:r>
        <w:rPr>
          <w:rFonts w:hint="default" w:ascii="Times New Roman" w:hAnsi="Times New Roman" w:eastAsia="仿宋_GB2312" w:cs="Times New Roman"/>
          <w:b w:val="0"/>
          <w:bCs/>
          <w:kern w:val="44"/>
          <w:sz w:val="32"/>
          <w:szCs w:val="32"/>
          <w:lang w:val="en" w:eastAsia="zh-CN" w:bidi="ar"/>
        </w:rPr>
        <w:t>测绘工作，部分村组已</w:t>
      </w:r>
      <w:r>
        <w:rPr>
          <w:rFonts w:hint="default" w:ascii="Times New Roman" w:hAnsi="Times New Roman" w:eastAsia="仿宋_GB2312" w:cs="Times New Roman"/>
          <w:b w:val="0"/>
          <w:bCs/>
          <w:kern w:val="44"/>
          <w:sz w:val="32"/>
          <w:szCs w:val="32"/>
          <w:lang w:val="en-US" w:eastAsia="zh-CN" w:bidi="ar"/>
        </w:rPr>
        <w:t>完成</w:t>
      </w:r>
      <w:r>
        <w:rPr>
          <w:rFonts w:hint="default" w:ascii="Times New Roman" w:hAnsi="Times New Roman" w:eastAsia="仿宋_GB2312" w:cs="Times New Roman"/>
          <w:b w:val="0"/>
          <w:bCs/>
          <w:kern w:val="44"/>
          <w:sz w:val="32"/>
          <w:szCs w:val="32"/>
          <w:lang w:val="en" w:eastAsia="zh-CN" w:bidi="ar"/>
        </w:rPr>
        <w:t>公示</w:t>
      </w:r>
      <w:r>
        <w:rPr>
          <w:rFonts w:hint="default" w:ascii="Times New Roman" w:hAnsi="Times New Roman" w:eastAsia="仿宋_GB2312" w:cs="Times New Roman"/>
          <w:b w:val="0"/>
          <w:bCs/>
          <w:kern w:val="44"/>
          <w:sz w:val="32"/>
          <w:szCs w:val="32"/>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bCs w:val="0"/>
          <w:kern w:val="44"/>
          <w:sz w:val="32"/>
          <w:szCs w:val="32"/>
          <w:lang w:val="en-US" w:eastAsia="zh-CN" w:bidi="ar"/>
        </w:rPr>
        <w:t>2.加强新型经营主体培育。</w:t>
      </w:r>
      <w:r>
        <w:rPr>
          <w:rFonts w:hint="default" w:ascii="Times New Roman" w:hAnsi="Times New Roman" w:eastAsia="仿宋_GB2312" w:cs="Times New Roman"/>
          <w:b w:val="0"/>
          <w:bCs/>
          <w:kern w:val="44"/>
          <w:sz w:val="32"/>
          <w:szCs w:val="32"/>
          <w:lang w:val="en-US" w:eastAsia="zh-CN" w:bidi="ar"/>
        </w:rPr>
        <w:t>2024年，争取中央资金128万元，支持7个合作社和11个家庭农场发展，争取市级农业保障资金62万元，支持9个合作社和10家家庭农场发展。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val="0"/>
          <w:kern w:val="44"/>
          <w:sz w:val="32"/>
          <w:szCs w:val="32"/>
          <w:lang w:val="en-US" w:eastAsia="zh-CN" w:bidi="ar"/>
        </w:rPr>
      </w:pPr>
      <w:r>
        <w:rPr>
          <w:rFonts w:hint="default" w:ascii="楷体_GB2312" w:hAnsi="楷体_GB2312" w:eastAsia="楷体_GB2312" w:cs="楷体_GB2312"/>
          <w:b/>
          <w:bCs w:val="0"/>
          <w:kern w:val="44"/>
          <w:sz w:val="32"/>
          <w:szCs w:val="32"/>
          <w:lang w:val="en-US" w:eastAsia="zh-CN" w:bidi="ar"/>
        </w:rPr>
        <w:t>（四）落实制度，强化监督，农民权益维护工作扎实开展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val="0"/>
          <w:bCs/>
          <w:kern w:val="44"/>
          <w:sz w:val="32"/>
          <w:szCs w:val="32"/>
          <w:lang w:val="en-US" w:eastAsia="zh-CN" w:bidi="ar"/>
        </w:rPr>
        <w:t>督促乡镇和相关单位对</w:t>
      </w:r>
      <w:r>
        <w:rPr>
          <w:rFonts w:hint="default" w:ascii="Times New Roman" w:hAnsi="Times New Roman" w:eastAsia="仿宋_GB2312" w:cs="Times New Roman"/>
          <w:b w:val="0"/>
          <w:bCs/>
          <w:kern w:val="44"/>
          <w:sz w:val="32"/>
          <w:szCs w:val="32"/>
          <w:lang w:val="en" w:eastAsia="zh-CN" w:bidi="ar"/>
        </w:rPr>
        <w:t>2023年</w:t>
      </w:r>
      <w:r>
        <w:rPr>
          <w:rFonts w:hint="default" w:ascii="Times New Roman" w:hAnsi="Times New Roman" w:eastAsia="仿宋_GB2312" w:cs="Times New Roman"/>
          <w:b w:val="0"/>
          <w:bCs/>
          <w:kern w:val="44"/>
          <w:sz w:val="32"/>
          <w:szCs w:val="32"/>
          <w:lang w:val="en-US" w:eastAsia="zh-CN" w:bidi="ar"/>
        </w:rPr>
        <w:t>市减负检查发现的问题进行整改并向市农业农村局反馈整改情况。开展维权减负调研。参与三湘护农“三资”管理突出问题驻场“解剖麻雀”式检查。开展网上监督，通过网络平台检查村级组织订阅报刊和惠农资金到户情况等，切实维护农民的权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val="0"/>
          <w:kern w:val="44"/>
          <w:sz w:val="32"/>
          <w:szCs w:val="32"/>
          <w:lang w:val="en-US" w:eastAsia="zh-CN" w:bidi="ar"/>
        </w:rPr>
      </w:pPr>
      <w:r>
        <w:rPr>
          <w:rFonts w:hint="default" w:ascii="楷体_GB2312" w:hAnsi="楷体_GB2312" w:eastAsia="楷体_GB2312" w:cs="楷体_GB2312"/>
          <w:b/>
          <w:bCs w:val="0"/>
          <w:kern w:val="44"/>
          <w:sz w:val="32"/>
          <w:szCs w:val="32"/>
          <w:lang w:val="en-US" w:eastAsia="zh-CN" w:bidi="ar"/>
        </w:rPr>
        <w:t>（五）提高站位，瞄准目标，第三次全国土壤普查工作有力推进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kern w:val="44"/>
          <w:sz w:val="32"/>
          <w:szCs w:val="32"/>
          <w:lang w:val="en-US" w:eastAsia="zh-CN" w:bidi="ar"/>
        </w:rPr>
      </w:pPr>
      <w:r>
        <w:rPr>
          <w:rFonts w:hint="default" w:ascii="Times New Roman" w:hAnsi="Times New Roman" w:eastAsia="仿宋_GB2312" w:cs="Times New Roman"/>
          <w:b w:val="0"/>
          <w:bCs/>
          <w:kern w:val="44"/>
          <w:sz w:val="32"/>
          <w:szCs w:val="32"/>
          <w:lang w:val="en" w:eastAsia="zh-CN" w:bidi="ar"/>
        </w:rPr>
        <w:t>全面完成</w:t>
      </w:r>
      <w:r>
        <w:rPr>
          <w:rFonts w:hint="default" w:ascii="Times New Roman" w:hAnsi="Times New Roman" w:eastAsia="仿宋_GB2312" w:cs="Times New Roman"/>
          <w:b w:val="0"/>
          <w:bCs/>
          <w:kern w:val="44"/>
          <w:sz w:val="32"/>
          <w:szCs w:val="32"/>
          <w:lang w:val="en-US" w:eastAsia="zh-CN" w:bidi="ar"/>
        </w:rPr>
        <w:t>第三次全国土壤普查</w:t>
      </w:r>
      <w:r>
        <w:rPr>
          <w:rFonts w:hint="default" w:ascii="Times New Roman" w:hAnsi="Times New Roman" w:eastAsia="仿宋_GB2312" w:cs="Times New Roman"/>
          <w:b w:val="0"/>
          <w:bCs/>
          <w:kern w:val="44"/>
          <w:sz w:val="32"/>
          <w:szCs w:val="32"/>
          <w:lang w:val="en" w:eastAsia="zh-CN" w:bidi="ar"/>
        </w:rPr>
        <w:t>样品采集与调查工作</w:t>
      </w:r>
      <w:r>
        <w:rPr>
          <w:rFonts w:hint="eastAsia" w:ascii="Times New Roman" w:hAnsi="Times New Roman" w:eastAsia="仿宋_GB2312" w:cs="Times New Roman"/>
          <w:b w:val="0"/>
          <w:bCs/>
          <w:kern w:val="44"/>
          <w:sz w:val="32"/>
          <w:szCs w:val="32"/>
          <w:lang w:val="en" w:eastAsia="zh-CN" w:bidi="ar"/>
        </w:rPr>
        <w:t>，</w:t>
      </w:r>
      <w:r>
        <w:rPr>
          <w:rFonts w:hint="eastAsia" w:ascii="Times New Roman" w:hAnsi="Times New Roman" w:eastAsia="仿宋_GB2312" w:cs="Times New Roman"/>
          <w:b w:val="0"/>
          <w:bCs/>
          <w:kern w:val="44"/>
          <w:sz w:val="32"/>
          <w:szCs w:val="32"/>
          <w:lang w:val="en-US" w:eastAsia="zh-CN" w:bidi="ar"/>
        </w:rPr>
        <w:t>已通过省级</w:t>
      </w:r>
      <w:r>
        <w:rPr>
          <w:rFonts w:hint="default" w:ascii="Times New Roman" w:hAnsi="Times New Roman" w:eastAsia="仿宋_GB2312" w:cs="Times New Roman"/>
          <w:b w:val="0"/>
          <w:bCs/>
          <w:kern w:val="44"/>
          <w:sz w:val="32"/>
          <w:szCs w:val="32"/>
          <w:lang w:val="en" w:eastAsia="zh-CN" w:bidi="ar"/>
        </w:rPr>
        <w:t>验收，</w:t>
      </w:r>
      <w:r>
        <w:rPr>
          <w:rFonts w:hint="eastAsia" w:ascii="Times New Roman" w:hAnsi="Times New Roman" w:eastAsia="仿宋_GB2312" w:cs="Times New Roman"/>
          <w:b w:val="0"/>
          <w:bCs/>
          <w:kern w:val="44"/>
          <w:sz w:val="32"/>
          <w:szCs w:val="32"/>
          <w:lang w:val="en-US" w:eastAsia="zh-CN" w:bidi="ar"/>
        </w:rPr>
        <w:t>并获得优秀等次。</w:t>
      </w:r>
      <w:r>
        <w:rPr>
          <w:rFonts w:hint="default" w:ascii="Times New Roman" w:hAnsi="Times New Roman" w:eastAsia="仿宋_GB2312" w:cs="Times New Roman"/>
          <w:b w:val="0"/>
          <w:bCs/>
          <w:kern w:val="44"/>
          <w:sz w:val="32"/>
          <w:szCs w:val="32"/>
          <w:lang w:val="en" w:eastAsia="zh-CN" w:bidi="ar"/>
        </w:rPr>
        <w:t>内业检测已完成</w:t>
      </w:r>
      <w:r>
        <w:rPr>
          <w:rFonts w:hint="default" w:ascii="Times New Roman" w:hAnsi="Times New Roman" w:eastAsia="仿宋_GB2312" w:cs="Times New Roman"/>
          <w:b w:val="0"/>
          <w:bCs/>
          <w:kern w:val="44"/>
          <w:sz w:val="32"/>
          <w:szCs w:val="32"/>
          <w:lang w:val="en-US" w:eastAsia="zh-CN" w:bidi="ar"/>
        </w:rPr>
        <w:t>100％。数据分析</w:t>
      </w:r>
      <w:r>
        <w:rPr>
          <w:rFonts w:hint="eastAsia" w:ascii="Times New Roman" w:hAnsi="Times New Roman" w:eastAsia="仿宋_GB2312" w:cs="Times New Roman"/>
          <w:b w:val="0"/>
          <w:bCs/>
          <w:kern w:val="44"/>
          <w:sz w:val="32"/>
          <w:szCs w:val="32"/>
          <w:lang w:val="en-US" w:eastAsia="zh-CN" w:bidi="ar"/>
        </w:rPr>
        <w:t>和</w:t>
      </w:r>
      <w:r>
        <w:rPr>
          <w:rFonts w:hint="default" w:ascii="Times New Roman" w:hAnsi="Times New Roman" w:eastAsia="仿宋_GB2312" w:cs="Times New Roman"/>
          <w:b w:val="0"/>
          <w:bCs/>
          <w:kern w:val="44"/>
          <w:sz w:val="32"/>
          <w:szCs w:val="32"/>
          <w:lang w:val="en-US" w:eastAsia="zh-CN" w:bidi="ar"/>
        </w:rPr>
        <w:t>成果汇总工作也在按省三普办的时间节点有序推进。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对标县委</w:t>
      </w:r>
      <w:r>
        <w:rPr>
          <w:rFonts w:hint="eastAsia" w:ascii="Times New Roman" w:hAnsi="Times New Roman" w:eastAsia="仿宋" w:cs="Times New Roman"/>
          <w:kern w:val="0"/>
          <w:sz w:val="32"/>
          <w:szCs w:val="32"/>
          <w:lang w:eastAsia="zh-CN"/>
        </w:rPr>
        <w:t>、</w:t>
      </w:r>
      <w:r>
        <w:rPr>
          <w:rFonts w:hint="eastAsia" w:ascii="Times New Roman" w:hAnsi="Times New Roman" w:eastAsia="仿宋" w:cs="Times New Roman"/>
          <w:kern w:val="0"/>
          <w:sz w:val="32"/>
          <w:szCs w:val="32"/>
          <w:lang w:val="en-US" w:eastAsia="zh-CN"/>
        </w:rPr>
        <w:t>县</w:t>
      </w:r>
      <w:r>
        <w:rPr>
          <w:rFonts w:hint="default" w:ascii="Times New Roman" w:hAnsi="Times New Roman" w:eastAsia="仿宋" w:cs="Times New Roman"/>
          <w:kern w:val="0"/>
          <w:sz w:val="32"/>
          <w:szCs w:val="32"/>
        </w:rPr>
        <w:t>政府中心工作</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rPr>
        <w:t>扎实推</w:t>
      </w:r>
      <w:r>
        <w:rPr>
          <w:rFonts w:hint="default" w:ascii="Times New Roman" w:hAnsi="Times New Roman" w:eastAsia="仿宋" w:cs="Times New Roman"/>
          <w:kern w:val="0"/>
          <w:sz w:val="32"/>
          <w:szCs w:val="32"/>
          <w:lang w:eastAsia="zh-CN"/>
        </w:rPr>
        <w:t>进</w:t>
      </w:r>
      <w:r>
        <w:rPr>
          <w:rFonts w:hint="default" w:ascii="Times New Roman" w:hAnsi="Times New Roman" w:eastAsia="仿宋" w:cs="Times New Roman"/>
          <w:kern w:val="0"/>
          <w:sz w:val="32"/>
          <w:szCs w:val="32"/>
          <w:lang w:val="en-US" w:eastAsia="zh-CN"/>
        </w:rPr>
        <w:t>平安建设、</w:t>
      </w:r>
      <w:r>
        <w:rPr>
          <w:rFonts w:hint="default" w:ascii="Times New Roman" w:hAnsi="Times New Roman" w:eastAsia="仿宋" w:cs="Times New Roman"/>
          <w:kern w:val="0"/>
          <w:sz w:val="32"/>
          <w:szCs w:val="32"/>
          <w:lang w:eastAsia="zh-CN"/>
        </w:rPr>
        <w:t>统</w:t>
      </w:r>
      <w:r>
        <w:rPr>
          <w:rFonts w:hint="default" w:ascii="Times New Roman" w:hAnsi="Times New Roman" w:eastAsia="仿宋" w:cs="Times New Roman"/>
          <w:kern w:val="0"/>
          <w:sz w:val="32"/>
          <w:szCs w:val="32"/>
          <w:lang w:val="en-US" w:eastAsia="zh-CN"/>
        </w:rPr>
        <w:t>一</w:t>
      </w:r>
      <w:r>
        <w:rPr>
          <w:rFonts w:hint="default" w:ascii="Times New Roman" w:hAnsi="Times New Roman" w:eastAsia="仿宋" w:cs="Times New Roman"/>
          <w:kern w:val="0"/>
          <w:sz w:val="32"/>
          <w:szCs w:val="32"/>
          <w:lang w:eastAsia="zh-CN"/>
        </w:rPr>
        <w:t>战</w:t>
      </w:r>
      <w:r>
        <w:rPr>
          <w:rFonts w:hint="default" w:ascii="Times New Roman" w:hAnsi="Times New Roman" w:eastAsia="仿宋" w:cs="Times New Roman"/>
          <w:kern w:val="0"/>
          <w:sz w:val="32"/>
          <w:szCs w:val="32"/>
          <w:lang w:val="en-US" w:eastAsia="zh-CN"/>
        </w:rPr>
        <w:t>线</w:t>
      </w:r>
      <w:r>
        <w:rPr>
          <w:rFonts w:hint="default" w:ascii="Times New Roman" w:hAnsi="Times New Roman" w:eastAsia="仿宋" w:cs="Times New Roman"/>
          <w:kern w:val="0"/>
          <w:sz w:val="32"/>
          <w:szCs w:val="32"/>
          <w:lang w:eastAsia="zh-CN"/>
        </w:rPr>
        <w:t>及</w:t>
      </w:r>
      <w:r>
        <w:rPr>
          <w:rFonts w:hint="default" w:ascii="Times New Roman" w:hAnsi="Times New Roman" w:eastAsia="仿宋" w:cs="Times New Roman"/>
          <w:bCs/>
          <w:sz w:val="32"/>
          <w:szCs w:val="32"/>
        </w:rPr>
        <w:t>工青妇</w:t>
      </w:r>
      <w:r>
        <w:rPr>
          <w:rFonts w:hint="default" w:ascii="Times New Roman" w:hAnsi="Times New Roman" w:eastAsia="仿宋" w:cs="Times New Roman"/>
          <w:kern w:val="0"/>
          <w:sz w:val="32"/>
          <w:szCs w:val="32"/>
        </w:rPr>
        <w:t>等工作</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b w:val="0"/>
          <w:bCs w:val="0"/>
          <w:sz w:val="32"/>
          <w:szCs w:val="32"/>
          <w:lang w:val="en-US" w:eastAsia="zh-CN"/>
        </w:rPr>
        <w:t>积极开展“八五”普法工作，增强法治意识，推动法律法规宣传教育常态化长效化。</w:t>
      </w:r>
      <w:r>
        <w:rPr>
          <w:rFonts w:hint="default" w:ascii="Times New Roman" w:hAnsi="Times New Roman" w:eastAsia="仿宋" w:cs="Times New Roman"/>
          <w:kern w:val="0"/>
          <w:sz w:val="32"/>
          <w:szCs w:val="32"/>
          <w:lang w:eastAsia="zh-CN"/>
        </w:rPr>
        <w:t>落实</w:t>
      </w:r>
      <w:r>
        <w:rPr>
          <w:rFonts w:hint="default" w:ascii="Times New Roman" w:hAnsi="Times New Roman" w:eastAsia="仿宋" w:cs="Times New Roman"/>
          <w:kern w:val="0"/>
          <w:sz w:val="32"/>
          <w:szCs w:val="32"/>
        </w:rPr>
        <w:t>安</w:t>
      </w:r>
      <w:r>
        <w:rPr>
          <w:rFonts w:hint="default" w:ascii="Times New Roman" w:hAnsi="Times New Roman" w:eastAsia="仿宋" w:cs="Times New Roman"/>
          <w:b w:val="0"/>
          <w:bCs w:val="0"/>
          <w:sz w:val="32"/>
          <w:szCs w:val="32"/>
          <w:lang w:val="en-US" w:eastAsia="zh-CN"/>
        </w:rPr>
        <w:t>全生产责任制，建立健全安全生产长效机制，重点对农田项目施工开展安全生产检查，强化日常监督，营造安全发展环境，全年未发生安全生产和消防事故。</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lang w:eastAsia="zh-CN"/>
        </w:rPr>
        <w:t>五</w:t>
      </w:r>
      <w:r>
        <w:rPr>
          <w:rFonts w:hint="eastAsia" w:asciiTheme="majorEastAsia" w:hAnsiTheme="majorEastAsia" w:eastAsiaTheme="majorEastAsia"/>
          <w:b/>
          <w:sz w:val="32"/>
          <w:szCs w:val="32"/>
        </w:rPr>
        <w:t>、存在的问题</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1、预算执行存在偏差。随着部门职能职责的增加，刚性支出和重点项目投入也不断增加，本年度基本支出</w:t>
      </w:r>
      <w:r>
        <w:rPr>
          <w:rFonts w:hint="eastAsia" w:ascii="仿宋_GB2312" w:hAnsi="宋体" w:eastAsia="仿宋_GB2312" w:cs="宋体"/>
          <w:color w:val="auto"/>
          <w:sz w:val="32"/>
          <w:szCs w:val="32"/>
          <w:highlight w:val="none"/>
          <w:lang w:val="en-US" w:eastAsia="zh-CN"/>
        </w:rPr>
        <w:t>低于</w:t>
      </w:r>
      <w:r>
        <w:rPr>
          <w:rFonts w:hint="eastAsia" w:ascii="仿宋_GB2312" w:hAnsi="宋体" w:eastAsia="仿宋_GB2312" w:cs="宋体"/>
          <w:color w:val="auto"/>
          <w:sz w:val="32"/>
          <w:szCs w:val="32"/>
          <w:highlight w:val="none"/>
        </w:rPr>
        <w:t>预算，</w:t>
      </w:r>
      <w:r>
        <w:rPr>
          <w:rFonts w:hint="eastAsia" w:ascii="仿宋_GB2312" w:hAnsi="宋体" w:eastAsia="仿宋_GB2312" w:cs="宋体"/>
          <w:color w:val="auto"/>
          <w:sz w:val="32"/>
          <w:szCs w:val="32"/>
          <w:highlight w:val="none"/>
          <w:lang w:val="en-US" w:eastAsia="zh-CN"/>
        </w:rPr>
        <w:t>主要是我单位为全额事业单位，绩效工资每月只发放70%，需等第二年考核后发放剩余的30%，使</w:t>
      </w:r>
      <w:r>
        <w:rPr>
          <w:rFonts w:hint="eastAsia" w:ascii="仿宋_GB2312" w:hAnsi="宋体" w:eastAsia="仿宋_GB2312" w:cs="宋体"/>
          <w:color w:val="auto"/>
          <w:sz w:val="32"/>
          <w:szCs w:val="32"/>
          <w:highlight w:val="none"/>
        </w:rPr>
        <w:t>预算编制与实际情</w:t>
      </w:r>
      <w:r>
        <w:rPr>
          <w:rFonts w:hint="eastAsia" w:ascii="仿宋_GB2312" w:hAnsi="宋体" w:eastAsia="仿宋_GB2312" w:cs="宋体"/>
          <w:color w:val="auto"/>
          <w:sz w:val="32"/>
          <w:szCs w:val="32"/>
          <w:highlight w:val="none"/>
          <w:lang w:eastAsia="zh-CN"/>
        </w:rPr>
        <w:t>况还</w:t>
      </w:r>
      <w:r>
        <w:rPr>
          <w:rFonts w:hint="eastAsia" w:ascii="仿宋_GB2312" w:hAnsi="宋体" w:eastAsia="仿宋_GB2312" w:cs="宋体"/>
          <w:color w:val="auto"/>
          <w:sz w:val="32"/>
          <w:szCs w:val="32"/>
          <w:highlight w:val="none"/>
        </w:rPr>
        <w:t>存在</w:t>
      </w:r>
      <w:r>
        <w:rPr>
          <w:rFonts w:hint="eastAsia" w:ascii="仿宋_GB2312" w:hAnsi="宋体" w:eastAsia="仿宋_GB2312" w:cs="宋体"/>
          <w:color w:val="auto"/>
          <w:sz w:val="32"/>
          <w:szCs w:val="32"/>
          <w:highlight w:val="none"/>
          <w:lang w:eastAsia="zh-CN"/>
        </w:rPr>
        <w:t>一定的</w:t>
      </w:r>
      <w:r>
        <w:rPr>
          <w:rFonts w:hint="eastAsia" w:ascii="仿宋_GB2312" w:hAnsi="宋体" w:eastAsia="仿宋_GB2312" w:cs="宋体"/>
          <w:color w:val="auto"/>
          <w:sz w:val="32"/>
          <w:szCs w:val="32"/>
          <w:highlight w:val="none"/>
        </w:rPr>
        <w:t>偏差，基本支出的控制和核算还有待进一步加强。项目支出预算资金</w:t>
      </w:r>
      <w:r>
        <w:rPr>
          <w:rFonts w:hint="eastAsia" w:ascii="仿宋_GB2312" w:hAnsi="宋体" w:eastAsia="仿宋_GB2312" w:cs="宋体"/>
          <w:color w:val="auto"/>
          <w:sz w:val="32"/>
          <w:szCs w:val="32"/>
          <w:highlight w:val="none"/>
          <w:lang w:eastAsia="zh-CN"/>
        </w:rPr>
        <w:t>因财政资金调度紧张，导致部分资金支出率较低，</w:t>
      </w:r>
      <w:r>
        <w:rPr>
          <w:rFonts w:hint="eastAsia" w:ascii="仿宋_GB2312" w:hAnsi="宋体" w:eastAsia="仿宋_GB2312" w:cs="宋体"/>
          <w:color w:val="auto"/>
          <w:sz w:val="32"/>
          <w:szCs w:val="32"/>
          <w:highlight w:val="none"/>
        </w:rPr>
        <w:t>结转资金金额较大，影响项目绩效目标的编制和绩效评价指标的分析。</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2、项目管理有待加强，</w:t>
      </w:r>
      <w:r>
        <w:rPr>
          <w:rFonts w:hint="eastAsia" w:ascii="仿宋_GB2312" w:hAnsi="宋体" w:eastAsia="仿宋_GB2312" w:cs="宋体"/>
          <w:color w:val="auto"/>
          <w:sz w:val="32"/>
          <w:szCs w:val="32"/>
          <w:highlight w:val="none"/>
          <w:lang w:eastAsia="zh-CN"/>
        </w:rPr>
        <w:t>不断完善</w:t>
      </w:r>
      <w:r>
        <w:rPr>
          <w:rFonts w:hint="eastAsia" w:ascii="仿宋_GB2312" w:hAnsi="宋体" w:eastAsia="仿宋_GB2312" w:cs="宋体"/>
          <w:color w:val="auto"/>
          <w:sz w:val="32"/>
          <w:szCs w:val="32"/>
          <w:highlight w:val="none"/>
        </w:rPr>
        <w:t>相应的</w:t>
      </w:r>
      <w:r>
        <w:rPr>
          <w:rFonts w:hint="eastAsia" w:ascii="仿宋_GB2312" w:hAnsi="宋体" w:eastAsia="仿宋_GB2312" w:cs="宋体"/>
          <w:color w:val="auto"/>
          <w:sz w:val="32"/>
          <w:szCs w:val="32"/>
          <w:highlight w:val="none"/>
          <w:lang w:eastAsia="zh-CN"/>
        </w:rPr>
        <w:t>项目</w:t>
      </w:r>
      <w:r>
        <w:rPr>
          <w:rFonts w:hint="eastAsia" w:ascii="仿宋_GB2312" w:hAnsi="宋体" w:eastAsia="仿宋_GB2312" w:cs="宋体"/>
          <w:color w:val="auto"/>
          <w:sz w:val="32"/>
          <w:szCs w:val="32"/>
          <w:highlight w:val="none"/>
        </w:rPr>
        <w:t>管理制度</w:t>
      </w:r>
      <w:r>
        <w:rPr>
          <w:rFonts w:hint="eastAsia" w:ascii="仿宋_GB2312" w:hAnsi="宋体" w:eastAsia="仿宋_GB2312" w:cs="宋体"/>
          <w:color w:val="auto"/>
          <w:sz w:val="32"/>
          <w:szCs w:val="32"/>
          <w:highlight w:val="none"/>
          <w:lang w:eastAsia="zh-CN"/>
        </w:rPr>
        <w:t>，合理分配和调度项目资金</w:t>
      </w:r>
      <w:r>
        <w:rPr>
          <w:rFonts w:hint="eastAsia" w:ascii="仿宋_GB2312" w:hAnsi="宋体" w:eastAsia="仿宋_GB2312" w:cs="宋体"/>
          <w:color w:val="auto"/>
          <w:sz w:val="32"/>
          <w:szCs w:val="32"/>
          <w:highlight w:val="none"/>
        </w:rPr>
        <w:t>。</w:t>
      </w:r>
    </w:p>
    <w:p>
      <w:pPr>
        <w:spacing w:line="520" w:lineRule="exact"/>
        <w:ind w:firstLine="643" w:firstLineChars="200"/>
        <w:rPr>
          <w:rFonts w:hint="default"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六、改进措施</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1、随着刚性支出和重点项目投入的增加，资金缺口越来越大，建议增收节支，尽量减少非生产性开支。</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2、加强对项目的日常管理和监督，做到专款专用，专项管理。</w:t>
      </w:r>
    </w:p>
    <w:p>
      <w:pPr>
        <w:spacing w:line="520" w:lineRule="exact"/>
        <w:ind w:firstLine="643" w:firstLineChars="200"/>
        <w:rPr>
          <w:rFonts w:hint="default"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七、报告附表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w:t>
      </w:r>
      <w:r>
        <w:rPr>
          <w:rFonts w:hint="eastAsia" w:ascii="仿宋_GB2312" w:hAnsi="宋体" w:eastAsia="仿宋_GB2312" w:cs="宋体"/>
          <w:color w:val="auto"/>
          <w:sz w:val="32"/>
          <w:szCs w:val="32"/>
          <w:highlight w:val="none"/>
          <w:lang w:val="en-US" w:eastAsia="zh-CN"/>
        </w:rPr>
        <w:t>2024年</w:t>
      </w:r>
      <w:r>
        <w:rPr>
          <w:rFonts w:hint="eastAsia" w:ascii="仿宋_GB2312" w:hAnsi="宋体" w:eastAsia="仿宋_GB2312" w:cs="宋体"/>
          <w:color w:val="auto"/>
          <w:sz w:val="32"/>
          <w:szCs w:val="32"/>
          <w:highlight w:val="none"/>
        </w:rPr>
        <w:t>部门整体支出基础数据表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w:t>
      </w:r>
      <w:r>
        <w:rPr>
          <w:rFonts w:hint="eastAsia" w:ascii="仿宋_GB2312" w:hAnsi="宋体" w:eastAsia="仿宋_GB2312" w:cs="宋体"/>
          <w:color w:val="auto"/>
          <w:sz w:val="32"/>
          <w:szCs w:val="32"/>
          <w:highlight w:val="none"/>
          <w:lang w:val="en-US" w:eastAsia="zh-CN"/>
        </w:rPr>
        <w:t>2024年</w:t>
      </w:r>
      <w:r>
        <w:rPr>
          <w:rFonts w:hint="eastAsia" w:ascii="仿宋_GB2312" w:hAnsi="宋体" w:eastAsia="仿宋_GB2312" w:cs="宋体"/>
          <w:color w:val="auto"/>
          <w:sz w:val="32"/>
          <w:szCs w:val="32"/>
          <w:highlight w:val="none"/>
        </w:rPr>
        <w:t>部门整体支出绩效评价指标完成情况评分表</w:t>
      </w: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w:t>
      </w: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 xml:space="preserve">  湘潭县</w:t>
      </w:r>
      <w:r>
        <w:rPr>
          <w:rFonts w:hint="eastAsia" w:ascii="Times New Roman" w:hAnsi="Times New Roman" w:eastAsia="仿宋_GB2312" w:cs="Times New Roman"/>
          <w:color w:val="auto"/>
          <w:sz w:val="32"/>
          <w:szCs w:val="32"/>
          <w:lang w:val="en-US" w:eastAsia="zh-CN"/>
        </w:rPr>
        <w:t>农业发展服务中心</w:t>
      </w:r>
    </w:p>
    <w:p>
      <w:pPr>
        <w:pBdr>
          <w:bottom w:val="single" w:color="FFFFFF" w:sz="4" w:space="31"/>
        </w:pBdr>
        <w:tabs>
          <w:tab w:val="left" w:pos="1440"/>
        </w:tabs>
        <w:spacing w:line="600" w:lineRule="exact"/>
        <w:ind w:firstLine="640" w:firstLineChars="200"/>
        <w:jc w:val="right"/>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202</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27</w:t>
      </w:r>
      <w:r>
        <w:rPr>
          <w:rFonts w:hint="eastAsia" w:ascii="Times New Roman" w:hAnsi="Times New Roman" w:eastAsia="仿宋_GB2312" w:cs="Times New Roman"/>
          <w:color w:val="auto"/>
          <w:sz w:val="32"/>
          <w:szCs w:val="32"/>
        </w:rPr>
        <w:t>日</w:t>
      </w: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rPr>
          <w:rFonts w:hint="eastAsia" w:ascii="仿宋_GB2312" w:hAnsi="仿宋" w:eastAsia="仿宋_GB2312"/>
          <w:kern w:val="0"/>
          <w:sz w:val="32"/>
          <w:szCs w:val="32"/>
          <w:lang w:val="en-US" w:eastAsia="zh-CN"/>
        </w:rPr>
      </w:pPr>
      <w:r>
        <w:rPr>
          <w:rFonts w:hint="eastAsia" w:ascii="仿宋_GB2312" w:hAnsi="仿宋" w:eastAsia="仿宋_GB2312"/>
          <w:kern w:val="0"/>
          <w:sz w:val="32"/>
          <w:szCs w:val="32"/>
        </w:rPr>
        <w:t>附件1</w:t>
      </w:r>
      <w:r>
        <w:rPr>
          <w:rFonts w:hint="eastAsia" w:ascii="仿宋_GB2312" w:hAnsi="仿宋" w:eastAsia="仿宋_GB2312"/>
          <w:kern w:val="0"/>
          <w:sz w:val="32"/>
          <w:szCs w:val="32"/>
          <w:lang w:val="en-US" w:eastAsia="zh-CN"/>
        </w:rPr>
        <w:t xml:space="preserve"> </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湘潭县</w:t>
      </w:r>
      <w:r>
        <w:rPr>
          <w:rFonts w:hint="eastAsia" w:ascii="宋体" w:hAnsi="宋体" w:cs="宋体"/>
          <w:b/>
          <w:kern w:val="0"/>
          <w:sz w:val="36"/>
          <w:szCs w:val="36"/>
          <w:lang w:val="en-US" w:eastAsia="zh-CN"/>
        </w:rPr>
        <w:t>农业发展服务中心</w:t>
      </w:r>
      <w:r>
        <w:rPr>
          <w:rFonts w:hint="eastAsia" w:ascii="宋体" w:hAnsi="宋体" w:eastAsia="宋体" w:cs="宋体"/>
          <w:b/>
          <w:kern w:val="0"/>
          <w:sz w:val="36"/>
          <w:szCs w:val="36"/>
          <w:lang w:val="en-US" w:eastAsia="zh-CN"/>
        </w:rPr>
        <w:t>202</w:t>
      </w:r>
      <w:r>
        <w:rPr>
          <w:rFonts w:hint="eastAsia" w:ascii="宋体" w:hAnsi="宋体" w:cs="宋体"/>
          <w:b/>
          <w:kern w:val="0"/>
          <w:sz w:val="36"/>
          <w:szCs w:val="36"/>
          <w:lang w:val="en-US" w:eastAsia="zh-CN"/>
        </w:rPr>
        <w:t>4</w:t>
      </w:r>
      <w:r>
        <w:rPr>
          <w:rFonts w:hint="eastAsia" w:ascii="宋体" w:hAnsi="宋体" w:eastAsia="宋体" w:cs="宋体"/>
          <w:b/>
          <w:kern w:val="0"/>
          <w:sz w:val="36"/>
          <w:szCs w:val="36"/>
          <w:lang w:val="en-US" w:eastAsia="zh-CN"/>
        </w:rPr>
        <w:t>年</w:t>
      </w:r>
      <w:r>
        <w:rPr>
          <w:rFonts w:hint="eastAsia" w:ascii="宋体" w:hAnsi="宋体" w:eastAsia="宋体" w:cs="宋体"/>
          <w:b/>
          <w:kern w:val="0"/>
          <w:sz w:val="36"/>
          <w:szCs w:val="36"/>
        </w:rPr>
        <w:t>部门整体支出</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基础数据表</w:t>
      </w:r>
    </w:p>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1、年初预算安排明细情况</w:t>
      </w:r>
    </w:p>
    <w:tbl>
      <w:tblPr>
        <w:tblStyle w:val="10"/>
        <w:tblpPr w:leftFromText="180" w:rightFromText="180" w:vertAnchor="text" w:horzAnchor="page" w:tblpX="1432" w:tblpY="553"/>
        <w:tblOverlap w:val="never"/>
        <w:tblW w:w="904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609"/>
        <w:gridCol w:w="243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431"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431" w:type="dxa"/>
            <w:vAlign w:val="center"/>
          </w:tcPr>
          <w:p>
            <w:pPr>
              <w:spacing w:line="600" w:lineRule="exact"/>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kern w:val="2"/>
                <w:sz w:val="24"/>
                <w:szCs w:val="24"/>
                <w:lang w:val="en-US" w:eastAsia="zh-CN" w:bidi="ar-SA"/>
              </w:rPr>
              <w:t>434.5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386.65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47.47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、对个人和家庭的补助</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0.38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434.5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13.9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34"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农民负担监督专项经费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土地流转与仲裁专项工作经费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431" w:type="dxa"/>
            <w:tcBorders>
              <w:bottom w:val="single" w:color="auto" w:sz="12" w:space="0"/>
            </w:tcBorders>
            <w:vAlign w:val="center"/>
          </w:tcPr>
          <w:p>
            <w:pPr>
              <w:tabs>
                <w:tab w:val="left" w:pos="4053"/>
                <w:tab w:val="left" w:pos="4161"/>
              </w:tabs>
              <w:spacing w:line="600" w:lineRule="exact"/>
              <w:jc w:val="right"/>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448.4</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t>全年预算安排明细情况：（年度预算报表填列）</w:t>
      </w:r>
    </w:p>
    <w:tbl>
      <w:tblPr>
        <w:tblStyle w:val="10"/>
        <w:tblW w:w="9194" w:type="dxa"/>
        <w:tblInd w:w="-41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498"/>
        <w:gridCol w:w="26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6498"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696"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491.04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443.19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386.65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56.54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上年结转</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8"/>
                <w:szCs w:val="2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47.47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47.47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、对个人和家庭的补助</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kern w:val="2"/>
                <w:sz w:val="24"/>
                <w:szCs w:val="24"/>
                <w:lang w:val="en-US" w:eastAsia="zh-CN" w:bidi="ar-SA"/>
              </w:rPr>
              <w:t>491.04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696" w:type="dxa"/>
            <w:vAlign w:val="center"/>
          </w:tcPr>
          <w:p>
            <w:pPr>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231.24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年初安排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217.34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540" w:hRule="atLeast"/>
        </w:trPr>
        <w:tc>
          <w:tcPr>
            <w:tcW w:w="6498" w:type="dxa"/>
            <w:vAlign w:val="center"/>
          </w:tcPr>
          <w:p>
            <w:pPr>
              <w:spacing w:line="600"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预算压减支出</w:t>
            </w:r>
          </w:p>
        </w:tc>
        <w:tc>
          <w:tcPr>
            <w:tcW w:w="2696" w:type="dxa"/>
            <w:vAlign w:val="center"/>
          </w:tcPr>
          <w:p>
            <w:pPr>
              <w:tabs>
                <w:tab w:val="left" w:pos="4053"/>
                <w:tab w:val="left" w:pos="4161"/>
              </w:tabs>
              <w:spacing w:line="600" w:lineRule="exact"/>
              <w:ind w:right="3"/>
              <w:jc w:val="right"/>
              <w:rPr>
                <w:rFonts w:ascii="仿宋_GB2312" w:hAnsi="仿宋_GB2312" w:eastAsia="仿宋_GB2312" w:cs="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231.24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6" w:hRule="atLeast"/>
        </w:trPr>
        <w:tc>
          <w:tcPr>
            <w:tcW w:w="6498"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696" w:type="dxa"/>
            <w:tcBorders>
              <w:bottom w:val="single" w:color="auto" w:sz="12" w:space="0"/>
            </w:tcBorders>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722.28</w:t>
            </w:r>
            <w:bookmarkStart w:id="0" w:name="_GoBack"/>
            <w:bookmarkEnd w:id="0"/>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、基本支出预算执行情况</w:t>
      </w:r>
    </w:p>
    <w:tbl>
      <w:tblPr>
        <w:tblStyle w:val="10"/>
        <w:tblW w:w="9236" w:type="dxa"/>
        <w:tblInd w:w="-39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4"/>
        <w:gridCol w:w="1779"/>
        <w:gridCol w:w="1693"/>
        <w:gridCol w:w="1585"/>
        <w:gridCol w:w="14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2764" w:type="dxa"/>
            <w:tcBorders>
              <w:top w:val="single" w:color="auto" w:sz="12" w:space="0"/>
            </w:tcBorders>
            <w:vAlign w:val="center"/>
          </w:tcPr>
          <w:p>
            <w:pPr>
              <w:spacing w:line="6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目</w:t>
            </w:r>
          </w:p>
        </w:tc>
        <w:tc>
          <w:tcPr>
            <w:tcW w:w="1779"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预算支出（万元）</w:t>
            </w:r>
          </w:p>
        </w:tc>
        <w:tc>
          <w:tcPr>
            <w:tcW w:w="1693"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实际支出（万元）</w:t>
            </w:r>
          </w:p>
        </w:tc>
        <w:tc>
          <w:tcPr>
            <w:tcW w:w="1585"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超 支（万元）</w:t>
            </w:r>
          </w:p>
        </w:tc>
        <w:tc>
          <w:tcPr>
            <w:tcW w:w="1415" w:type="dxa"/>
            <w:tcBorders>
              <w:top w:val="single" w:color="auto" w:sz="12" w:space="0"/>
            </w:tcBorders>
          </w:tcPr>
          <w:p>
            <w:pPr>
              <w:pStyle w:val="17"/>
              <w:spacing w:line="600" w:lineRule="exact"/>
              <w:jc w:val="left"/>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预算执行</w:t>
            </w:r>
          </w:p>
          <w:p>
            <w:pPr>
              <w:widowControl/>
              <w:spacing w:line="600" w:lineRule="exact"/>
              <w:jc w:val="center"/>
              <w:textAlignment w:val="center"/>
              <w:rPr>
                <w:rFonts w:ascii="仿宋_GB2312" w:hAnsi="仿宋_GB2312" w:eastAsia="仿宋_GB2312" w:cs="仿宋_GB2312"/>
                <w:b w:val="0"/>
                <w:bCs/>
                <w:kern w:val="0"/>
                <w:sz w:val="24"/>
              </w:rPr>
            </w:pP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预算执行</w:t>
            </w: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工资福利支出</w:t>
            </w:r>
          </w:p>
        </w:tc>
        <w:tc>
          <w:tcPr>
            <w:tcW w:w="1779"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443.19</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416.67</w:t>
            </w:r>
          </w:p>
        </w:tc>
        <w:tc>
          <w:tcPr>
            <w:tcW w:w="1585"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-26.52</w:t>
            </w:r>
          </w:p>
        </w:tc>
        <w:tc>
          <w:tcPr>
            <w:tcW w:w="1415"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94.01%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商品和服务支出</w:t>
            </w:r>
          </w:p>
        </w:tc>
        <w:tc>
          <w:tcPr>
            <w:tcW w:w="1779"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47.47</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53.81</w:t>
            </w:r>
          </w:p>
        </w:tc>
        <w:tc>
          <w:tcPr>
            <w:tcW w:w="1585"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6.34</w:t>
            </w:r>
          </w:p>
        </w:tc>
        <w:tc>
          <w:tcPr>
            <w:tcW w:w="1415"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111.94%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对个人和家庭补助</w:t>
            </w:r>
          </w:p>
        </w:tc>
        <w:tc>
          <w:tcPr>
            <w:tcW w:w="1779"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0.38</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0.39</w:t>
            </w:r>
          </w:p>
        </w:tc>
        <w:tc>
          <w:tcPr>
            <w:tcW w:w="1585"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0.012</w:t>
            </w:r>
          </w:p>
        </w:tc>
        <w:tc>
          <w:tcPr>
            <w:tcW w:w="1415"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103%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764" w:type="dxa"/>
            <w:tcBorders>
              <w:bottom w:val="single" w:color="auto" w:sz="12" w:space="0"/>
            </w:tcBorders>
            <w:vAlign w:val="center"/>
          </w:tcPr>
          <w:p>
            <w:pPr>
              <w:spacing w:line="600" w:lineRule="exact"/>
              <w:jc w:val="center"/>
              <w:rPr>
                <w:rFonts w:hint="eastAsia" w:ascii="仿宋_GB2312" w:hAnsi="仿宋_GB2312" w:eastAsia="仿宋_GB2312" w:cs="仿宋_GB2312"/>
                <w:b w:val="0"/>
                <w:bCs w:val="0"/>
                <w:kern w:val="0"/>
                <w:sz w:val="24"/>
                <w:lang w:eastAsia="zh-CN"/>
              </w:rPr>
            </w:pPr>
            <w:r>
              <w:rPr>
                <w:rFonts w:hint="eastAsia" w:ascii="仿宋_GB2312" w:hAnsi="仿宋_GB2312" w:eastAsia="仿宋_GB2312" w:cs="仿宋_GB2312"/>
                <w:b w:val="0"/>
                <w:bCs w:val="0"/>
                <w:kern w:val="0"/>
                <w:sz w:val="24"/>
                <w:lang w:eastAsia="zh-CN"/>
              </w:rPr>
              <w:t>合计</w:t>
            </w:r>
          </w:p>
        </w:tc>
        <w:tc>
          <w:tcPr>
            <w:tcW w:w="1779" w:type="dxa"/>
            <w:tcBorders>
              <w:bottom w:val="single" w:color="auto" w:sz="12" w:space="0"/>
            </w:tcBorders>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b/>
                <w:bCs/>
                <w:i w:val="0"/>
                <w:iCs w:val="0"/>
                <w:color w:val="000000"/>
                <w:kern w:val="0"/>
                <w:sz w:val="21"/>
                <w:szCs w:val="21"/>
                <w:u w:val="none"/>
                <w:lang w:val="en-US" w:eastAsia="zh-CN" w:bidi="ar"/>
              </w:rPr>
              <w:t>491.04</w:t>
            </w:r>
          </w:p>
        </w:tc>
        <w:tc>
          <w:tcPr>
            <w:tcW w:w="1693" w:type="dxa"/>
            <w:tcBorders>
              <w:bottom w:val="single" w:color="auto" w:sz="12" w:space="0"/>
            </w:tcBorders>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b/>
                <w:bCs/>
                <w:color w:val="auto"/>
                <w:kern w:val="0"/>
                <w:sz w:val="21"/>
                <w:szCs w:val="21"/>
                <w:highlight w:val="none"/>
                <w:lang w:val="en-US" w:eastAsia="zh-CN"/>
              </w:rPr>
              <w:t>470.87</w:t>
            </w:r>
          </w:p>
        </w:tc>
        <w:tc>
          <w:tcPr>
            <w:tcW w:w="1585" w:type="dxa"/>
            <w:tcBorders>
              <w:bottom w:val="single" w:color="auto" w:sz="12" w:space="0"/>
            </w:tcBorders>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b/>
                <w:bCs/>
                <w:i w:val="0"/>
                <w:iCs w:val="0"/>
                <w:color w:val="000000"/>
                <w:kern w:val="0"/>
                <w:sz w:val="21"/>
                <w:szCs w:val="21"/>
                <w:u w:val="none"/>
                <w:lang w:val="en-US" w:eastAsia="zh-CN" w:bidi="ar"/>
              </w:rPr>
              <w:t>20.16</w:t>
            </w:r>
          </w:p>
        </w:tc>
        <w:tc>
          <w:tcPr>
            <w:tcW w:w="1415" w:type="dxa"/>
            <w:tcBorders>
              <w:bottom w:val="single" w:color="auto" w:sz="12" w:space="0"/>
            </w:tcBorders>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b/>
                <w:bCs/>
                <w:color w:val="auto"/>
                <w:kern w:val="0"/>
                <w:sz w:val="21"/>
                <w:szCs w:val="21"/>
                <w:highlight w:val="none"/>
                <w:lang w:val="en-US" w:eastAsia="zh-CN"/>
              </w:rPr>
              <w:t>96.01%</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、项目支出预算执行情况：</w:t>
      </w:r>
    </w:p>
    <w:tbl>
      <w:tblPr>
        <w:tblStyle w:val="10"/>
        <w:tblW w:w="9212" w:type="dxa"/>
        <w:tblInd w:w="-38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2"/>
        <w:gridCol w:w="1740"/>
        <w:gridCol w:w="1725"/>
        <w:gridCol w:w="1575"/>
        <w:gridCol w:w="141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2" w:hRule="exact"/>
        </w:trPr>
        <w:tc>
          <w:tcPr>
            <w:tcW w:w="2762" w:type="dxa"/>
            <w:tcBorders>
              <w:top w:val="single" w:color="auto" w:sz="12" w:space="0"/>
            </w:tcBorders>
            <w:vAlign w:val="center"/>
          </w:tcPr>
          <w:p>
            <w:pPr>
              <w:pStyle w:val="17"/>
              <w:spacing w:line="60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项  目</w:t>
            </w:r>
          </w:p>
        </w:tc>
        <w:tc>
          <w:tcPr>
            <w:tcW w:w="1740"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预算支出（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72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lang w:val="en-US" w:eastAsia="zh-CN"/>
              </w:rPr>
              <w:t>本年</w:t>
            </w:r>
            <w:r>
              <w:rPr>
                <w:rFonts w:hint="eastAsia" w:hAnsi="仿宋" w:cs="仿宋"/>
                <w:b w:val="0"/>
                <w:bCs/>
                <w:color w:val="000000"/>
                <w:kern w:val="0"/>
                <w:szCs w:val="21"/>
              </w:rPr>
              <w:t>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57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超支（</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410" w:type="dxa"/>
            <w:tcBorders>
              <w:top w:val="single" w:color="auto" w:sz="12" w:space="0"/>
            </w:tcBorders>
            <w:vAlign w:val="center"/>
          </w:tcPr>
          <w:p>
            <w:pPr>
              <w:widowControl/>
              <w:spacing w:line="240" w:lineRule="exact"/>
              <w:jc w:val="center"/>
              <w:textAlignment w:val="center"/>
              <w:rPr>
                <w:rFonts w:cs="仿宋"/>
                <w:b w:val="0"/>
                <w:bCs/>
                <w:color w:val="000000"/>
                <w:kern w:val="0"/>
                <w:szCs w:val="21"/>
              </w:rPr>
            </w:pPr>
            <w:r>
              <w:rPr>
                <w:rFonts w:hint="eastAsia" w:hAnsi="仿宋" w:cs="仿宋"/>
                <w:b w:val="0"/>
                <w:bCs/>
                <w:color w:val="000000"/>
                <w:kern w:val="0"/>
                <w:szCs w:val="21"/>
              </w:rPr>
              <w:t>预算执行</w:t>
            </w:r>
          </w:p>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农民负担监督专项经费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6.3</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6.3</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土地流转与仲裁专项工作经费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7.6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7.6</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b w:val="0"/>
                <w:bCs w:val="0"/>
                <w:kern w:val="0"/>
                <w:sz w:val="24"/>
                <w:lang w:val="en-US" w:eastAsia="zh-CN"/>
              </w:rPr>
              <w:t>第三次全国土壤普查经费（县级）</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99.6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2023新增国债高标准农田建设县级配套</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117.74</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762" w:type="dxa"/>
            <w:vAlign w:val="center"/>
          </w:tcPr>
          <w:p>
            <w:pPr>
              <w:widowControl/>
              <w:spacing w:line="600" w:lineRule="exact"/>
              <w:jc w:val="center"/>
              <w:textAlignment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合</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计</w:t>
            </w:r>
          </w:p>
        </w:tc>
        <w:tc>
          <w:tcPr>
            <w:tcW w:w="174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231.24</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13.9</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6.01%</w:t>
            </w:r>
          </w:p>
        </w:tc>
      </w:tr>
    </w:tbl>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240" w:lineRule="auto"/>
        <w:ind w:leftChars="0" w:firstLine="0" w:firstLineChars="0"/>
        <w:textAlignment w:val="auto"/>
        <w:rPr>
          <w:rFonts w:hint="default"/>
          <w:lang w:val="en-US" w:eastAsia="zh-CN"/>
        </w:rPr>
      </w:pPr>
      <w:r>
        <w:rPr>
          <w:rFonts w:hint="eastAsia" w:ascii="仿宋" w:hAnsi="仿宋" w:eastAsia="仿宋" w:cs="宋体"/>
          <w:b/>
          <w:bCs w:val="0"/>
          <w:kern w:val="0"/>
          <w:sz w:val="32"/>
          <w:szCs w:val="32"/>
          <w:lang w:val="en-US" w:eastAsia="zh-CN"/>
        </w:rPr>
        <w:t>5.年中追加指标明细</w:t>
      </w:r>
    </w:p>
    <w:tbl>
      <w:tblPr>
        <w:tblStyle w:val="10"/>
        <w:tblW w:w="9322"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39"/>
        <w:gridCol w:w="1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939"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追加指标内容</w:t>
            </w:r>
          </w:p>
        </w:tc>
        <w:tc>
          <w:tcPr>
            <w:tcW w:w="1383"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39"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追加年度考核结算资金</w:t>
            </w:r>
          </w:p>
        </w:tc>
        <w:tc>
          <w:tcPr>
            <w:tcW w:w="138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15.02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39"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追加新进公务员经费</w:t>
            </w:r>
          </w:p>
        </w:tc>
        <w:tc>
          <w:tcPr>
            <w:tcW w:w="138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26.533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939"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追加2024年执业年金记实：郭双武、胡仲平</w:t>
            </w:r>
          </w:p>
        </w:tc>
        <w:tc>
          <w:tcPr>
            <w:tcW w:w="138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14.97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39"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第三次全国土壤普查经费（县级）</w:t>
            </w:r>
          </w:p>
        </w:tc>
        <w:tc>
          <w:tcPr>
            <w:tcW w:w="1383"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39"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600" w:lineRule="exact"/>
              <w:ind w:firstLine="1680" w:firstLineChars="700"/>
              <w:jc w:val="both"/>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2023新增国债高标准农田建设县级配套</w:t>
            </w:r>
          </w:p>
        </w:tc>
        <w:tc>
          <w:tcPr>
            <w:tcW w:w="138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117.74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39"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widowControl/>
              <w:spacing w:line="600" w:lineRule="exact"/>
              <w:ind w:firstLine="2880" w:firstLineChars="1200"/>
              <w:jc w:val="both"/>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合计</w:t>
            </w:r>
          </w:p>
        </w:tc>
        <w:tc>
          <w:tcPr>
            <w:tcW w:w="1383"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273.863</w:t>
            </w:r>
          </w:p>
        </w:tc>
      </w:tr>
    </w:tbl>
    <w:p>
      <w:pPr>
        <w:widowControl/>
        <w:spacing w:line="600" w:lineRule="exact"/>
        <w:jc w:val="center"/>
        <w:textAlignment w:val="center"/>
        <w:rPr>
          <w:rFonts w:hint="eastAsia" w:ascii="仿宋_GB2312" w:hAnsi="仿宋_GB2312" w:eastAsia="仿宋_GB2312" w:cs="仿宋_GB2312"/>
          <w:b/>
          <w:bCs/>
          <w:kern w:val="0"/>
          <w:sz w:val="24"/>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lang w:eastAsia="zh-CN"/>
        </w:rPr>
      </w:pPr>
      <w:r>
        <w:rPr>
          <w:rFonts w:hint="eastAsia" w:ascii="仿宋" w:hAnsi="仿宋" w:eastAsia="仿宋" w:cs="宋体"/>
          <w:b/>
          <w:bCs/>
          <w:kern w:val="0"/>
          <w:sz w:val="32"/>
          <w:szCs w:val="32"/>
        </w:rPr>
        <w:t>附件</w:t>
      </w:r>
      <w:r>
        <w:rPr>
          <w:rFonts w:hint="eastAsia" w:ascii="仿宋" w:hAnsi="仿宋" w:eastAsia="仿宋" w:cs="宋体"/>
          <w:b/>
          <w:bCs/>
          <w:kern w:val="0"/>
          <w:sz w:val="32"/>
          <w:szCs w:val="32"/>
          <w:lang w:val="en-US" w:eastAsia="zh-CN"/>
        </w:rPr>
        <w:t xml:space="preserve">2 </w:t>
      </w:r>
    </w:p>
    <w:p>
      <w:pPr>
        <w:pBdr>
          <w:bottom w:val="single" w:color="FFFFFF" w:sz="4" w:space="31"/>
        </w:pBdr>
        <w:tabs>
          <w:tab w:val="left" w:pos="1440"/>
        </w:tabs>
        <w:spacing w:line="240" w:lineRule="auto"/>
        <w:ind w:leftChars="0" w:right="0" w:rightChars="0" w:firstLine="0"/>
        <w:jc w:val="center"/>
        <w:rPr>
          <w:rFonts w:ascii="宋体" w:hAnsi="宋体" w:cs="方正小标宋_GBK"/>
          <w:b/>
          <w:kern w:val="0"/>
          <w:sz w:val="36"/>
          <w:szCs w:val="36"/>
        </w:rPr>
      </w:pPr>
      <w:r>
        <w:rPr>
          <w:rFonts w:hint="eastAsia" w:ascii="宋体" w:hAnsi="宋体" w:cs="方正小标宋_GBK"/>
          <w:b/>
          <w:kern w:val="0"/>
          <w:sz w:val="36"/>
          <w:szCs w:val="36"/>
          <w:lang w:val="en-US" w:eastAsia="zh-CN"/>
        </w:rPr>
        <w:t>2023年</w:t>
      </w:r>
      <w:r>
        <w:rPr>
          <w:rFonts w:hint="eastAsia" w:ascii="宋体" w:hAnsi="宋体" w:cs="方正小标宋_GBK"/>
          <w:b/>
          <w:kern w:val="0"/>
          <w:sz w:val="36"/>
          <w:szCs w:val="36"/>
        </w:rPr>
        <w:t>部门整体支出绩效评价指标完成情况评分表</w:t>
      </w:r>
    </w:p>
    <w:tbl>
      <w:tblPr>
        <w:tblStyle w:val="10"/>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00"/>
        <w:gridCol w:w="885"/>
        <w:gridCol w:w="2700"/>
        <w:gridCol w:w="3150"/>
        <w:gridCol w:w="705"/>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539"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一级</w:t>
            </w:r>
            <w:r>
              <w:rPr>
                <w:rFonts w:hint="eastAsia" w:ascii="仿宋_GB2312" w:eastAsia="仿宋_GB2312"/>
                <w:b/>
                <w:bCs/>
                <w:szCs w:val="21"/>
              </w:rPr>
              <w:br w:type="textWrapping"/>
            </w:r>
            <w:r>
              <w:rPr>
                <w:rFonts w:hint="eastAsia" w:ascii="仿宋_GB2312" w:eastAsia="仿宋_GB2312"/>
                <w:b/>
                <w:bCs/>
                <w:szCs w:val="21"/>
              </w:rPr>
              <w:t>指标</w:t>
            </w:r>
          </w:p>
        </w:tc>
        <w:tc>
          <w:tcPr>
            <w:tcW w:w="600"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二级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三级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指标解释</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指标说明</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both"/>
              <w:rPr>
                <w:rFonts w:hint="eastAsia" w:ascii="仿宋_GB2312" w:eastAsia="仿宋_GB2312"/>
                <w:b/>
                <w:bCs/>
                <w:szCs w:val="21"/>
                <w:lang w:val="en-US" w:eastAsia="zh-CN"/>
              </w:rPr>
            </w:pPr>
            <w:r>
              <w:rPr>
                <w:rFonts w:hint="eastAsia" w:ascii="仿宋_GB2312" w:eastAsia="仿宋_GB2312"/>
                <w:b/>
                <w:bCs/>
                <w:szCs w:val="21"/>
                <w:lang w:val="en-US" w:eastAsia="zh-CN"/>
              </w:rPr>
              <w:t>分值</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lang w:eastAsia="zh-CN"/>
              </w:rPr>
            </w:pPr>
            <w:r>
              <w:rPr>
                <w:rFonts w:hint="eastAsia" w:ascii="仿宋_GB2312" w:eastAsia="仿宋_GB2312"/>
                <w:b/>
                <w:bCs/>
                <w:szCs w:val="21"/>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投   入</w:t>
            </w:r>
          </w:p>
        </w:tc>
        <w:tc>
          <w:tcPr>
            <w:tcW w:w="600" w:type="dxa"/>
            <w:vMerge w:val="restart"/>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目标</w:t>
            </w:r>
            <w:r>
              <w:rPr>
                <w:rFonts w:hint="eastAsia" w:ascii="仿宋_GB2312" w:eastAsia="仿宋_GB2312"/>
                <w:szCs w:val="21"/>
              </w:rPr>
              <w:br w:type="textWrapping"/>
            </w:r>
            <w:r>
              <w:rPr>
                <w:rFonts w:hint="eastAsia" w:ascii="仿宋_GB2312" w:eastAsia="仿宋_GB2312"/>
                <w:szCs w:val="21"/>
              </w:rPr>
              <w:t>设定</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绩效目标</w:t>
            </w:r>
          </w:p>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合理性</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是否符合部门制定的中长期实施规划。</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绩效指标</w:t>
            </w:r>
          </w:p>
          <w:p>
            <w:pPr>
              <w:spacing w:line="320" w:lineRule="exact"/>
              <w:jc w:val="center"/>
              <w:rPr>
                <w:rFonts w:hint="eastAsia" w:ascii="仿宋_GB2312" w:eastAsia="仿宋_GB2312"/>
                <w:szCs w:val="21"/>
              </w:rPr>
            </w:pPr>
            <w:r>
              <w:rPr>
                <w:rFonts w:hint="eastAsia" w:ascii="仿宋_GB2312" w:eastAsia="仿宋_GB2312"/>
                <w:szCs w:val="21"/>
              </w:rPr>
              <w:t>明确性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配置</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在职人员</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在职人员控制率=（在职人员数/编制数）×100%。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lang w:eastAsia="zh-CN"/>
              </w:rPr>
              <w:t>控制率</w:t>
            </w:r>
            <w:r>
              <w:rPr>
                <w:rFonts w:hint="eastAsia" w:ascii="仿宋_GB2312" w:eastAsia="仿宋_GB2312"/>
                <w:szCs w:val="21"/>
                <w:lang w:val="en-US" w:eastAsia="zh-CN"/>
              </w:rPr>
              <w:t>100%以内计3分，101%-110%计2分，110%以上计1分。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9"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“三公经费”变动率=[（本年度“三公经费”总额-上年度“三公经费”总额）/上年度“三公经费”总额]×100%。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w:t>
            </w:r>
            <w:r>
              <w:rPr>
                <w:rFonts w:hint="eastAsia" w:ascii="仿宋_GB2312" w:eastAsia="仿宋_GB2312"/>
                <w:szCs w:val="21"/>
                <w:lang w:eastAsia="zh-CN"/>
              </w:rPr>
              <w:t>变动</w:t>
            </w:r>
            <w:r>
              <w:rPr>
                <w:rFonts w:hint="eastAsia" w:ascii="仿宋_GB2312" w:eastAsia="仿宋_GB2312"/>
                <w:szCs w:val="21"/>
              </w:rPr>
              <w:t>率</w:t>
            </w:r>
            <w:r>
              <w:rPr>
                <w:rFonts w:hint="eastAsia" w:ascii="仿宋_GB2312" w:eastAsia="仿宋_GB2312"/>
                <w:szCs w:val="21"/>
                <w:lang w:val="en-US" w:eastAsia="zh-CN"/>
              </w:rPr>
              <w:t>1%-5</w:t>
            </w:r>
            <w:r>
              <w:rPr>
                <w:rFonts w:hint="eastAsia" w:ascii="仿宋_GB2312" w:hAnsi="宋体" w:eastAsia="仿宋_GB2312" w:cs="宋体"/>
                <w:kern w:val="0"/>
                <w:szCs w:val="21"/>
                <w:lang w:val="en-US" w:eastAsia="zh-CN"/>
              </w:rPr>
              <w:t>%（含）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10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10%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重点支出</w:t>
            </w:r>
          </w:p>
          <w:p>
            <w:pPr>
              <w:spacing w:line="320" w:lineRule="exact"/>
              <w:jc w:val="center"/>
              <w:rPr>
                <w:rFonts w:hint="eastAsia" w:ascii="仿宋_GB2312" w:eastAsia="仿宋_GB2312"/>
                <w:szCs w:val="21"/>
              </w:rPr>
            </w:pPr>
            <w:r>
              <w:rPr>
                <w:rFonts w:hint="eastAsia" w:ascii="仿宋_GB2312" w:eastAsia="仿宋_GB2312"/>
                <w:szCs w:val="21"/>
              </w:rPr>
              <w:t>安排率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重点支出安排率=（重点预算支出/预算总支出）×100%。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w:t>
            </w:r>
            <w:r>
              <w:rPr>
                <w:rFonts w:hint="eastAsia" w:ascii="仿宋_GB2312" w:eastAsia="仿宋_GB2312"/>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过   程</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预算执行率=（预算执行数/预算数）×100%。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w:t>
            </w:r>
            <w:r>
              <w:rPr>
                <w:rFonts w:hint="eastAsia" w:ascii="仿宋_GB2312" w:hAnsi="宋体" w:eastAsia="仿宋_GB2312" w:cs="宋体"/>
                <w:kern w:val="0"/>
                <w:szCs w:val="21"/>
                <w:lang w:eastAsia="zh-CN"/>
              </w:rPr>
              <w:t>执行</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调整率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预算调整率=（预算调整数/预算数）×100%。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预算调整率10%（含）</w:t>
            </w:r>
            <w:r>
              <w:rPr>
                <w:rFonts w:hint="eastAsia" w:ascii="仿宋_GB2312" w:hAnsi="宋体" w:eastAsia="仿宋_GB2312" w:cs="宋体"/>
                <w:kern w:val="0"/>
                <w:szCs w:val="21"/>
                <w:lang w:eastAsia="zh-CN"/>
              </w:rPr>
              <w:t>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分；1</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-20%（含）计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分；20%</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支付</w:t>
            </w:r>
          </w:p>
          <w:p>
            <w:pPr>
              <w:spacing w:line="320" w:lineRule="exact"/>
              <w:jc w:val="center"/>
              <w:rPr>
                <w:rFonts w:hint="eastAsia" w:ascii="仿宋_GB2312" w:eastAsia="仿宋_GB2312"/>
                <w:szCs w:val="21"/>
              </w:rPr>
            </w:pPr>
            <w:r>
              <w:rPr>
                <w:rFonts w:hint="eastAsia" w:ascii="仿宋_GB2312" w:eastAsia="仿宋_GB2312"/>
                <w:szCs w:val="21"/>
              </w:rPr>
              <w:t>进度率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支付进度率=（实际支付进度/既定支付进度）×100%。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支付进度</w:t>
            </w:r>
            <w:r>
              <w:rPr>
                <w:rFonts w:hint="eastAsia" w:ascii="仿宋_GB2312" w:hAnsi="宋体" w:eastAsia="仿宋_GB2312" w:cs="宋体"/>
                <w:kern w:val="0"/>
                <w:szCs w:val="21"/>
              </w:rPr>
              <w:t>率100%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w:t>
            </w:r>
          </w:p>
          <w:p>
            <w:pPr>
              <w:spacing w:line="320" w:lineRule="exact"/>
              <w:jc w:val="center"/>
              <w:rPr>
                <w:rFonts w:hint="eastAsia" w:ascii="仿宋_GB2312" w:eastAsia="仿宋_GB2312"/>
                <w:szCs w:val="21"/>
              </w:rPr>
            </w:pPr>
            <w:r>
              <w:rPr>
                <w:rFonts w:hint="eastAsia" w:ascii="仿宋_GB2312" w:eastAsia="仿宋_GB2312"/>
                <w:szCs w:val="21"/>
              </w:rPr>
              <w:t>结余率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结转结余率=结转结余总额/支出预算数×100%。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结转结余</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7"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结转结余</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结转结余变动率=[（本年度累计结转结余资金总额-上年度累计结转结余资金总额）/上年度累计结转结余资金总额]×100%。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公用经费</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经费控制率=（实际支出公用经费总额/预算安排公用经费总额）×100%。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公用经费控制率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9"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“三公经费”控制率=（“三公经费”实际支出数/“三公经费”预算安排数）×100%。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-95%（含）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94</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政府采购</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政府采购执行率=（实际政府采购金额/政府采购预算数）×100%</w:t>
            </w:r>
            <w:r>
              <w:rPr>
                <w:rFonts w:hint="eastAsia" w:ascii="仿宋_GB2312" w:eastAsia="仿宋_GB2312"/>
                <w:szCs w:val="21"/>
                <w:lang w:eastAsia="zh-CN"/>
              </w:rPr>
              <w:t>。</w:t>
            </w:r>
            <w:r>
              <w:rPr>
                <w:rFonts w:hint="eastAsia" w:ascii="仿宋_GB2312" w:eastAsia="仿宋_GB2312"/>
                <w:szCs w:val="21"/>
              </w:rPr>
              <w:t xml:space="preserve"> </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hAnsi="宋体" w:eastAsia="仿宋_GB2312" w:cs="宋体"/>
                <w:kern w:val="0"/>
                <w:szCs w:val="21"/>
                <w:lang w:eastAsia="zh-CN"/>
              </w:rPr>
              <w:t>制度健全计</w:t>
            </w:r>
            <w:r>
              <w:rPr>
                <w:rFonts w:hint="eastAsia" w:ascii="仿宋_GB2312" w:hAnsi="宋体" w:eastAsia="仿宋_GB2312" w:cs="宋体"/>
                <w:kern w:val="0"/>
                <w:szCs w:val="21"/>
                <w:lang w:val="en-US" w:eastAsia="zh-CN"/>
              </w:rPr>
              <w:t>3分，每缺少一项扣1分，扣完为止。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资金使用</w:t>
            </w:r>
          </w:p>
          <w:p>
            <w:pPr>
              <w:spacing w:line="320" w:lineRule="exact"/>
              <w:jc w:val="center"/>
              <w:rPr>
                <w:rFonts w:hint="eastAsia" w:ascii="仿宋_GB2312" w:eastAsia="仿宋_GB2312"/>
                <w:szCs w:val="21"/>
              </w:rPr>
            </w:pPr>
            <w:r>
              <w:rPr>
                <w:rFonts w:hint="eastAsia" w:ascii="仿宋_GB2312" w:eastAsia="仿宋_GB2312"/>
                <w:szCs w:val="21"/>
              </w:rPr>
              <w:t>合规性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预决算信</w:t>
            </w:r>
          </w:p>
          <w:p>
            <w:pPr>
              <w:spacing w:line="320" w:lineRule="exact"/>
              <w:jc w:val="center"/>
              <w:rPr>
                <w:rFonts w:hint="eastAsia" w:ascii="仿宋_GB2312" w:eastAsia="仿宋_GB2312"/>
                <w:szCs w:val="21"/>
              </w:rPr>
            </w:pPr>
            <w:r>
              <w:rPr>
                <w:rFonts w:hint="eastAsia" w:ascii="仿宋_GB2312" w:eastAsia="仿宋_GB2312"/>
                <w:szCs w:val="21"/>
              </w:rPr>
              <w:t>息公开性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hAnsi="宋体" w:eastAsia="仿宋_GB2312" w:cs="宋体"/>
                <w:kern w:val="0"/>
                <w:szCs w:val="21"/>
                <w:lang w:eastAsia="zh-CN"/>
              </w:rPr>
              <w:t>按规定公开计</w:t>
            </w:r>
            <w:r>
              <w:rPr>
                <w:rFonts w:hint="eastAsia" w:ascii="仿宋_GB2312" w:hAnsi="宋体" w:eastAsia="仿宋_GB2312" w:cs="宋体"/>
                <w:kern w:val="0"/>
                <w:szCs w:val="21"/>
                <w:lang w:val="en-US" w:eastAsia="zh-CN"/>
              </w:rPr>
              <w:t>3分，缺少一项扣1.5分。</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基础信息</w:t>
            </w:r>
          </w:p>
          <w:p>
            <w:pPr>
              <w:spacing w:line="320" w:lineRule="exact"/>
              <w:jc w:val="center"/>
              <w:rPr>
                <w:rFonts w:hint="eastAsia" w:ascii="仿宋_GB2312" w:eastAsia="仿宋_GB2312"/>
                <w:szCs w:val="21"/>
              </w:rPr>
            </w:pPr>
            <w:r>
              <w:rPr>
                <w:rFonts w:hint="eastAsia" w:ascii="仿宋_GB2312" w:eastAsia="仿宋_GB2312"/>
                <w:szCs w:val="21"/>
              </w:rPr>
              <w:t>完善性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是否已制定或具有资产管理制度；</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资产管理</w:t>
            </w:r>
          </w:p>
          <w:p>
            <w:pPr>
              <w:spacing w:line="320" w:lineRule="exact"/>
              <w:jc w:val="center"/>
              <w:rPr>
                <w:rFonts w:hint="eastAsia" w:ascii="仿宋_GB2312" w:eastAsia="仿宋_GB2312"/>
                <w:szCs w:val="21"/>
              </w:rPr>
            </w:pPr>
            <w:r>
              <w:rPr>
                <w:rFonts w:hint="eastAsia" w:ascii="仿宋_GB2312" w:eastAsia="仿宋_GB2312"/>
                <w:szCs w:val="21"/>
              </w:rPr>
              <w:t>安全性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资产保存是否完整；</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固定资产</w:t>
            </w:r>
          </w:p>
          <w:p>
            <w:pPr>
              <w:spacing w:line="320" w:lineRule="exact"/>
              <w:jc w:val="center"/>
              <w:rPr>
                <w:rFonts w:hint="eastAsia" w:ascii="仿宋_GB2312" w:eastAsia="仿宋_GB2312"/>
                <w:szCs w:val="21"/>
              </w:rPr>
            </w:pPr>
            <w:r>
              <w:rPr>
                <w:rFonts w:hint="eastAsia" w:ascii="仿宋_GB2312" w:eastAsia="仿宋_GB2312"/>
                <w:szCs w:val="21"/>
              </w:rPr>
              <w:t>利用率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固定资产利用率=（实际在用固定资产总额/所有固定资产总额）×100%。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固定资产利用</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-80%（含）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79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4" w:hRule="atLeast"/>
          <w:jc w:val="center"/>
        </w:trPr>
        <w:tc>
          <w:tcPr>
            <w:tcW w:w="539" w:type="dxa"/>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产   出</w:t>
            </w: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实际</w:t>
            </w:r>
          </w:p>
          <w:p>
            <w:pPr>
              <w:spacing w:line="320" w:lineRule="exact"/>
              <w:jc w:val="center"/>
              <w:rPr>
                <w:rFonts w:hint="eastAsia" w:ascii="仿宋_GB2312" w:eastAsia="仿宋_GB2312"/>
                <w:szCs w:val="21"/>
              </w:rPr>
            </w:pPr>
            <w:r>
              <w:rPr>
                <w:rFonts w:hint="eastAsia" w:ascii="仿宋_GB2312" w:eastAsia="仿宋_GB2312"/>
                <w:szCs w:val="21"/>
              </w:rPr>
              <w:t>完成率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实际完成率=（实际完成工作数/计划工作数）×100%。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539" w:type="dxa"/>
            <w:vMerge w:val="restart"/>
            <w:shd w:val="clear" w:color="auto" w:fill="auto"/>
            <w:noWrap w:val="0"/>
            <w:textDirection w:val="tbRlV"/>
            <w:vAlign w:val="center"/>
          </w:tcPr>
          <w:p>
            <w:pPr>
              <w:spacing w:line="320" w:lineRule="exact"/>
              <w:ind w:left="113"/>
              <w:jc w:val="center"/>
              <w:rPr>
                <w:rFonts w:hint="eastAsia" w:ascii="仿宋_GB2312" w:eastAsia="仿宋_GB2312"/>
                <w:szCs w:val="21"/>
              </w:rPr>
            </w:pPr>
            <w:r>
              <w:rPr>
                <w:rFonts w:hint="eastAsia" w:ascii="仿宋_GB2312" w:eastAsia="仿宋_GB2312"/>
                <w:szCs w:val="21"/>
              </w:rPr>
              <w:t>产   出</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完成</w:t>
            </w:r>
          </w:p>
          <w:p>
            <w:pPr>
              <w:spacing w:line="320" w:lineRule="exact"/>
              <w:jc w:val="center"/>
              <w:rPr>
                <w:rFonts w:hint="eastAsia" w:ascii="仿宋_GB2312" w:eastAsia="仿宋_GB2312"/>
                <w:szCs w:val="21"/>
              </w:rPr>
            </w:pPr>
            <w:r>
              <w:rPr>
                <w:rFonts w:hint="eastAsia" w:ascii="仿宋_GB2312" w:eastAsia="仿宋_GB2312"/>
                <w:szCs w:val="21"/>
              </w:rPr>
              <w:t>及时率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完成及时率=（及时完成实际工作数/计划工作数）×100%。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lang w:val="en-US" w:eastAsia="zh-CN"/>
              </w:rPr>
              <w:t>90%（含）以上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2"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质量</w:t>
            </w:r>
          </w:p>
          <w:p>
            <w:pPr>
              <w:spacing w:line="320" w:lineRule="exact"/>
              <w:jc w:val="center"/>
              <w:rPr>
                <w:rFonts w:hint="eastAsia" w:ascii="仿宋_GB2312" w:eastAsia="仿宋_GB2312"/>
                <w:szCs w:val="21"/>
              </w:rPr>
            </w:pPr>
            <w:r>
              <w:rPr>
                <w:rFonts w:hint="eastAsia" w:ascii="仿宋_GB2312" w:eastAsia="仿宋_GB2312"/>
                <w:szCs w:val="21"/>
              </w:rPr>
              <w:t>达标率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质量达标率=（质量达标实际工作数/计划工作数）×100%。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lang w:eastAsia="zh-CN"/>
              </w:rPr>
            </w:pPr>
            <w:r>
              <w:rPr>
                <w:rFonts w:hint="eastAsia" w:ascii="仿宋_GB2312" w:eastAsia="仿宋_GB2312"/>
                <w:szCs w:val="21"/>
                <w:lang w:eastAsia="zh-CN"/>
              </w:rPr>
              <w:t>达标</w:t>
            </w:r>
            <w:r>
              <w:rPr>
                <w:rFonts w:hint="eastAsia" w:ascii="仿宋_GB2312" w:eastAsia="仿宋_GB2312"/>
                <w:szCs w:val="21"/>
              </w:rPr>
              <w:t>率</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重点工作</w:t>
            </w:r>
          </w:p>
          <w:p>
            <w:pPr>
              <w:spacing w:line="320" w:lineRule="exact"/>
              <w:jc w:val="center"/>
              <w:rPr>
                <w:rFonts w:hint="eastAsia" w:ascii="仿宋_GB2312" w:eastAsia="仿宋_GB2312"/>
                <w:szCs w:val="21"/>
              </w:rPr>
            </w:pPr>
            <w:r>
              <w:rPr>
                <w:rFonts w:hint="eastAsia" w:ascii="仿宋_GB2312" w:eastAsia="仿宋_GB2312"/>
                <w:szCs w:val="21"/>
              </w:rPr>
              <w:t>办结率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重点工作办结率=（重点工作实际完成数/交办或下达数）×100%。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办结</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效   果</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履职</w:t>
            </w:r>
            <w:r>
              <w:rPr>
                <w:rFonts w:hint="eastAsia" w:ascii="仿宋_GB2312" w:eastAsia="仿宋_GB2312"/>
                <w:szCs w:val="21"/>
              </w:rPr>
              <w:br w:type="textWrapping"/>
            </w:r>
            <w:r>
              <w:rPr>
                <w:rFonts w:hint="eastAsia" w:ascii="仿宋_GB2312" w:eastAsia="仿宋_GB2312"/>
                <w:szCs w:val="21"/>
              </w:rPr>
              <w:t>效益</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经济效益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部门履行职责对经济发展所带来的直接或间接影响。</w:t>
            </w:r>
          </w:p>
        </w:tc>
        <w:tc>
          <w:tcPr>
            <w:tcW w:w="3150" w:type="dxa"/>
            <w:vMerge w:val="restart"/>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部门履行职责对社会发展所带来的直接或间接影响。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生态效益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部门履行职责对生态环境所带来的直接或间接影响。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社会公众</w:t>
            </w:r>
          </w:p>
          <w:p>
            <w:pPr>
              <w:spacing w:line="320" w:lineRule="exact"/>
              <w:jc w:val="center"/>
              <w:rPr>
                <w:rFonts w:hint="eastAsia" w:ascii="仿宋_GB2312" w:eastAsia="仿宋_GB2312"/>
                <w:szCs w:val="21"/>
              </w:rPr>
            </w:pPr>
            <w:r>
              <w:rPr>
                <w:rFonts w:hint="eastAsia" w:ascii="仿宋_GB2312" w:eastAsia="仿宋_GB2312"/>
                <w:szCs w:val="21"/>
              </w:rPr>
              <w:t>或服务对</w:t>
            </w:r>
          </w:p>
          <w:p>
            <w:pPr>
              <w:spacing w:line="320" w:lineRule="exact"/>
              <w:jc w:val="center"/>
              <w:rPr>
                <w:rFonts w:hint="eastAsia" w:ascii="仿宋_GB2312" w:eastAsia="仿宋_GB2312"/>
                <w:szCs w:val="21"/>
              </w:rPr>
            </w:pPr>
            <w:r>
              <w:rPr>
                <w:rFonts w:hint="eastAsia" w:ascii="仿宋_GB2312" w:eastAsia="仿宋_GB2312"/>
                <w:szCs w:val="21"/>
              </w:rPr>
              <w:t>象满意度</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社会公众或部门的服务对象对部门履职效果的满意程度。</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rPr>
              <w:t>采取社会调查的方式。</w:t>
            </w:r>
            <w:r>
              <w:rPr>
                <w:rFonts w:hint="eastAsia" w:ascii="仿宋_GB2312" w:eastAsia="仿宋_GB2312"/>
                <w:szCs w:val="21"/>
                <w:lang w:eastAsia="zh-CN"/>
              </w:rPr>
              <w:t>满意率</w:t>
            </w:r>
            <w:r>
              <w:rPr>
                <w:rFonts w:hint="eastAsia" w:ascii="仿宋_GB2312" w:eastAsia="仿宋_GB2312"/>
                <w:szCs w:val="21"/>
                <w:lang w:val="en-US" w:eastAsia="zh-CN"/>
              </w:rPr>
              <w:t>90%以上计5分，89%-80%计4分，79%-60%以下计2分，60%以下不计分。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39" w:type="dxa"/>
            <w:shd w:val="clear" w:color="auto" w:fill="auto"/>
            <w:noWrap w:val="0"/>
            <w:vAlign w:val="center"/>
          </w:tcPr>
          <w:p>
            <w:pPr>
              <w:spacing w:line="320" w:lineRule="exact"/>
              <w:rPr>
                <w:rFonts w:hint="eastAsia" w:ascii="仿宋_GB2312" w:eastAsia="仿宋_GB2312"/>
                <w:szCs w:val="21"/>
              </w:rPr>
            </w:pPr>
          </w:p>
        </w:tc>
        <w:tc>
          <w:tcPr>
            <w:tcW w:w="600" w:type="dxa"/>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总分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100</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95</w:t>
            </w:r>
          </w:p>
        </w:tc>
      </w:tr>
    </w:tbl>
    <w:p>
      <w:pPr>
        <w:widowControl/>
        <w:spacing w:line="520" w:lineRule="exact"/>
        <w:jc w:val="left"/>
        <w:rPr>
          <w:rFonts w:hint="eastAsia" w:ascii="宋体" w:hAnsi="宋体" w:cs="Arial"/>
          <w:b/>
          <w:kern w:val="0"/>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sdt>
    <w:sdtPr>
      <w:rPr>
        <w:rFonts w:asciiTheme="majorHAnsi" w:hAnsiTheme="majorHAnsi"/>
        <w:sz w:val="28"/>
        <w:szCs w:val="28"/>
        <w:lang w:val="zh-CN"/>
      </w:rPr>
      <w:id w:val="7722562"/>
      <w:docPartObj>
        <w:docPartGallery w:val="autotext"/>
      </w:docPartObj>
    </w:sdtPr>
    <w:sdtEndPr>
      <w:rPr>
        <w:rFonts w:asciiTheme="majorHAnsi" w:hAnsiTheme="majorHAnsi"/>
        <w:sz w:val="28"/>
        <w:szCs w:val="28"/>
        <w:lang w:val="zh-CN"/>
      </w:rPr>
    </w:sdtEndPr>
    <w:sdtContent>
      <w:p>
        <w:pPr>
          <w:pStyle w:val="7"/>
          <w:jc w:val="center"/>
          <w:rPr>
            <w:rFonts w:hint="eastAsia"/>
          </w:rPr>
        </w:pPr>
      </w:p>
      <w:p>
        <w:pPr>
          <w:pStyle w:val="7"/>
          <w:jc w:val="center"/>
          <w:rPr>
            <w:rFonts w:asciiTheme="majorHAnsi" w:hAnsiTheme="majorHAnsi"/>
            <w:sz w:val="28"/>
            <w:szCs w:val="28"/>
          </w:rPr>
        </w:pP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2F2749"/>
    <w:multiLevelType w:val="singleLevel"/>
    <w:tmpl w:val="3B2F274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jODk1OGY0ZDE0ZmRhZDU1NTc0NjFmODBiYmUxMzgifQ=="/>
    <w:docVar w:name="KSO_WPS_MARK_KEY" w:val="09ded913-e81c-4d47-962c-715b278f4c6f"/>
  </w:docVars>
  <w:rsids>
    <w:rsidRoot w:val="004A0EB9"/>
    <w:rsid w:val="0000477F"/>
    <w:rsid w:val="00030F62"/>
    <w:rsid w:val="00033C57"/>
    <w:rsid w:val="0004154D"/>
    <w:rsid w:val="000437C1"/>
    <w:rsid w:val="00045147"/>
    <w:rsid w:val="000705F3"/>
    <w:rsid w:val="000858A9"/>
    <w:rsid w:val="000864D5"/>
    <w:rsid w:val="000916B4"/>
    <w:rsid w:val="000B3645"/>
    <w:rsid w:val="000B6EE9"/>
    <w:rsid w:val="000D02CD"/>
    <w:rsid w:val="000D2A8E"/>
    <w:rsid w:val="000D5A1A"/>
    <w:rsid w:val="000E133B"/>
    <w:rsid w:val="000E4ED5"/>
    <w:rsid w:val="000E7EE5"/>
    <w:rsid w:val="000F03DC"/>
    <w:rsid w:val="000F1421"/>
    <w:rsid w:val="001050C5"/>
    <w:rsid w:val="00111CC5"/>
    <w:rsid w:val="00115E9D"/>
    <w:rsid w:val="00120A32"/>
    <w:rsid w:val="0012444C"/>
    <w:rsid w:val="0012476E"/>
    <w:rsid w:val="00131D3F"/>
    <w:rsid w:val="001336FE"/>
    <w:rsid w:val="00137E0B"/>
    <w:rsid w:val="0014357A"/>
    <w:rsid w:val="00145E53"/>
    <w:rsid w:val="00146BEF"/>
    <w:rsid w:val="001515E4"/>
    <w:rsid w:val="00155050"/>
    <w:rsid w:val="00163EEA"/>
    <w:rsid w:val="00165E3A"/>
    <w:rsid w:val="00166BDF"/>
    <w:rsid w:val="001717B0"/>
    <w:rsid w:val="001A1034"/>
    <w:rsid w:val="001B1439"/>
    <w:rsid w:val="001B24E2"/>
    <w:rsid w:val="001B45D8"/>
    <w:rsid w:val="001C744E"/>
    <w:rsid w:val="001C7606"/>
    <w:rsid w:val="001D5BFD"/>
    <w:rsid w:val="001F406F"/>
    <w:rsid w:val="00204AC8"/>
    <w:rsid w:val="0020732F"/>
    <w:rsid w:val="00220A80"/>
    <w:rsid w:val="0022152E"/>
    <w:rsid w:val="00221760"/>
    <w:rsid w:val="00273CBD"/>
    <w:rsid w:val="00290BE2"/>
    <w:rsid w:val="002A1194"/>
    <w:rsid w:val="002A428D"/>
    <w:rsid w:val="002C441C"/>
    <w:rsid w:val="002C67F2"/>
    <w:rsid w:val="002D0C07"/>
    <w:rsid w:val="002D62DD"/>
    <w:rsid w:val="002E03B9"/>
    <w:rsid w:val="00305C5F"/>
    <w:rsid w:val="00313417"/>
    <w:rsid w:val="00315CA1"/>
    <w:rsid w:val="003234FA"/>
    <w:rsid w:val="003315BE"/>
    <w:rsid w:val="00331F6E"/>
    <w:rsid w:val="00361FBA"/>
    <w:rsid w:val="00365514"/>
    <w:rsid w:val="00385EAE"/>
    <w:rsid w:val="003919E4"/>
    <w:rsid w:val="00392374"/>
    <w:rsid w:val="00392E66"/>
    <w:rsid w:val="003B0565"/>
    <w:rsid w:val="003C0B6A"/>
    <w:rsid w:val="003C3A63"/>
    <w:rsid w:val="003C73E9"/>
    <w:rsid w:val="003D0115"/>
    <w:rsid w:val="003F0CCE"/>
    <w:rsid w:val="00400AEC"/>
    <w:rsid w:val="00425F65"/>
    <w:rsid w:val="004270A8"/>
    <w:rsid w:val="004436F2"/>
    <w:rsid w:val="00445FE1"/>
    <w:rsid w:val="0044700C"/>
    <w:rsid w:val="00452152"/>
    <w:rsid w:val="00460164"/>
    <w:rsid w:val="00475B35"/>
    <w:rsid w:val="004823D2"/>
    <w:rsid w:val="00482E83"/>
    <w:rsid w:val="004874E6"/>
    <w:rsid w:val="004A0EB9"/>
    <w:rsid w:val="004B0BDD"/>
    <w:rsid w:val="004B6D88"/>
    <w:rsid w:val="004C25A8"/>
    <w:rsid w:val="004E30E4"/>
    <w:rsid w:val="004E60A4"/>
    <w:rsid w:val="005067FE"/>
    <w:rsid w:val="00516105"/>
    <w:rsid w:val="0052020D"/>
    <w:rsid w:val="00523850"/>
    <w:rsid w:val="00526E66"/>
    <w:rsid w:val="00531359"/>
    <w:rsid w:val="005322F9"/>
    <w:rsid w:val="005355F3"/>
    <w:rsid w:val="00552DF0"/>
    <w:rsid w:val="00555131"/>
    <w:rsid w:val="00563FEB"/>
    <w:rsid w:val="005834B2"/>
    <w:rsid w:val="005845FC"/>
    <w:rsid w:val="00593DA6"/>
    <w:rsid w:val="00594E50"/>
    <w:rsid w:val="005A4F04"/>
    <w:rsid w:val="005B396E"/>
    <w:rsid w:val="005B726B"/>
    <w:rsid w:val="005C6E2A"/>
    <w:rsid w:val="005D2BBD"/>
    <w:rsid w:val="005E399B"/>
    <w:rsid w:val="00604F81"/>
    <w:rsid w:val="00623AAC"/>
    <w:rsid w:val="00630445"/>
    <w:rsid w:val="006346BB"/>
    <w:rsid w:val="00650D23"/>
    <w:rsid w:val="006644F8"/>
    <w:rsid w:val="00676771"/>
    <w:rsid w:val="00686335"/>
    <w:rsid w:val="00691767"/>
    <w:rsid w:val="00693E6C"/>
    <w:rsid w:val="00696DB5"/>
    <w:rsid w:val="006B5A55"/>
    <w:rsid w:val="006B62E8"/>
    <w:rsid w:val="006C5096"/>
    <w:rsid w:val="006D5EEF"/>
    <w:rsid w:val="0073389F"/>
    <w:rsid w:val="00734B9C"/>
    <w:rsid w:val="00735587"/>
    <w:rsid w:val="007553FB"/>
    <w:rsid w:val="007566BE"/>
    <w:rsid w:val="0076239D"/>
    <w:rsid w:val="00796F24"/>
    <w:rsid w:val="007A6F3F"/>
    <w:rsid w:val="007C148B"/>
    <w:rsid w:val="007C24A3"/>
    <w:rsid w:val="007C367C"/>
    <w:rsid w:val="007C6257"/>
    <w:rsid w:val="007D3C9F"/>
    <w:rsid w:val="007E1ECE"/>
    <w:rsid w:val="007E25B1"/>
    <w:rsid w:val="007E42F5"/>
    <w:rsid w:val="007F5224"/>
    <w:rsid w:val="00803052"/>
    <w:rsid w:val="008306BC"/>
    <w:rsid w:val="00832C71"/>
    <w:rsid w:val="008442FF"/>
    <w:rsid w:val="00844895"/>
    <w:rsid w:val="00874BE0"/>
    <w:rsid w:val="008C4B96"/>
    <w:rsid w:val="008D3155"/>
    <w:rsid w:val="00901C09"/>
    <w:rsid w:val="0090222B"/>
    <w:rsid w:val="009232D9"/>
    <w:rsid w:val="0092560B"/>
    <w:rsid w:val="009356D2"/>
    <w:rsid w:val="00947054"/>
    <w:rsid w:val="00953068"/>
    <w:rsid w:val="00975236"/>
    <w:rsid w:val="009805A1"/>
    <w:rsid w:val="00994E26"/>
    <w:rsid w:val="00997C98"/>
    <w:rsid w:val="009A78B2"/>
    <w:rsid w:val="009B43EC"/>
    <w:rsid w:val="009C6EBC"/>
    <w:rsid w:val="009F4165"/>
    <w:rsid w:val="009F48EA"/>
    <w:rsid w:val="00A04B35"/>
    <w:rsid w:val="00A1013C"/>
    <w:rsid w:val="00A24992"/>
    <w:rsid w:val="00A27766"/>
    <w:rsid w:val="00A42D89"/>
    <w:rsid w:val="00A477AC"/>
    <w:rsid w:val="00A62833"/>
    <w:rsid w:val="00A62A12"/>
    <w:rsid w:val="00A822D1"/>
    <w:rsid w:val="00A87647"/>
    <w:rsid w:val="00A918E4"/>
    <w:rsid w:val="00AA6D67"/>
    <w:rsid w:val="00AB6205"/>
    <w:rsid w:val="00AD607C"/>
    <w:rsid w:val="00AE6305"/>
    <w:rsid w:val="00AF5994"/>
    <w:rsid w:val="00AF6499"/>
    <w:rsid w:val="00B116E9"/>
    <w:rsid w:val="00B12231"/>
    <w:rsid w:val="00B12C2F"/>
    <w:rsid w:val="00B3606F"/>
    <w:rsid w:val="00B36FD5"/>
    <w:rsid w:val="00B37711"/>
    <w:rsid w:val="00B40F17"/>
    <w:rsid w:val="00B46549"/>
    <w:rsid w:val="00B55B91"/>
    <w:rsid w:val="00B837E1"/>
    <w:rsid w:val="00B927A7"/>
    <w:rsid w:val="00BB04C7"/>
    <w:rsid w:val="00BD29B4"/>
    <w:rsid w:val="00BE10E9"/>
    <w:rsid w:val="00BF0CE3"/>
    <w:rsid w:val="00C01FBD"/>
    <w:rsid w:val="00C173AC"/>
    <w:rsid w:val="00C434CE"/>
    <w:rsid w:val="00C53122"/>
    <w:rsid w:val="00C63D92"/>
    <w:rsid w:val="00C6430F"/>
    <w:rsid w:val="00C64617"/>
    <w:rsid w:val="00C64E69"/>
    <w:rsid w:val="00C845CD"/>
    <w:rsid w:val="00C96718"/>
    <w:rsid w:val="00CA7136"/>
    <w:rsid w:val="00CB48C0"/>
    <w:rsid w:val="00CC5CAD"/>
    <w:rsid w:val="00CE5AF9"/>
    <w:rsid w:val="00D07775"/>
    <w:rsid w:val="00D108AF"/>
    <w:rsid w:val="00D30F87"/>
    <w:rsid w:val="00D3323F"/>
    <w:rsid w:val="00D410BB"/>
    <w:rsid w:val="00D464E2"/>
    <w:rsid w:val="00D907B0"/>
    <w:rsid w:val="00D914F9"/>
    <w:rsid w:val="00DB02EE"/>
    <w:rsid w:val="00DE32BF"/>
    <w:rsid w:val="00DF1624"/>
    <w:rsid w:val="00DF5D8F"/>
    <w:rsid w:val="00E13222"/>
    <w:rsid w:val="00E15540"/>
    <w:rsid w:val="00E16AF4"/>
    <w:rsid w:val="00E213D5"/>
    <w:rsid w:val="00E3257D"/>
    <w:rsid w:val="00E36F2D"/>
    <w:rsid w:val="00E51ED7"/>
    <w:rsid w:val="00E52CFB"/>
    <w:rsid w:val="00E539A5"/>
    <w:rsid w:val="00E72F94"/>
    <w:rsid w:val="00E73C2E"/>
    <w:rsid w:val="00E812CA"/>
    <w:rsid w:val="00E81CF9"/>
    <w:rsid w:val="00E82E34"/>
    <w:rsid w:val="00E834A6"/>
    <w:rsid w:val="00E84EBC"/>
    <w:rsid w:val="00E91BD0"/>
    <w:rsid w:val="00E93CB9"/>
    <w:rsid w:val="00EC71C9"/>
    <w:rsid w:val="00ED68D5"/>
    <w:rsid w:val="00ED69E7"/>
    <w:rsid w:val="00EE1AA5"/>
    <w:rsid w:val="00EF5650"/>
    <w:rsid w:val="00F03265"/>
    <w:rsid w:val="00F03B9A"/>
    <w:rsid w:val="00F15AC6"/>
    <w:rsid w:val="00F379CE"/>
    <w:rsid w:val="00F405FC"/>
    <w:rsid w:val="00F443BD"/>
    <w:rsid w:val="00F44C2A"/>
    <w:rsid w:val="00F56E73"/>
    <w:rsid w:val="00F7423F"/>
    <w:rsid w:val="00F83FE8"/>
    <w:rsid w:val="00F84055"/>
    <w:rsid w:val="00F9688F"/>
    <w:rsid w:val="00FD0469"/>
    <w:rsid w:val="00FD2A6E"/>
    <w:rsid w:val="02D84414"/>
    <w:rsid w:val="036342B2"/>
    <w:rsid w:val="04460CB3"/>
    <w:rsid w:val="080E4C4C"/>
    <w:rsid w:val="0B350656"/>
    <w:rsid w:val="0B76315D"/>
    <w:rsid w:val="0BFB4353"/>
    <w:rsid w:val="0CE82647"/>
    <w:rsid w:val="0D445513"/>
    <w:rsid w:val="0F696B20"/>
    <w:rsid w:val="14F24187"/>
    <w:rsid w:val="1A847F19"/>
    <w:rsid w:val="1C6B07E0"/>
    <w:rsid w:val="1D1B2F6D"/>
    <w:rsid w:val="276D2E0E"/>
    <w:rsid w:val="27E40050"/>
    <w:rsid w:val="2A4B3E74"/>
    <w:rsid w:val="2C6C3D79"/>
    <w:rsid w:val="2FB63AC1"/>
    <w:rsid w:val="31F14C87"/>
    <w:rsid w:val="33BC6E6B"/>
    <w:rsid w:val="34882369"/>
    <w:rsid w:val="39632A64"/>
    <w:rsid w:val="3A7433E0"/>
    <w:rsid w:val="3AFF464E"/>
    <w:rsid w:val="3BCC5746"/>
    <w:rsid w:val="3C3F3E55"/>
    <w:rsid w:val="3E4F1453"/>
    <w:rsid w:val="3E7F2E11"/>
    <w:rsid w:val="3EB0474A"/>
    <w:rsid w:val="419703BE"/>
    <w:rsid w:val="41C805C5"/>
    <w:rsid w:val="41F67B6D"/>
    <w:rsid w:val="42791A92"/>
    <w:rsid w:val="42902453"/>
    <w:rsid w:val="450373B2"/>
    <w:rsid w:val="4AAA4720"/>
    <w:rsid w:val="4BB328F5"/>
    <w:rsid w:val="4C77584F"/>
    <w:rsid w:val="50DA0CFF"/>
    <w:rsid w:val="5793439F"/>
    <w:rsid w:val="5D0D6AF6"/>
    <w:rsid w:val="5EAC5EC6"/>
    <w:rsid w:val="60900E59"/>
    <w:rsid w:val="60FA2D34"/>
    <w:rsid w:val="61A03DAC"/>
    <w:rsid w:val="66914A50"/>
    <w:rsid w:val="671E39F0"/>
    <w:rsid w:val="69D31390"/>
    <w:rsid w:val="6B461EDA"/>
    <w:rsid w:val="6BE12E51"/>
    <w:rsid w:val="6D244C4E"/>
    <w:rsid w:val="6F0276AA"/>
    <w:rsid w:val="6FB673F4"/>
    <w:rsid w:val="718C6443"/>
    <w:rsid w:val="71E759B2"/>
    <w:rsid w:val="723F3150"/>
    <w:rsid w:val="73C02E91"/>
    <w:rsid w:val="74CF2B9F"/>
    <w:rsid w:val="75CD50A0"/>
    <w:rsid w:val="763933D7"/>
    <w:rsid w:val="764A7A65"/>
    <w:rsid w:val="783707C4"/>
    <w:rsid w:val="7A9A5B50"/>
    <w:rsid w:val="7CED5F01"/>
    <w:rsid w:val="7D515947"/>
    <w:rsid w:val="7F1A3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99"/>
    <w:pPr>
      <w:widowControl/>
      <w:ind w:firstLine="420"/>
      <w:jc w:val="left"/>
    </w:pPr>
    <w:rPr>
      <w:kern w:val="0"/>
    </w:rPr>
  </w:style>
  <w:style w:type="paragraph" w:styleId="3">
    <w:name w:val="Body Text"/>
    <w:basedOn w:val="1"/>
    <w:next w:val="4"/>
    <w:qFormat/>
    <w:uiPriority w:val="0"/>
    <w:pPr>
      <w:spacing w:after="120"/>
    </w:pPr>
  </w:style>
  <w:style w:type="paragraph" w:styleId="4">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5">
    <w:name w:val="Plain Text"/>
    <w:basedOn w:val="1"/>
    <w:link w:val="19"/>
    <w:qFormat/>
    <w:uiPriority w:val="99"/>
    <w:rPr>
      <w:rFonts w:ascii="宋体" w:hAnsi="Courier New" w:cs="Courier New"/>
      <w:szCs w:val="21"/>
    </w:rPr>
  </w:style>
  <w:style w:type="paragraph" w:styleId="6">
    <w:name w:val="Date"/>
    <w:basedOn w:val="1"/>
    <w:next w:val="1"/>
    <w:link w:val="20"/>
    <w:semiHidden/>
    <w:unhideWhenUsed/>
    <w:qFormat/>
    <w:uiPriority w:val="99"/>
    <w:pPr>
      <w:ind w:left="100" w:leftChars="2500"/>
    </w:p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BodyText1I2"/>
    <w:basedOn w:val="14"/>
    <w:qFormat/>
    <w:uiPriority w:val="99"/>
    <w:pPr>
      <w:ind w:firstLine="420" w:firstLineChars="200"/>
    </w:pPr>
    <w:rPr>
      <w:b/>
      <w:bCs/>
      <w:kern w:val="44"/>
      <w:sz w:val="32"/>
      <w:szCs w:val="44"/>
    </w:rPr>
  </w:style>
  <w:style w:type="paragraph" w:customStyle="1" w:styleId="14">
    <w:name w:val="BodyTextIndent"/>
    <w:basedOn w:val="1"/>
    <w:qFormat/>
    <w:uiPriority w:val="99"/>
    <w:pPr>
      <w:spacing w:after="120"/>
      <w:ind w:left="420" w:leftChars="200"/>
      <w:textAlignment w:val="baseline"/>
    </w:pPr>
    <w:rPr>
      <w:kern w:val="0"/>
      <w:sz w:val="20"/>
    </w:r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7"/>
    <w:qFormat/>
    <w:uiPriority w:val="99"/>
    <w:rPr>
      <w:sz w:val="18"/>
      <w:szCs w:val="18"/>
    </w:rPr>
  </w:style>
  <w:style w:type="paragraph" w:styleId="1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8">
    <w:name w:val="纯文本 Char"/>
    <w:basedOn w:val="12"/>
    <w:link w:val="5"/>
    <w:qFormat/>
    <w:uiPriority w:val="99"/>
    <w:rPr>
      <w:rFonts w:ascii="宋体" w:hAnsi="Courier New" w:cs="Courier New"/>
      <w:szCs w:val="21"/>
    </w:rPr>
  </w:style>
  <w:style w:type="character" w:customStyle="1" w:styleId="19">
    <w:name w:val="纯文本 Char1"/>
    <w:basedOn w:val="12"/>
    <w:link w:val="5"/>
    <w:semiHidden/>
    <w:qFormat/>
    <w:uiPriority w:val="99"/>
    <w:rPr>
      <w:rFonts w:ascii="宋体" w:hAnsi="Courier New" w:eastAsia="宋体" w:cs="Courier New"/>
      <w:szCs w:val="21"/>
    </w:rPr>
  </w:style>
  <w:style w:type="character" w:customStyle="1" w:styleId="20">
    <w:name w:val="日期 Char"/>
    <w:basedOn w:val="12"/>
    <w:link w:val="6"/>
    <w:semiHidden/>
    <w:qFormat/>
    <w:uiPriority w:val="99"/>
  </w:style>
  <w:style w:type="character" w:customStyle="1" w:styleId="21">
    <w:name w:val="font21"/>
    <w:basedOn w:val="12"/>
    <w:qFormat/>
    <w:uiPriority w:val="0"/>
    <w:rPr>
      <w:rFonts w:hint="eastAsia" w:ascii="宋体" w:hAnsi="宋体" w:eastAsia="宋体" w:cs="宋体"/>
      <w:b/>
      <w:bCs/>
      <w:color w:val="000000"/>
      <w:sz w:val="21"/>
      <w:szCs w:val="21"/>
      <w:u w:val="none"/>
    </w:rPr>
  </w:style>
  <w:style w:type="character" w:customStyle="1" w:styleId="22">
    <w:name w:val="font61"/>
    <w:basedOn w:val="12"/>
    <w:qFormat/>
    <w:uiPriority w:val="0"/>
    <w:rPr>
      <w:rFonts w:ascii="仿宋" w:hAnsi="仿宋" w:eastAsia="仿宋" w:cs="仿宋"/>
      <w:b/>
      <w:bCs/>
      <w:color w:val="000000"/>
      <w:sz w:val="21"/>
      <w:szCs w:val="21"/>
      <w:u w:val="none"/>
    </w:rPr>
  </w:style>
  <w:style w:type="character" w:customStyle="1" w:styleId="23">
    <w:name w:val="font51"/>
    <w:basedOn w:val="12"/>
    <w:qFormat/>
    <w:uiPriority w:val="0"/>
    <w:rPr>
      <w:rFonts w:hint="eastAsia" w:ascii="仿宋" w:hAnsi="仿宋" w:eastAsia="仿宋" w:cs="仿宋"/>
      <w:color w:val="000000"/>
      <w:sz w:val="21"/>
      <w:szCs w:val="21"/>
      <w:u w:val="none"/>
    </w:rPr>
  </w:style>
  <w:style w:type="character" w:customStyle="1" w:styleId="24">
    <w:name w:val="font41"/>
    <w:basedOn w:val="12"/>
    <w:qFormat/>
    <w:uiPriority w:val="0"/>
    <w:rPr>
      <w:rFonts w:hint="eastAsia" w:ascii="宋体" w:hAnsi="宋体" w:eastAsia="宋体" w:cs="宋体"/>
      <w:color w:val="000000"/>
      <w:sz w:val="21"/>
      <w:szCs w:val="21"/>
      <w:u w:val="none"/>
    </w:rPr>
  </w:style>
  <w:style w:type="character" w:customStyle="1" w:styleId="25">
    <w:name w:val="font11"/>
    <w:basedOn w:val="12"/>
    <w:qFormat/>
    <w:uiPriority w:val="0"/>
    <w:rPr>
      <w:rFonts w:hint="eastAsia" w:ascii="宋体" w:hAnsi="宋体" w:eastAsia="宋体" w:cs="宋体"/>
      <w:b/>
      <w:bCs/>
      <w:color w:val="000000"/>
      <w:sz w:val="21"/>
      <w:szCs w:val="21"/>
      <w:u w:val="none"/>
    </w:rPr>
  </w:style>
  <w:style w:type="character" w:customStyle="1" w:styleId="26">
    <w:name w:val="font91"/>
    <w:basedOn w:val="12"/>
    <w:qFormat/>
    <w:uiPriority w:val="0"/>
    <w:rPr>
      <w:rFonts w:ascii="Calibri" w:hAnsi="Calibri" w:cs="Calibri"/>
      <w:b/>
      <w:bCs/>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502EC2-9335-4E9F-9A1E-513015E8C5B4}">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14</Pages>
  <Words>5943</Words>
  <Characters>6723</Characters>
  <Lines>88</Lines>
  <Paragraphs>24</Paragraphs>
  <TotalTime>20</TotalTime>
  <ScaleCrop>false</ScaleCrop>
  <LinksUpToDate>false</LinksUpToDate>
  <CharactersWithSpaces>6890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2021-05-18T09:21:00Z</dcterms:created>
  <dc:creator>1D507-2</dc:creator>
  <cp:lastModifiedBy>单单</cp:lastModifiedBy>
  <cp:lastPrinted>2025-06-27T08:11:02Z</cp:lastPrinted>
  <dcterms:modified xsi:type="dcterms:W3CDTF">2025-06-27T08:27:42Z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eyJoZGlkIjoiNzllMTQzOGVkNTE4YjQ0OTkzODVkM2Y1YmQyM2Y5MjUifQ==</vt:lpwstr>
  </property>
  <property fmtid="{D5CDD505-2E9C-101B-9397-08002B2CF9AE}" pid="3" name="KSOProductBuildVer">
    <vt:lpwstr>2052-11.1.0.14309</vt:lpwstr>
  </property>
  <property fmtid="{D5CDD505-2E9C-101B-9397-08002B2CF9AE}" pid="4" name="ICV">
    <vt:lpwstr>2CB0110EAE32446BAC73695B3D4C7940_13</vt:lpwstr>
  </property>
</Properties>
</file>