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62AD51">
      <w:pPr>
        <w:spacing w:line="600" w:lineRule="exact"/>
        <w:rPr>
          <w:rFonts w:hint="eastAsia" w:ascii="黑体" w:hAnsi="黑体" w:eastAsia="黑体" w:cs="黑体"/>
          <w:sz w:val="36"/>
          <w:szCs w:val="36"/>
        </w:rPr>
      </w:pPr>
      <w:r>
        <w:rPr>
          <w:rFonts w:hint="eastAsia" w:ascii="黑体" w:hAnsi="黑体" w:eastAsia="黑体" w:cs="黑体"/>
          <w:sz w:val="32"/>
          <w:szCs w:val="32"/>
        </w:rPr>
        <w:t>附件1</w:t>
      </w:r>
    </w:p>
    <w:p w14:paraId="7C4849D9">
      <w:pPr>
        <w:spacing w:line="600" w:lineRule="exact"/>
        <w:jc w:val="center"/>
        <w:rPr>
          <w:rFonts w:eastAsia="方正小标宋简体"/>
          <w:sz w:val="40"/>
          <w:szCs w:val="40"/>
        </w:rPr>
      </w:pPr>
      <w:bookmarkStart w:id="0" w:name="_GoBack"/>
      <w:r>
        <w:rPr>
          <w:rFonts w:eastAsia="方正小标宋简体"/>
          <w:sz w:val="40"/>
          <w:szCs w:val="40"/>
        </w:rPr>
        <w:t>2025年湖南省先进制造业高地建设专项资金申报指南</w:t>
      </w:r>
    </w:p>
    <w:bookmarkEnd w:id="0"/>
    <w:tbl>
      <w:tblPr>
        <w:tblStyle w:val="5"/>
        <w:tblW w:w="15677" w:type="dxa"/>
        <w:jc w:val="center"/>
        <w:tblLayout w:type="fixed"/>
        <w:tblCellMar>
          <w:top w:w="0" w:type="dxa"/>
          <w:left w:w="108" w:type="dxa"/>
          <w:bottom w:w="0" w:type="dxa"/>
          <w:right w:w="108" w:type="dxa"/>
        </w:tblCellMar>
      </w:tblPr>
      <w:tblGrid>
        <w:gridCol w:w="1215"/>
        <w:gridCol w:w="4836"/>
        <w:gridCol w:w="7052"/>
        <w:gridCol w:w="806"/>
        <w:gridCol w:w="1768"/>
      </w:tblGrid>
      <w:tr w14:paraId="375654C6">
        <w:tblPrEx>
          <w:tblCellMar>
            <w:top w:w="0" w:type="dxa"/>
            <w:left w:w="108" w:type="dxa"/>
            <w:bottom w:w="0" w:type="dxa"/>
            <w:right w:w="108" w:type="dxa"/>
          </w:tblCellMar>
        </w:tblPrEx>
        <w:trPr>
          <w:trHeight w:val="425" w:hRule="atLeast"/>
          <w:tblHeader/>
          <w:jc w:val="center"/>
        </w:trPr>
        <w:tc>
          <w:tcPr>
            <w:tcW w:w="1215" w:type="dxa"/>
            <w:tcBorders>
              <w:top w:val="single" w:color="auto" w:sz="4" w:space="0"/>
              <w:left w:val="single" w:color="auto" w:sz="4" w:space="0"/>
              <w:bottom w:val="single" w:color="auto" w:sz="4" w:space="0"/>
              <w:right w:val="single" w:color="auto" w:sz="4" w:space="0"/>
            </w:tcBorders>
            <w:noWrap w:val="0"/>
            <w:vAlign w:val="center"/>
          </w:tcPr>
          <w:p w14:paraId="37E53DF0">
            <w:pPr>
              <w:widowControl/>
              <w:spacing w:line="320" w:lineRule="exact"/>
              <w:jc w:val="center"/>
              <w:rPr>
                <w:rFonts w:eastAsia="黑体"/>
                <w:kern w:val="0"/>
                <w:sz w:val="24"/>
              </w:rPr>
            </w:pPr>
            <w:r>
              <w:rPr>
                <w:rFonts w:eastAsia="黑体"/>
                <w:kern w:val="0"/>
                <w:sz w:val="24"/>
              </w:rPr>
              <w:t>支持事项</w:t>
            </w:r>
          </w:p>
        </w:tc>
        <w:tc>
          <w:tcPr>
            <w:tcW w:w="4836" w:type="dxa"/>
            <w:tcBorders>
              <w:top w:val="single" w:color="auto" w:sz="4" w:space="0"/>
              <w:left w:val="nil"/>
              <w:bottom w:val="single" w:color="auto" w:sz="4" w:space="0"/>
              <w:right w:val="single" w:color="auto" w:sz="4" w:space="0"/>
            </w:tcBorders>
            <w:noWrap w:val="0"/>
            <w:vAlign w:val="center"/>
          </w:tcPr>
          <w:p w14:paraId="209A854C">
            <w:pPr>
              <w:widowControl/>
              <w:spacing w:line="320" w:lineRule="exact"/>
              <w:jc w:val="center"/>
              <w:rPr>
                <w:rFonts w:eastAsia="方正黑体简体"/>
                <w:kern w:val="0"/>
                <w:sz w:val="24"/>
              </w:rPr>
            </w:pPr>
            <w:r>
              <w:rPr>
                <w:rFonts w:eastAsia="方正黑体简体"/>
                <w:kern w:val="0"/>
                <w:sz w:val="24"/>
              </w:rPr>
              <w:t>具体方向</w:t>
            </w:r>
          </w:p>
        </w:tc>
        <w:tc>
          <w:tcPr>
            <w:tcW w:w="7052" w:type="dxa"/>
            <w:tcBorders>
              <w:top w:val="single" w:color="auto" w:sz="4" w:space="0"/>
              <w:left w:val="nil"/>
              <w:bottom w:val="single" w:color="auto" w:sz="4" w:space="0"/>
              <w:right w:val="single" w:color="auto" w:sz="4" w:space="0"/>
            </w:tcBorders>
            <w:noWrap w:val="0"/>
            <w:vAlign w:val="center"/>
          </w:tcPr>
          <w:p w14:paraId="40B3DA2E">
            <w:pPr>
              <w:widowControl/>
              <w:spacing w:line="320" w:lineRule="exact"/>
              <w:jc w:val="center"/>
              <w:rPr>
                <w:rFonts w:eastAsia="方正黑体简体"/>
                <w:kern w:val="0"/>
                <w:sz w:val="24"/>
              </w:rPr>
            </w:pPr>
            <w:r>
              <w:rPr>
                <w:rFonts w:eastAsia="方正黑体简体"/>
                <w:kern w:val="0"/>
                <w:sz w:val="24"/>
              </w:rPr>
              <w:t>申报条件</w:t>
            </w:r>
          </w:p>
        </w:tc>
        <w:tc>
          <w:tcPr>
            <w:tcW w:w="806" w:type="dxa"/>
            <w:tcBorders>
              <w:top w:val="single" w:color="auto" w:sz="4" w:space="0"/>
              <w:left w:val="nil"/>
              <w:bottom w:val="single" w:color="auto" w:sz="4" w:space="0"/>
              <w:right w:val="single" w:color="auto" w:sz="4" w:space="0"/>
            </w:tcBorders>
            <w:noWrap w:val="0"/>
            <w:vAlign w:val="center"/>
          </w:tcPr>
          <w:p w14:paraId="6E9B1326">
            <w:pPr>
              <w:widowControl/>
              <w:spacing w:line="320" w:lineRule="exact"/>
              <w:jc w:val="center"/>
              <w:rPr>
                <w:rFonts w:eastAsia="方正仿宋简体"/>
                <w:kern w:val="0"/>
                <w:sz w:val="24"/>
              </w:rPr>
            </w:pPr>
            <w:r>
              <w:rPr>
                <w:rFonts w:eastAsia="方正黑体简体"/>
                <w:kern w:val="0"/>
                <w:sz w:val="24"/>
              </w:rPr>
              <w:t>支持方式</w:t>
            </w:r>
          </w:p>
        </w:tc>
        <w:tc>
          <w:tcPr>
            <w:tcW w:w="1768" w:type="dxa"/>
            <w:tcBorders>
              <w:top w:val="single" w:color="auto" w:sz="4" w:space="0"/>
              <w:left w:val="nil"/>
              <w:bottom w:val="single" w:color="auto" w:sz="4" w:space="0"/>
              <w:right w:val="single" w:color="auto" w:sz="4" w:space="0"/>
            </w:tcBorders>
            <w:noWrap w:val="0"/>
            <w:vAlign w:val="center"/>
          </w:tcPr>
          <w:p w14:paraId="31047820">
            <w:pPr>
              <w:widowControl/>
              <w:spacing w:line="320" w:lineRule="exact"/>
              <w:jc w:val="center"/>
              <w:rPr>
                <w:rFonts w:eastAsia="方正黑体简体"/>
                <w:kern w:val="0"/>
                <w:sz w:val="24"/>
              </w:rPr>
            </w:pPr>
            <w:r>
              <w:rPr>
                <w:rFonts w:eastAsia="方正黑体简体"/>
                <w:kern w:val="0"/>
                <w:sz w:val="24"/>
              </w:rPr>
              <w:t>联系人</w:t>
            </w:r>
          </w:p>
        </w:tc>
      </w:tr>
      <w:tr w14:paraId="5BE68A0B">
        <w:tblPrEx>
          <w:tblCellMar>
            <w:top w:w="0" w:type="dxa"/>
            <w:left w:w="108" w:type="dxa"/>
            <w:bottom w:w="0" w:type="dxa"/>
            <w:right w:w="108" w:type="dxa"/>
          </w:tblCellMar>
        </w:tblPrEx>
        <w:trPr>
          <w:trHeight w:val="6152" w:hRule="atLeast"/>
          <w:jc w:val="center"/>
        </w:trPr>
        <w:tc>
          <w:tcPr>
            <w:tcW w:w="1215" w:type="dxa"/>
            <w:tcBorders>
              <w:top w:val="single" w:color="auto" w:sz="4" w:space="0"/>
              <w:left w:val="single" w:color="auto" w:sz="4" w:space="0"/>
              <w:bottom w:val="single" w:color="auto" w:sz="4" w:space="0"/>
              <w:right w:val="single" w:color="auto" w:sz="4" w:space="0"/>
            </w:tcBorders>
            <w:noWrap w:val="0"/>
            <w:vAlign w:val="center"/>
          </w:tcPr>
          <w:p w14:paraId="6285B54B">
            <w:pPr>
              <w:widowControl/>
              <w:numPr>
                <w:ilvl w:val="0"/>
                <w:numId w:val="1"/>
              </w:numPr>
              <w:spacing w:line="320" w:lineRule="exact"/>
              <w:jc w:val="left"/>
              <w:rPr>
                <w:rFonts w:eastAsia="黑体"/>
                <w:szCs w:val="21"/>
              </w:rPr>
            </w:pPr>
            <w:r>
              <w:rPr>
                <w:rFonts w:eastAsia="黑体"/>
                <w:sz w:val="24"/>
              </w:rPr>
              <w:t>重点产业项目补助</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933A449">
            <w:pPr>
              <w:spacing w:line="320" w:lineRule="exact"/>
              <w:rPr>
                <w:rFonts w:eastAsia="仿宋"/>
                <w:sz w:val="24"/>
              </w:rPr>
            </w:pPr>
            <w:r>
              <w:rPr>
                <w:rFonts w:eastAsia="仿宋"/>
                <w:sz w:val="24"/>
              </w:rPr>
              <w:t>1.列入2025年省政府十大产业项目、省领导联系的重点项目中的制造业项目；</w:t>
            </w:r>
          </w:p>
          <w:p w14:paraId="3F68759E">
            <w:pPr>
              <w:spacing w:line="320" w:lineRule="exact"/>
              <w:rPr>
                <w:rFonts w:eastAsia="仿宋"/>
                <w:sz w:val="24"/>
              </w:rPr>
            </w:pPr>
            <w:r>
              <w:rPr>
                <w:rFonts w:eastAsia="仿宋"/>
                <w:sz w:val="24"/>
              </w:rPr>
              <w:t>2.“4×4”现代化产业体系、先进制造业</w:t>
            </w:r>
            <w:r>
              <w:rPr>
                <w:rFonts w:hint="eastAsia" w:eastAsia="仿宋"/>
                <w:sz w:val="24"/>
              </w:rPr>
              <w:t>高地</w:t>
            </w:r>
            <w:r>
              <w:rPr>
                <w:rFonts w:eastAsia="仿宋"/>
                <w:sz w:val="24"/>
              </w:rPr>
              <w:t>标志性工程重点制造业项目；</w:t>
            </w:r>
          </w:p>
          <w:p w14:paraId="51B3E216">
            <w:pPr>
              <w:spacing w:line="320" w:lineRule="exact"/>
              <w:rPr>
                <w:rFonts w:eastAsia="仿宋"/>
                <w:sz w:val="24"/>
              </w:rPr>
            </w:pPr>
            <w:r>
              <w:rPr>
                <w:rFonts w:eastAsia="仿宋"/>
                <w:sz w:val="24"/>
              </w:rPr>
              <w:t>3.新一代信息技术、绿色农产品及食品加工、工程机械、音视频、先进钢铁材料、轨道交通装备、新能源、现代石化、装配式建筑、生物医药及医疗器械、智能衡器计量等12个重点产业链（产业集群）重点制造业项目（航空航天及北斗重点产业项目通过其他专项支持）。</w:t>
            </w:r>
          </w:p>
          <w:p w14:paraId="558A5D60">
            <w:pPr>
              <w:spacing w:line="320" w:lineRule="exact"/>
              <w:rPr>
                <w:rFonts w:eastAsia="仿宋"/>
                <w:sz w:val="24"/>
              </w:rPr>
            </w:pPr>
            <w:r>
              <w:rPr>
                <w:rFonts w:eastAsia="仿宋"/>
                <w:sz w:val="24"/>
              </w:rPr>
              <w:t>4.符合锂电、新能源材料、工程机械再制造、蔬菜出口等相关政策文件要求的重点制造业项目。</w:t>
            </w:r>
          </w:p>
          <w:p w14:paraId="118A9799">
            <w:pPr>
              <w:spacing w:line="320" w:lineRule="exact"/>
              <w:rPr>
                <w:rFonts w:eastAsia="仿宋"/>
                <w:sz w:val="24"/>
              </w:rPr>
            </w:pPr>
            <w:r>
              <w:rPr>
                <w:rFonts w:eastAsia="仿宋"/>
                <w:sz w:val="24"/>
              </w:rPr>
              <w:t>5.符合国家设备更新和技术改造再贷款贴息、湖南省工业企业设备更新和技术改造融资补贴要求的重点制造业项目。</w:t>
            </w:r>
          </w:p>
          <w:p w14:paraId="70B8238D">
            <w:pPr>
              <w:spacing w:line="320" w:lineRule="exact"/>
              <w:rPr>
                <w:sz w:val="20"/>
                <w:szCs w:val="22"/>
              </w:rPr>
            </w:pPr>
            <w:r>
              <w:rPr>
                <w:rFonts w:eastAsia="仿宋"/>
                <w:sz w:val="24"/>
              </w:rPr>
              <w:t>6.省委省政府明确支持的其他事项。</w:t>
            </w:r>
          </w:p>
        </w:tc>
        <w:tc>
          <w:tcPr>
            <w:tcW w:w="7052" w:type="dxa"/>
            <w:tcBorders>
              <w:top w:val="single" w:color="auto" w:sz="4" w:space="0"/>
              <w:left w:val="single" w:color="auto" w:sz="4" w:space="0"/>
              <w:bottom w:val="single" w:color="auto" w:sz="4" w:space="0"/>
              <w:right w:val="single" w:color="auto" w:sz="4" w:space="0"/>
            </w:tcBorders>
            <w:noWrap w:val="0"/>
            <w:vAlign w:val="center"/>
          </w:tcPr>
          <w:p w14:paraId="4E05C435">
            <w:pPr>
              <w:spacing w:line="320" w:lineRule="exact"/>
              <w:rPr>
                <w:rFonts w:eastAsia="仿宋"/>
                <w:sz w:val="24"/>
              </w:rPr>
            </w:pPr>
            <w:r>
              <w:rPr>
                <w:rFonts w:eastAsia="仿宋"/>
                <w:sz w:val="24"/>
              </w:rPr>
              <w:t>1.规模以上工业企业实施的项目，应为在建</w:t>
            </w:r>
            <w:r>
              <w:rPr>
                <w:rFonts w:hint="eastAsia" w:eastAsia="仿宋"/>
                <w:sz w:val="24"/>
              </w:rPr>
              <w:t>项目，</w:t>
            </w:r>
            <w:r>
              <w:rPr>
                <w:rFonts w:eastAsia="仿宋"/>
                <w:sz w:val="24"/>
              </w:rPr>
              <w:t>或者2025年1月1日以后完工</w:t>
            </w:r>
            <w:r>
              <w:rPr>
                <w:rFonts w:hint="eastAsia" w:eastAsia="仿宋"/>
                <w:sz w:val="24"/>
              </w:rPr>
              <w:t>的项目。</w:t>
            </w:r>
            <w:r>
              <w:rPr>
                <w:rFonts w:eastAsia="仿宋"/>
                <w:sz w:val="24"/>
              </w:rPr>
              <w:t>湘西州、张家界市、怀化市和乡村振兴重点帮扶县以及省委、省政府明确支持的永州蔬菜出口</w:t>
            </w:r>
            <w:r>
              <w:rPr>
                <w:rFonts w:hint="eastAsia" w:eastAsia="仿宋"/>
                <w:sz w:val="24"/>
              </w:rPr>
              <w:t>加工</w:t>
            </w:r>
            <w:r>
              <w:rPr>
                <w:rFonts w:eastAsia="仿宋"/>
                <w:sz w:val="24"/>
              </w:rPr>
              <w:t>企业项目，2023年1月1日以来设备总投资</w:t>
            </w:r>
            <w:r>
              <w:rPr>
                <w:rFonts w:hint="eastAsia" w:eastAsia="仿宋"/>
                <w:sz w:val="24"/>
              </w:rPr>
              <w:t>（</w:t>
            </w:r>
            <w:r>
              <w:rPr>
                <w:rFonts w:eastAsia="仿宋"/>
                <w:sz w:val="24"/>
              </w:rPr>
              <w:t>含设备运行所必需的软件</w:t>
            </w:r>
            <w:r>
              <w:rPr>
                <w:rFonts w:hint="eastAsia" w:eastAsia="仿宋"/>
                <w:sz w:val="24"/>
              </w:rPr>
              <w:t>，下同）</w:t>
            </w:r>
            <w:r>
              <w:rPr>
                <w:rFonts w:eastAsia="仿宋"/>
                <w:sz w:val="24"/>
              </w:rPr>
              <w:t>不低于1500万元</w:t>
            </w:r>
            <w:r>
              <w:rPr>
                <w:rFonts w:hint="eastAsia" w:eastAsia="仿宋"/>
                <w:sz w:val="24"/>
              </w:rPr>
              <w:t>；其他地区项目</w:t>
            </w:r>
            <w:r>
              <w:rPr>
                <w:rFonts w:eastAsia="仿宋"/>
                <w:sz w:val="24"/>
              </w:rPr>
              <w:t>2023年1月1日以来设备总投资不低于2000万元。项目已完成设备投资</w:t>
            </w:r>
            <w:r>
              <w:rPr>
                <w:rFonts w:hint="eastAsia" w:eastAsia="仿宋"/>
                <w:sz w:val="24"/>
              </w:rPr>
              <w:t>占项目设备总投资</w:t>
            </w:r>
            <w:r>
              <w:rPr>
                <w:rFonts w:eastAsia="仿宋"/>
                <w:sz w:val="24"/>
              </w:rPr>
              <w:t>比例不低于</w:t>
            </w:r>
            <w:r>
              <w:rPr>
                <w:rFonts w:hint="eastAsia" w:eastAsia="仿宋"/>
                <w:sz w:val="24"/>
              </w:rPr>
              <w:t>6</w:t>
            </w:r>
            <w:r>
              <w:rPr>
                <w:rFonts w:eastAsia="仿宋"/>
                <w:sz w:val="24"/>
              </w:rPr>
              <w:t>0%（提供设备投资列表及</w:t>
            </w:r>
            <w:r>
              <w:rPr>
                <w:rFonts w:hint="eastAsia" w:eastAsia="仿宋"/>
                <w:sz w:val="24"/>
              </w:rPr>
              <w:t>相</w:t>
            </w:r>
            <w:r>
              <w:rPr>
                <w:rFonts w:eastAsia="仿宋"/>
                <w:sz w:val="24"/>
              </w:rPr>
              <w:t>对应的发票、银行</w:t>
            </w:r>
            <w:r>
              <w:rPr>
                <w:rFonts w:hint="eastAsia" w:eastAsia="仿宋"/>
                <w:sz w:val="24"/>
              </w:rPr>
              <w:t>付款凭证</w:t>
            </w:r>
            <w:r>
              <w:rPr>
                <w:rFonts w:eastAsia="仿宋"/>
                <w:sz w:val="24"/>
              </w:rPr>
              <w:t>和合同，</w:t>
            </w:r>
            <w:r>
              <w:rPr>
                <w:rFonts w:eastAsia="仿宋"/>
                <w:sz w:val="24"/>
                <w:lang w:eastAsia="zh-Hans"/>
              </w:rPr>
              <w:t>购置设备</w:t>
            </w:r>
            <w:r>
              <w:rPr>
                <w:rFonts w:eastAsia="仿宋"/>
                <w:sz w:val="24"/>
              </w:rPr>
              <w:t>付款时间</w:t>
            </w:r>
            <w:r>
              <w:rPr>
                <w:rFonts w:eastAsia="仿宋"/>
                <w:sz w:val="24"/>
                <w:lang w:eastAsia="zh-Hans"/>
              </w:rPr>
              <w:t>不早于202</w:t>
            </w:r>
            <w:r>
              <w:rPr>
                <w:rFonts w:eastAsia="仿宋"/>
                <w:sz w:val="24"/>
              </w:rPr>
              <w:t>3</w:t>
            </w:r>
            <w:r>
              <w:rPr>
                <w:rFonts w:eastAsia="仿宋"/>
                <w:sz w:val="24"/>
                <w:lang w:eastAsia="zh-Hans"/>
              </w:rPr>
              <w:t>年1月1日</w:t>
            </w:r>
            <w:r>
              <w:rPr>
                <w:rFonts w:hint="eastAsia" w:eastAsia="仿宋"/>
                <w:sz w:val="24"/>
              </w:rPr>
              <w:t>，下同</w:t>
            </w:r>
            <w:r>
              <w:rPr>
                <w:rFonts w:eastAsia="仿宋"/>
                <w:sz w:val="24"/>
              </w:rPr>
              <w:t>）。</w:t>
            </w:r>
          </w:p>
          <w:p w14:paraId="3321810A">
            <w:pPr>
              <w:spacing w:line="320" w:lineRule="exact"/>
              <w:rPr>
                <w:rFonts w:eastAsia="仿宋"/>
                <w:sz w:val="24"/>
              </w:rPr>
            </w:pPr>
            <w:r>
              <w:rPr>
                <w:rFonts w:eastAsia="仿宋"/>
                <w:sz w:val="24"/>
              </w:rPr>
              <w:t>2.尚未入规的工业企业</w:t>
            </w:r>
            <w:r>
              <w:rPr>
                <w:rFonts w:hint="eastAsia" w:eastAsia="仿宋"/>
                <w:sz w:val="24"/>
              </w:rPr>
              <w:t>实施的项目</w:t>
            </w:r>
            <w:r>
              <w:rPr>
                <w:rFonts w:eastAsia="仿宋"/>
                <w:sz w:val="24"/>
              </w:rPr>
              <w:t>，</w:t>
            </w:r>
            <w:r>
              <w:rPr>
                <w:rFonts w:hint="eastAsia" w:eastAsia="仿宋"/>
                <w:sz w:val="24"/>
              </w:rPr>
              <w:t>建设期限要求与上款相同。</w:t>
            </w:r>
            <w:r>
              <w:rPr>
                <w:rFonts w:eastAsia="仿宋"/>
                <w:sz w:val="24"/>
              </w:rPr>
              <w:t>湘西州、张家界市、怀化市</w:t>
            </w:r>
            <w:r>
              <w:rPr>
                <w:rFonts w:hint="eastAsia" w:eastAsia="仿宋"/>
                <w:sz w:val="24"/>
              </w:rPr>
              <w:t>和</w:t>
            </w:r>
            <w:r>
              <w:rPr>
                <w:rFonts w:eastAsia="仿宋"/>
                <w:sz w:val="24"/>
              </w:rPr>
              <w:t>乡村振兴重点帮扶县以及省委、省政府明确支持的永州蔬菜出口</w:t>
            </w:r>
            <w:r>
              <w:rPr>
                <w:rFonts w:hint="eastAsia" w:eastAsia="仿宋"/>
                <w:sz w:val="24"/>
              </w:rPr>
              <w:t>加工</w:t>
            </w:r>
            <w:r>
              <w:rPr>
                <w:rFonts w:eastAsia="仿宋"/>
                <w:sz w:val="24"/>
              </w:rPr>
              <w:t>企业项目，2023年1月1日以来设备</w:t>
            </w:r>
            <w:r>
              <w:rPr>
                <w:rFonts w:hint="eastAsia" w:eastAsia="仿宋"/>
                <w:sz w:val="24"/>
              </w:rPr>
              <w:t>总</w:t>
            </w:r>
            <w:r>
              <w:rPr>
                <w:rFonts w:eastAsia="仿宋"/>
                <w:sz w:val="24"/>
              </w:rPr>
              <w:t>投资不低于2000万元</w:t>
            </w:r>
            <w:r>
              <w:rPr>
                <w:rFonts w:hint="eastAsia" w:eastAsia="仿宋"/>
                <w:sz w:val="24"/>
              </w:rPr>
              <w:t>；其他地区</w:t>
            </w:r>
            <w:r>
              <w:rPr>
                <w:rFonts w:eastAsia="仿宋"/>
                <w:sz w:val="24"/>
              </w:rPr>
              <w:t>项目2023年1月1日以来设备</w:t>
            </w:r>
            <w:r>
              <w:rPr>
                <w:rFonts w:hint="eastAsia" w:eastAsia="仿宋"/>
                <w:sz w:val="24"/>
              </w:rPr>
              <w:t>总</w:t>
            </w:r>
            <w:r>
              <w:rPr>
                <w:rFonts w:eastAsia="仿宋"/>
                <w:sz w:val="24"/>
              </w:rPr>
              <w:t>投资不低于3000万元。项目已完成设备投资</w:t>
            </w:r>
            <w:r>
              <w:rPr>
                <w:rFonts w:hint="eastAsia" w:eastAsia="仿宋"/>
                <w:sz w:val="24"/>
              </w:rPr>
              <w:t>占项目设备总投资</w:t>
            </w:r>
            <w:r>
              <w:rPr>
                <w:rFonts w:eastAsia="仿宋"/>
                <w:sz w:val="24"/>
              </w:rPr>
              <w:t>比例不低于</w:t>
            </w:r>
            <w:r>
              <w:rPr>
                <w:rFonts w:hint="eastAsia" w:eastAsia="仿宋"/>
                <w:sz w:val="24"/>
              </w:rPr>
              <w:t>6</w:t>
            </w:r>
            <w:r>
              <w:rPr>
                <w:rFonts w:eastAsia="仿宋"/>
                <w:sz w:val="24"/>
              </w:rPr>
              <w:t>0%。</w:t>
            </w:r>
          </w:p>
          <w:p w14:paraId="4356204D">
            <w:pPr>
              <w:spacing w:line="320" w:lineRule="exact"/>
              <w:rPr>
                <w:rFonts w:eastAsia="仿宋"/>
                <w:sz w:val="24"/>
              </w:rPr>
            </w:pPr>
            <w:r>
              <w:rPr>
                <w:rFonts w:eastAsia="仿宋"/>
                <w:sz w:val="24"/>
              </w:rPr>
              <w:t>3.企业是否入规以省统计局2025年5月3</w:t>
            </w:r>
            <w:r>
              <w:rPr>
                <w:rFonts w:hint="eastAsia" w:eastAsia="仿宋"/>
                <w:sz w:val="24"/>
              </w:rPr>
              <w:t>1</w:t>
            </w:r>
            <w:r>
              <w:rPr>
                <w:rFonts w:eastAsia="仿宋"/>
                <w:sz w:val="24"/>
              </w:rPr>
              <w:t>日名单为准。</w:t>
            </w:r>
          </w:p>
          <w:p w14:paraId="43D1C293">
            <w:pPr>
              <w:spacing w:line="320" w:lineRule="exact"/>
              <w:rPr>
                <w:rFonts w:eastAsia="仿宋_GB2312"/>
                <w:sz w:val="20"/>
                <w:szCs w:val="22"/>
              </w:rPr>
            </w:pPr>
            <w:r>
              <w:rPr>
                <w:rFonts w:eastAsia="仿宋"/>
                <w:sz w:val="24"/>
              </w:rPr>
              <w:t>4.</w:t>
            </w:r>
            <w:r>
              <w:rPr>
                <w:rFonts w:hint="eastAsia" w:eastAsia="仿宋"/>
                <w:sz w:val="24"/>
              </w:rPr>
              <w:t>列入2025年</w:t>
            </w:r>
            <w:r>
              <w:rPr>
                <w:rFonts w:eastAsia="仿宋"/>
                <w:sz w:val="24"/>
              </w:rPr>
              <w:t>省政府十大产业项目</w:t>
            </w:r>
            <w:r>
              <w:rPr>
                <w:rFonts w:hint="eastAsia" w:eastAsia="仿宋"/>
                <w:sz w:val="24"/>
              </w:rPr>
              <w:t>的制造业项目申报重点产业项目不受以上条款的限制</w:t>
            </w:r>
            <w:r>
              <w:rPr>
                <w:rFonts w:eastAsia="仿宋"/>
                <w:sz w:val="24"/>
              </w:rPr>
              <w:t>。</w:t>
            </w:r>
          </w:p>
        </w:tc>
        <w:tc>
          <w:tcPr>
            <w:tcW w:w="806" w:type="dxa"/>
            <w:tcBorders>
              <w:top w:val="single" w:color="auto" w:sz="4" w:space="0"/>
              <w:left w:val="single" w:color="auto" w:sz="4" w:space="0"/>
              <w:bottom w:val="single" w:color="auto" w:sz="4" w:space="0"/>
              <w:right w:val="single" w:color="auto" w:sz="4" w:space="0"/>
            </w:tcBorders>
            <w:noWrap w:val="0"/>
            <w:vAlign w:val="center"/>
          </w:tcPr>
          <w:p w14:paraId="206F7D1D">
            <w:pPr>
              <w:widowControl/>
              <w:spacing w:line="320" w:lineRule="exact"/>
              <w:jc w:val="center"/>
              <w:rPr>
                <w:rFonts w:eastAsia="仿宋"/>
                <w:sz w:val="24"/>
              </w:rPr>
            </w:pPr>
            <w:r>
              <w:rPr>
                <w:rFonts w:eastAsia="仿宋"/>
                <w:sz w:val="24"/>
              </w:rPr>
              <w:t>无偿</w:t>
            </w:r>
          </w:p>
          <w:p w14:paraId="4E63C0BD">
            <w:pPr>
              <w:widowControl/>
              <w:spacing w:line="320" w:lineRule="exact"/>
              <w:jc w:val="center"/>
              <w:rPr>
                <w:rFonts w:eastAsia="仿宋"/>
                <w:sz w:val="24"/>
              </w:rPr>
            </w:pPr>
            <w:r>
              <w:rPr>
                <w:rFonts w:eastAsia="仿宋"/>
                <w:sz w:val="24"/>
              </w:rPr>
              <w:t>补助</w:t>
            </w:r>
          </w:p>
        </w:tc>
        <w:tc>
          <w:tcPr>
            <w:tcW w:w="1768" w:type="dxa"/>
            <w:tcBorders>
              <w:top w:val="single" w:color="auto" w:sz="4" w:space="0"/>
              <w:left w:val="single" w:color="auto" w:sz="4" w:space="0"/>
              <w:bottom w:val="single" w:color="auto" w:sz="4" w:space="0"/>
              <w:right w:val="single" w:color="auto" w:sz="4" w:space="0"/>
            </w:tcBorders>
            <w:noWrap w:val="0"/>
            <w:vAlign w:val="center"/>
          </w:tcPr>
          <w:p w14:paraId="37FD9331">
            <w:pPr>
              <w:spacing w:line="320" w:lineRule="exact"/>
              <w:jc w:val="center"/>
              <w:rPr>
                <w:rFonts w:eastAsia="仿宋"/>
                <w:sz w:val="24"/>
              </w:rPr>
            </w:pPr>
            <w:r>
              <w:rPr>
                <w:rFonts w:eastAsia="仿宋"/>
                <w:sz w:val="24"/>
              </w:rPr>
              <w:t>投资规划处</w:t>
            </w:r>
          </w:p>
          <w:p w14:paraId="779E0DC1">
            <w:pPr>
              <w:spacing w:line="320" w:lineRule="exact"/>
              <w:jc w:val="center"/>
              <w:rPr>
                <w:rFonts w:eastAsia="仿宋"/>
                <w:sz w:val="24"/>
              </w:rPr>
            </w:pPr>
            <w:r>
              <w:rPr>
                <w:rFonts w:eastAsia="仿宋"/>
                <w:sz w:val="24"/>
              </w:rPr>
              <w:t>冯里根</w:t>
            </w:r>
          </w:p>
          <w:p w14:paraId="5DC6716B">
            <w:pPr>
              <w:spacing w:line="320" w:lineRule="exact"/>
              <w:jc w:val="center"/>
              <w:rPr>
                <w:rFonts w:eastAsia="仿宋"/>
                <w:sz w:val="24"/>
              </w:rPr>
            </w:pPr>
            <w:r>
              <w:rPr>
                <w:rFonts w:eastAsia="仿宋"/>
                <w:sz w:val="24"/>
              </w:rPr>
              <w:t>0731-88955357</w:t>
            </w:r>
          </w:p>
        </w:tc>
      </w:tr>
      <w:tr w14:paraId="2A538430">
        <w:tblPrEx>
          <w:tblCellMar>
            <w:top w:w="0" w:type="dxa"/>
            <w:left w:w="108" w:type="dxa"/>
            <w:bottom w:w="0" w:type="dxa"/>
            <w:right w:w="108" w:type="dxa"/>
          </w:tblCellMar>
        </w:tblPrEx>
        <w:trPr>
          <w:trHeight w:val="3030" w:hRule="atLeast"/>
          <w:jc w:val="center"/>
        </w:trPr>
        <w:tc>
          <w:tcPr>
            <w:tcW w:w="1215" w:type="dxa"/>
            <w:tcBorders>
              <w:top w:val="single" w:color="auto" w:sz="4" w:space="0"/>
              <w:left w:val="single" w:color="auto" w:sz="4" w:space="0"/>
              <w:bottom w:val="single" w:color="auto" w:sz="4" w:space="0"/>
              <w:right w:val="single" w:color="auto" w:sz="4" w:space="0"/>
            </w:tcBorders>
            <w:noWrap w:val="0"/>
            <w:vAlign w:val="center"/>
          </w:tcPr>
          <w:p w14:paraId="79ADDF2C">
            <w:pPr>
              <w:widowControl/>
              <w:spacing w:line="320" w:lineRule="exact"/>
              <w:rPr>
                <w:rFonts w:eastAsia="黑体"/>
                <w:sz w:val="24"/>
              </w:rPr>
            </w:pPr>
            <w:r>
              <w:rPr>
                <w:rFonts w:eastAsia="黑体"/>
                <w:sz w:val="24"/>
              </w:rPr>
              <w:t>二、重大平台项目补助</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6F08ADD">
            <w:pPr>
              <w:pStyle w:val="4"/>
              <w:rPr>
                <w:rFonts w:eastAsia="仿宋"/>
                <w:sz w:val="24"/>
                <w:szCs w:val="24"/>
              </w:rPr>
            </w:pPr>
            <w:r>
              <w:rPr>
                <w:rFonts w:eastAsia="仿宋"/>
                <w:sz w:val="24"/>
                <w:szCs w:val="24"/>
              </w:rPr>
              <w:t>1.支持制造业检验测试、中试平台。</w:t>
            </w:r>
          </w:p>
          <w:p w14:paraId="1BDE2E74">
            <w:pPr>
              <w:pStyle w:val="4"/>
              <w:rPr>
                <w:rFonts w:eastAsia="仿宋"/>
                <w:sz w:val="24"/>
                <w:szCs w:val="24"/>
              </w:rPr>
            </w:pPr>
            <w:r>
              <w:rPr>
                <w:rFonts w:eastAsia="仿宋"/>
                <w:sz w:val="24"/>
                <w:szCs w:val="24"/>
              </w:rPr>
              <w:t>2.优先支持符合条件的通过</w:t>
            </w:r>
            <w:r>
              <w:rPr>
                <w:rFonts w:hint="eastAsia" w:eastAsia="仿宋"/>
                <w:sz w:val="24"/>
                <w:szCs w:val="24"/>
              </w:rPr>
              <w:t>省工业和信息化厅</w:t>
            </w:r>
            <w:r>
              <w:rPr>
                <w:rFonts w:eastAsia="仿宋"/>
                <w:sz w:val="24"/>
                <w:szCs w:val="24"/>
              </w:rPr>
              <w:t>认定授牌并投入运行的省级新材料中试平台（基地）。</w:t>
            </w:r>
          </w:p>
          <w:p w14:paraId="37246CC8">
            <w:pPr>
              <w:pStyle w:val="4"/>
              <w:spacing w:line="320" w:lineRule="exact"/>
              <w:rPr>
                <w:sz w:val="24"/>
                <w:szCs w:val="24"/>
              </w:rPr>
            </w:pPr>
            <w:r>
              <w:rPr>
                <w:rFonts w:eastAsia="仿宋"/>
                <w:sz w:val="24"/>
                <w:szCs w:val="24"/>
              </w:rPr>
              <w:t>3.优先支持符合条件并投入运行的工信部和湖南省产业技术基础公共服务平台。</w:t>
            </w:r>
          </w:p>
        </w:tc>
        <w:tc>
          <w:tcPr>
            <w:tcW w:w="7052" w:type="dxa"/>
            <w:tcBorders>
              <w:top w:val="single" w:color="auto" w:sz="4" w:space="0"/>
              <w:left w:val="single" w:color="auto" w:sz="4" w:space="0"/>
              <w:bottom w:val="single" w:color="auto" w:sz="4" w:space="0"/>
              <w:right w:val="single" w:color="auto" w:sz="4" w:space="0"/>
            </w:tcBorders>
            <w:noWrap w:val="0"/>
            <w:vAlign w:val="center"/>
          </w:tcPr>
          <w:p w14:paraId="745CD25D">
            <w:pPr>
              <w:spacing w:line="320" w:lineRule="exact"/>
              <w:rPr>
                <w:rFonts w:eastAsia="仿宋"/>
                <w:sz w:val="24"/>
              </w:rPr>
            </w:pPr>
            <w:r>
              <w:rPr>
                <w:rFonts w:eastAsia="仿宋"/>
                <w:sz w:val="24"/>
              </w:rPr>
              <w:t>1.平台2023年1月1日以来设备总投资（含设备运行所必需的软件）不低于</w:t>
            </w:r>
            <w:r>
              <w:rPr>
                <w:rFonts w:hint="eastAsia" w:eastAsia="仿宋"/>
                <w:sz w:val="24"/>
              </w:rPr>
              <w:t>2</w:t>
            </w:r>
            <w:r>
              <w:rPr>
                <w:rFonts w:eastAsia="仿宋"/>
                <w:sz w:val="24"/>
              </w:rPr>
              <w:t>000万元，项目已完成设备投资</w:t>
            </w:r>
            <w:r>
              <w:rPr>
                <w:rFonts w:hint="eastAsia" w:eastAsia="仿宋"/>
                <w:sz w:val="24"/>
              </w:rPr>
              <w:t>占项目设备总投资</w:t>
            </w:r>
            <w:r>
              <w:rPr>
                <w:rFonts w:eastAsia="仿宋"/>
                <w:sz w:val="24"/>
              </w:rPr>
              <w:t>比例不低于</w:t>
            </w:r>
            <w:r>
              <w:rPr>
                <w:rFonts w:hint="eastAsia" w:eastAsia="仿宋"/>
                <w:sz w:val="24"/>
              </w:rPr>
              <w:t>6</w:t>
            </w:r>
            <w:r>
              <w:rPr>
                <w:rFonts w:eastAsia="仿宋"/>
                <w:sz w:val="24"/>
              </w:rPr>
              <w:t>0%。（提供设备投资列表及</w:t>
            </w:r>
            <w:r>
              <w:rPr>
                <w:rFonts w:hint="eastAsia" w:eastAsia="仿宋"/>
                <w:sz w:val="24"/>
              </w:rPr>
              <w:t>相</w:t>
            </w:r>
            <w:r>
              <w:rPr>
                <w:rFonts w:eastAsia="仿宋"/>
                <w:sz w:val="24"/>
              </w:rPr>
              <w:t>对应的发票、银行</w:t>
            </w:r>
            <w:r>
              <w:rPr>
                <w:rFonts w:hint="eastAsia" w:eastAsia="仿宋"/>
                <w:sz w:val="24"/>
              </w:rPr>
              <w:t>付款凭证</w:t>
            </w:r>
            <w:r>
              <w:rPr>
                <w:rFonts w:eastAsia="仿宋"/>
                <w:sz w:val="24"/>
              </w:rPr>
              <w:t>和合同，</w:t>
            </w:r>
            <w:r>
              <w:rPr>
                <w:rFonts w:eastAsia="仿宋"/>
                <w:sz w:val="24"/>
                <w:lang w:eastAsia="zh-Hans"/>
              </w:rPr>
              <w:t>购置设备</w:t>
            </w:r>
            <w:r>
              <w:rPr>
                <w:rFonts w:eastAsia="仿宋"/>
                <w:sz w:val="24"/>
              </w:rPr>
              <w:t>付款时间</w:t>
            </w:r>
            <w:r>
              <w:rPr>
                <w:rFonts w:eastAsia="仿宋"/>
                <w:sz w:val="24"/>
                <w:lang w:eastAsia="zh-Hans"/>
              </w:rPr>
              <w:t>不早于202</w:t>
            </w:r>
            <w:r>
              <w:rPr>
                <w:rFonts w:eastAsia="仿宋"/>
                <w:sz w:val="24"/>
              </w:rPr>
              <w:t>3</w:t>
            </w:r>
            <w:r>
              <w:rPr>
                <w:rFonts w:eastAsia="仿宋"/>
                <w:sz w:val="24"/>
                <w:lang w:eastAsia="zh-Hans"/>
              </w:rPr>
              <w:t>年1月1日</w:t>
            </w:r>
            <w:r>
              <w:rPr>
                <w:rFonts w:eastAsia="仿宋"/>
                <w:sz w:val="24"/>
              </w:rPr>
              <w:t>）。</w:t>
            </w:r>
          </w:p>
          <w:p w14:paraId="01E08D98">
            <w:pPr>
              <w:spacing w:line="320" w:lineRule="exact"/>
              <w:rPr>
                <w:rFonts w:eastAsia="仿宋"/>
                <w:sz w:val="24"/>
              </w:rPr>
            </w:pPr>
            <w:r>
              <w:rPr>
                <w:rFonts w:eastAsia="仿宋"/>
                <w:sz w:val="24"/>
              </w:rPr>
              <w:t>2.平台已经初步建成并面向省内制造业企业开放，已经服务制造业企业数量不低于15家或对外服务</w:t>
            </w:r>
            <w:r>
              <w:rPr>
                <w:rFonts w:hint="eastAsia" w:eastAsia="仿宋"/>
                <w:sz w:val="24"/>
              </w:rPr>
              <w:t>制造业的</w:t>
            </w:r>
            <w:r>
              <w:rPr>
                <w:rFonts w:eastAsia="仿宋"/>
                <w:sz w:val="24"/>
              </w:rPr>
              <w:t>收入</w:t>
            </w:r>
            <w:r>
              <w:rPr>
                <w:rFonts w:hint="eastAsia" w:eastAsia="仿宋"/>
                <w:sz w:val="24"/>
              </w:rPr>
              <w:t>不低于</w:t>
            </w:r>
            <w:r>
              <w:rPr>
                <w:rFonts w:eastAsia="仿宋"/>
                <w:sz w:val="24"/>
              </w:rPr>
              <w:t>500万元（须提供服务合同、服务收入发票等凭证，服务合同和收入不早于2023年1月1日）。</w:t>
            </w:r>
          </w:p>
        </w:tc>
        <w:tc>
          <w:tcPr>
            <w:tcW w:w="806" w:type="dxa"/>
            <w:tcBorders>
              <w:top w:val="single" w:color="auto" w:sz="4" w:space="0"/>
              <w:left w:val="single" w:color="auto" w:sz="4" w:space="0"/>
              <w:bottom w:val="single" w:color="auto" w:sz="4" w:space="0"/>
              <w:right w:val="single" w:color="auto" w:sz="4" w:space="0"/>
            </w:tcBorders>
            <w:noWrap w:val="0"/>
            <w:vAlign w:val="center"/>
          </w:tcPr>
          <w:p w14:paraId="68A6FD79">
            <w:pPr>
              <w:spacing w:line="320" w:lineRule="exact"/>
              <w:jc w:val="center"/>
              <w:rPr>
                <w:rFonts w:eastAsia="仿宋"/>
                <w:sz w:val="24"/>
              </w:rPr>
            </w:pPr>
            <w:r>
              <w:rPr>
                <w:rFonts w:eastAsia="仿宋"/>
                <w:sz w:val="24"/>
              </w:rPr>
              <w:t>无偿</w:t>
            </w:r>
          </w:p>
          <w:p w14:paraId="07EA38E7">
            <w:pPr>
              <w:spacing w:line="320" w:lineRule="exact"/>
              <w:jc w:val="center"/>
              <w:rPr>
                <w:rFonts w:eastAsia="仿宋"/>
                <w:sz w:val="24"/>
              </w:rPr>
            </w:pPr>
            <w:r>
              <w:rPr>
                <w:rFonts w:eastAsia="仿宋"/>
                <w:sz w:val="24"/>
              </w:rPr>
              <w:t>补助</w:t>
            </w:r>
          </w:p>
        </w:tc>
        <w:tc>
          <w:tcPr>
            <w:tcW w:w="1768" w:type="dxa"/>
            <w:tcBorders>
              <w:top w:val="single" w:color="auto" w:sz="4" w:space="0"/>
              <w:left w:val="single" w:color="auto" w:sz="4" w:space="0"/>
              <w:bottom w:val="single" w:color="auto" w:sz="4" w:space="0"/>
              <w:right w:val="single" w:color="auto" w:sz="4" w:space="0"/>
            </w:tcBorders>
            <w:noWrap w:val="0"/>
            <w:vAlign w:val="center"/>
          </w:tcPr>
          <w:p w14:paraId="5AC29160">
            <w:pPr>
              <w:spacing w:line="320" w:lineRule="exact"/>
              <w:jc w:val="center"/>
              <w:rPr>
                <w:rFonts w:eastAsia="仿宋"/>
                <w:sz w:val="24"/>
              </w:rPr>
            </w:pPr>
            <w:r>
              <w:rPr>
                <w:rFonts w:eastAsia="仿宋"/>
                <w:sz w:val="24"/>
              </w:rPr>
              <w:t>投资规划处</w:t>
            </w:r>
          </w:p>
          <w:p w14:paraId="507BB5C3">
            <w:pPr>
              <w:spacing w:line="320" w:lineRule="exact"/>
              <w:jc w:val="center"/>
              <w:rPr>
                <w:rFonts w:eastAsia="仿宋"/>
                <w:sz w:val="24"/>
              </w:rPr>
            </w:pPr>
            <w:r>
              <w:rPr>
                <w:rFonts w:eastAsia="仿宋"/>
                <w:sz w:val="24"/>
              </w:rPr>
              <w:t>冯里根0731-88955357</w:t>
            </w:r>
          </w:p>
          <w:p w14:paraId="60DF8B19">
            <w:pPr>
              <w:spacing w:line="320" w:lineRule="exact"/>
              <w:jc w:val="center"/>
              <w:rPr>
                <w:rFonts w:eastAsia="仿宋"/>
                <w:sz w:val="24"/>
              </w:rPr>
            </w:pPr>
            <w:r>
              <w:rPr>
                <w:rFonts w:eastAsia="仿宋"/>
                <w:sz w:val="24"/>
              </w:rPr>
              <w:t>原材料工业处</w:t>
            </w:r>
          </w:p>
          <w:p w14:paraId="157B1120">
            <w:pPr>
              <w:spacing w:line="320" w:lineRule="exact"/>
              <w:jc w:val="center"/>
              <w:rPr>
                <w:rFonts w:eastAsia="仿宋"/>
                <w:sz w:val="24"/>
              </w:rPr>
            </w:pPr>
            <w:r>
              <w:rPr>
                <w:rFonts w:eastAsia="仿宋"/>
                <w:sz w:val="24"/>
              </w:rPr>
              <w:t>王梦兰</w:t>
            </w:r>
          </w:p>
          <w:p w14:paraId="4C91B083">
            <w:pPr>
              <w:spacing w:line="320" w:lineRule="exact"/>
              <w:jc w:val="center"/>
              <w:rPr>
                <w:rFonts w:eastAsia="仿宋"/>
                <w:sz w:val="24"/>
              </w:rPr>
            </w:pPr>
            <w:r>
              <w:rPr>
                <w:rFonts w:eastAsia="仿宋"/>
                <w:sz w:val="24"/>
              </w:rPr>
              <w:t>0731-88955381</w:t>
            </w:r>
          </w:p>
          <w:p w14:paraId="2D919099">
            <w:pPr>
              <w:spacing w:line="320" w:lineRule="exact"/>
              <w:jc w:val="center"/>
              <w:rPr>
                <w:rFonts w:eastAsia="仿宋"/>
                <w:sz w:val="24"/>
              </w:rPr>
            </w:pPr>
            <w:r>
              <w:rPr>
                <w:rFonts w:eastAsia="仿宋"/>
                <w:sz w:val="24"/>
              </w:rPr>
              <w:t>科技处</w:t>
            </w:r>
          </w:p>
          <w:p w14:paraId="4775D6B4">
            <w:pPr>
              <w:spacing w:line="320" w:lineRule="exact"/>
              <w:jc w:val="center"/>
              <w:rPr>
                <w:rFonts w:eastAsia="仿宋"/>
                <w:sz w:val="24"/>
              </w:rPr>
            </w:pPr>
            <w:r>
              <w:rPr>
                <w:rFonts w:eastAsia="仿宋"/>
                <w:sz w:val="24"/>
              </w:rPr>
              <w:t>刘理可0731-88955401</w:t>
            </w:r>
          </w:p>
        </w:tc>
      </w:tr>
      <w:tr w14:paraId="0B33D080">
        <w:tblPrEx>
          <w:tblCellMar>
            <w:top w:w="0" w:type="dxa"/>
            <w:left w:w="108" w:type="dxa"/>
            <w:bottom w:w="0" w:type="dxa"/>
            <w:right w:w="108" w:type="dxa"/>
          </w:tblCellMar>
        </w:tblPrEx>
        <w:trPr>
          <w:trHeight w:val="3810" w:hRule="atLeast"/>
          <w:jc w:val="center"/>
        </w:trPr>
        <w:tc>
          <w:tcPr>
            <w:tcW w:w="1215" w:type="dxa"/>
            <w:tcBorders>
              <w:top w:val="single" w:color="auto" w:sz="4" w:space="0"/>
              <w:left w:val="single" w:color="auto" w:sz="4" w:space="0"/>
              <w:bottom w:val="single" w:color="auto" w:sz="4" w:space="0"/>
              <w:right w:val="single" w:color="auto" w:sz="4" w:space="0"/>
            </w:tcBorders>
            <w:noWrap w:val="0"/>
            <w:vAlign w:val="center"/>
          </w:tcPr>
          <w:p w14:paraId="6C23BA9A">
            <w:pPr>
              <w:adjustRightInd w:val="0"/>
              <w:snapToGrid w:val="0"/>
              <w:spacing w:line="320" w:lineRule="exact"/>
              <w:rPr>
                <w:rFonts w:eastAsia="黑体"/>
                <w:sz w:val="24"/>
              </w:rPr>
            </w:pPr>
            <w:r>
              <w:rPr>
                <w:rFonts w:hint="eastAsia" w:eastAsia="黑体"/>
                <w:color w:val="000000"/>
                <w:sz w:val="24"/>
              </w:rPr>
              <w:t>三、集成电路企业工程产品</w:t>
            </w:r>
            <w:r>
              <w:rPr>
                <w:rFonts w:eastAsia="黑体"/>
                <w:color w:val="000000"/>
                <w:sz w:val="24"/>
              </w:rPr>
              <w:t>首轮次流片奖励</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61050D">
            <w:pPr>
              <w:adjustRightInd w:val="0"/>
              <w:snapToGrid w:val="0"/>
              <w:spacing w:line="320" w:lineRule="exact"/>
              <w:jc w:val="left"/>
              <w:rPr>
                <w:sz w:val="24"/>
              </w:rPr>
            </w:pPr>
            <w:r>
              <w:rPr>
                <w:rFonts w:eastAsia="仿宋"/>
                <w:color w:val="000000"/>
                <w:kern w:val="0"/>
                <w:sz w:val="24"/>
                <w:lang w:bidi="ar"/>
              </w:rPr>
              <w:t>重点支持符合《湖南省首轮次工程流片芯片、首套件基础电子元器件产品方向指南》（湘工信电子通信〔2023〕119号）的芯片。</w:t>
            </w:r>
          </w:p>
        </w:tc>
        <w:tc>
          <w:tcPr>
            <w:tcW w:w="7052" w:type="dxa"/>
            <w:tcBorders>
              <w:top w:val="single" w:color="auto" w:sz="4" w:space="0"/>
              <w:left w:val="single" w:color="auto" w:sz="4" w:space="0"/>
              <w:bottom w:val="single" w:color="auto" w:sz="4" w:space="0"/>
              <w:right w:val="single" w:color="auto" w:sz="4" w:space="0"/>
            </w:tcBorders>
            <w:noWrap w:val="0"/>
            <w:vAlign w:val="center"/>
          </w:tcPr>
          <w:p w14:paraId="2D225C8D">
            <w:pPr>
              <w:adjustRightInd w:val="0"/>
              <w:snapToGrid w:val="0"/>
              <w:spacing w:line="300" w:lineRule="exact"/>
              <w:jc w:val="left"/>
              <w:rPr>
                <w:rFonts w:eastAsia="仿宋"/>
                <w:color w:val="000000"/>
                <w:kern w:val="0"/>
                <w:sz w:val="24"/>
                <w:lang w:bidi="ar"/>
              </w:rPr>
            </w:pPr>
            <w:r>
              <w:rPr>
                <w:rFonts w:hint="eastAsia" w:eastAsia="仿宋"/>
                <w:color w:val="000000"/>
                <w:kern w:val="0"/>
                <w:sz w:val="24"/>
                <w:lang w:bidi="ar"/>
              </w:rPr>
              <w:t>1.</w:t>
            </w:r>
            <w:r>
              <w:rPr>
                <w:rFonts w:eastAsia="仿宋"/>
                <w:color w:val="000000"/>
                <w:kern w:val="0"/>
                <w:sz w:val="24"/>
                <w:lang w:bidi="ar"/>
              </w:rPr>
              <w:t>“工程产品”是指</w:t>
            </w:r>
            <w:r>
              <w:rPr>
                <w:rFonts w:hint="eastAsia" w:eastAsia="仿宋"/>
                <w:color w:val="000000"/>
                <w:kern w:val="0"/>
                <w:sz w:val="24"/>
                <w:lang w:bidi="ar"/>
              </w:rPr>
              <w:t>经过</w:t>
            </w:r>
            <w:r>
              <w:rPr>
                <w:rFonts w:eastAsia="仿宋"/>
                <w:color w:val="000000"/>
                <w:kern w:val="0"/>
                <w:sz w:val="24"/>
                <w:lang w:bidi="ar"/>
              </w:rPr>
              <w:t>全掩膜板（Full Mask）流片，达到设计要求后，可以提供给集成电路系统整机厂商进行芯片性能测试及示范应用的芯片产品；“首轮流片”是指集成电路设计企业首次与集成电路制造企业流片，不含正式量产后批量流片，且在202</w:t>
            </w:r>
            <w:r>
              <w:rPr>
                <w:rFonts w:hint="eastAsia" w:eastAsia="仿宋"/>
                <w:color w:val="000000"/>
                <w:kern w:val="0"/>
                <w:sz w:val="24"/>
                <w:lang w:bidi="ar"/>
              </w:rPr>
              <w:t>4</w:t>
            </w:r>
            <w:r>
              <w:rPr>
                <w:rFonts w:eastAsia="仿宋"/>
                <w:color w:val="000000"/>
                <w:kern w:val="0"/>
                <w:sz w:val="24"/>
                <w:lang w:bidi="ar"/>
              </w:rPr>
              <w:t>年12月31日之前完成（以发票或支付凭证时间为准）。</w:t>
            </w:r>
          </w:p>
          <w:p w14:paraId="7D91BB1C">
            <w:pPr>
              <w:adjustRightInd w:val="0"/>
              <w:snapToGrid w:val="0"/>
              <w:spacing w:line="300" w:lineRule="exact"/>
              <w:jc w:val="left"/>
              <w:rPr>
                <w:rFonts w:eastAsia="仿宋"/>
                <w:color w:val="000000"/>
                <w:kern w:val="0"/>
                <w:sz w:val="24"/>
                <w:lang w:val="en" w:bidi="ar"/>
              </w:rPr>
            </w:pPr>
            <w:r>
              <w:rPr>
                <w:rFonts w:hint="eastAsia" w:eastAsia="仿宋"/>
                <w:color w:val="000000"/>
                <w:kern w:val="0"/>
                <w:sz w:val="24"/>
                <w:lang w:bidi="ar"/>
              </w:rPr>
              <w:t>2.</w:t>
            </w:r>
            <w:r>
              <w:rPr>
                <w:rFonts w:eastAsia="仿宋"/>
                <w:color w:val="000000"/>
                <w:kern w:val="0"/>
                <w:sz w:val="24"/>
                <w:lang w:bidi="ar"/>
              </w:rPr>
              <w:t>单个产品</w:t>
            </w:r>
            <w:r>
              <w:rPr>
                <w:rFonts w:hint="eastAsia" w:eastAsia="仿宋"/>
                <w:color w:val="000000"/>
                <w:kern w:val="0"/>
                <w:sz w:val="24"/>
                <w:lang w:bidi="ar"/>
              </w:rPr>
              <w:t>流片总费用</w:t>
            </w:r>
            <w:r>
              <w:rPr>
                <w:rFonts w:eastAsia="仿宋"/>
                <w:color w:val="000000"/>
                <w:kern w:val="0"/>
                <w:sz w:val="24"/>
                <w:lang w:bidi="ar"/>
              </w:rPr>
              <w:t>达到100万元及以上（仅限于IP授权或购置费、掩膜版制作费、测试化验加工费，含税，且必须是用于本项目</w:t>
            </w:r>
            <w:r>
              <w:rPr>
                <w:rFonts w:hint="eastAsia" w:eastAsia="仿宋"/>
                <w:color w:val="000000"/>
                <w:kern w:val="0"/>
                <w:sz w:val="24"/>
                <w:lang w:bidi="ar"/>
              </w:rPr>
              <w:t>流片</w:t>
            </w:r>
            <w:r>
              <w:rPr>
                <w:rFonts w:eastAsia="仿宋"/>
                <w:color w:val="000000"/>
                <w:kern w:val="0"/>
                <w:sz w:val="24"/>
                <w:lang w:bidi="ar"/>
              </w:rPr>
              <w:t>的合理费用</w:t>
            </w:r>
            <w:r>
              <w:rPr>
                <w:rFonts w:eastAsia="仿宋"/>
                <w:color w:val="000000"/>
                <w:kern w:val="0"/>
                <w:sz w:val="24"/>
                <w:lang w:val="en" w:bidi="ar"/>
              </w:rPr>
              <w:t>）</w:t>
            </w:r>
            <w:r>
              <w:rPr>
                <w:rFonts w:hint="eastAsia" w:eastAsia="仿宋"/>
                <w:color w:val="000000"/>
                <w:kern w:val="0"/>
                <w:sz w:val="24"/>
                <w:lang w:val="en" w:bidi="ar"/>
              </w:rPr>
              <w:t>，已获得集成电路布图设计登记证书或发明专利授权，通过具有资质的第三方检验机构的检测或用户测试验证</w:t>
            </w:r>
            <w:r>
              <w:rPr>
                <w:rFonts w:eastAsia="仿宋"/>
                <w:color w:val="000000"/>
                <w:kern w:val="0"/>
                <w:sz w:val="24"/>
                <w:lang w:val="en" w:bidi="ar"/>
              </w:rPr>
              <w:t>。</w:t>
            </w:r>
          </w:p>
          <w:p w14:paraId="49FFA978">
            <w:pPr>
              <w:adjustRightInd w:val="0"/>
              <w:snapToGrid w:val="0"/>
              <w:spacing w:line="300" w:lineRule="exact"/>
              <w:jc w:val="left"/>
              <w:rPr>
                <w:rFonts w:eastAsia="仿宋"/>
                <w:sz w:val="24"/>
              </w:rPr>
            </w:pPr>
            <w:r>
              <w:rPr>
                <w:rFonts w:eastAsia="仿宋"/>
                <w:color w:val="000000"/>
                <w:kern w:val="0"/>
                <w:sz w:val="24"/>
                <w:lang w:bidi="ar"/>
              </w:rPr>
              <w:t>3.企业为在本省依法设立并具有独立承担民事责任能力，经营状态正常、信用记录良好，符合《新时期促进集成电路产业和软件产业高质量发展的若干政策》（国发〔2020〕8号文）鼓励方向且以集成电路为主营业务的企业。企业须拥有申报产品的完整所有权和相关知识产权。</w:t>
            </w:r>
          </w:p>
        </w:tc>
        <w:tc>
          <w:tcPr>
            <w:tcW w:w="806" w:type="dxa"/>
            <w:tcBorders>
              <w:top w:val="single" w:color="auto" w:sz="4" w:space="0"/>
              <w:left w:val="single" w:color="auto" w:sz="4" w:space="0"/>
              <w:bottom w:val="single" w:color="auto" w:sz="4" w:space="0"/>
              <w:right w:val="single" w:color="auto" w:sz="4" w:space="0"/>
            </w:tcBorders>
            <w:noWrap w:val="0"/>
            <w:vAlign w:val="center"/>
          </w:tcPr>
          <w:p w14:paraId="6DC3C9D7">
            <w:pPr>
              <w:adjustRightInd w:val="0"/>
              <w:snapToGrid w:val="0"/>
              <w:spacing w:line="320" w:lineRule="exact"/>
              <w:jc w:val="left"/>
              <w:rPr>
                <w:rFonts w:eastAsia="仿宋"/>
                <w:sz w:val="24"/>
              </w:rPr>
            </w:pPr>
            <w:r>
              <w:rPr>
                <w:rFonts w:eastAsia="仿宋"/>
                <w:color w:val="000000"/>
                <w:kern w:val="0"/>
                <w:sz w:val="24"/>
                <w:lang w:bidi="ar"/>
              </w:rPr>
              <w:t>奖励</w:t>
            </w:r>
          </w:p>
        </w:tc>
        <w:tc>
          <w:tcPr>
            <w:tcW w:w="1768" w:type="dxa"/>
            <w:tcBorders>
              <w:top w:val="single" w:color="auto" w:sz="4" w:space="0"/>
              <w:left w:val="single" w:color="auto" w:sz="4" w:space="0"/>
              <w:bottom w:val="single" w:color="auto" w:sz="4" w:space="0"/>
              <w:right w:val="single" w:color="auto" w:sz="4" w:space="0"/>
            </w:tcBorders>
            <w:noWrap w:val="0"/>
            <w:vAlign w:val="center"/>
          </w:tcPr>
          <w:p w14:paraId="57D7FD51">
            <w:pPr>
              <w:adjustRightInd w:val="0"/>
              <w:snapToGrid w:val="0"/>
              <w:spacing w:line="320" w:lineRule="exact"/>
              <w:jc w:val="center"/>
              <w:rPr>
                <w:rFonts w:eastAsia="仿宋"/>
                <w:color w:val="000000"/>
                <w:kern w:val="0"/>
                <w:sz w:val="24"/>
                <w:lang w:bidi="ar"/>
              </w:rPr>
            </w:pPr>
            <w:r>
              <w:rPr>
                <w:rFonts w:eastAsia="仿宋"/>
                <w:color w:val="000000"/>
                <w:kern w:val="0"/>
                <w:sz w:val="24"/>
                <w:lang w:bidi="ar"/>
              </w:rPr>
              <w:t>电子通信</w:t>
            </w:r>
          </w:p>
          <w:p w14:paraId="1998172C">
            <w:pPr>
              <w:adjustRightInd w:val="0"/>
              <w:snapToGrid w:val="0"/>
              <w:spacing w:line="320" w:lineRule="exact"/>
              <w:jc w:val="center"/>
              <w:rPr>
                <w:rFonts w:eastAsia="仿宋"/>
                <w:color w:val="000000"/>
                <w:kern w:val="0"/>
                <w:sz w:val="24"/>
                <w:lang w:bidi="ar"/>
              </w:rPr>
            </w:pPr>
            <w:r>
              <w:rPr>
                <w:rFonts w:eastAsia="仿宋"/>
                <w:color w:val="000000"/>
                <w:kern w:val="0"/>
                <w:sz w:val="24"/>
                <w:lang w:bidi="ar"/>
              </w:rPr>
              <w:t>产业处</w:t>
            </w:r>
          </w:p>
          <w:p w14:paraId="584BDBEA">
            <w:pPr>
              <w:adjustRightInd w:val="0"/>
              <w:snapToGrid w:val="0"/>
              <w:spacing w:line="320" w:lineRule="exact"/>
              <w:jc w:val="center"/>
              <w:rPr>
                <w:rFonts w:eastAsia="仿宋"/>
                <w:sz w:val="24"/>
              </w:rPr>
            </w:pPr>
            <w:r>
              <w:rPr>
                <w:rFonts w:hint="eastAsia" w:eastAsia="仿宋"/>
                <w:color w:val="000000"/>
                <w:kern w:val="0"/>
                <w:sz w:val="24"/>
                <w:lang w:bidi="ar"/>
              </w:rPr>
              <w:t>张宸</w:t>
            </w:r>
            <w:r>
              <w:rPr>
                <w:rFonts w:eastAsia="仿宋"/>
                <w:color w:val="000000"/>
                <w:kern w:val="0"/>
                <w:sz w:val="24"/>
                <w:lang w:bidi="ar"/>
              </w:rPr>
              <w:t>0731-88955</w:t>
            </w:r>
            <w:r>
              <w:rPr>
                <w:rFonts w:hint="eastAsia" w:eastAsia="仿宋"/>
                <w:color w:val="000000"/>
                <w:kern w:val="0"/>
                <w:sz w:val="24"/>
                <w:lang w:bidi="ar"/>
              </w:rPr>
              <w:t>373</w:t>
            </w:r>
          </w:p>
        </w:tc>
      </w:tr>
      <w:tr w14:paraId="60AD3F8A">
        <w:tblPrEx>
          <w:tblCellMar>
            <w:top w:w="0" w:type="dxa"/>
            <w:left w:w="108" w:type="dxa"/>
            <w:bottom w:w="0" w:type="dxa"/>
            <w:right w:w="108" w:type="dxa"/>
          </w:tblCellMar>
        </w:tblPrEx>
        <w:trPr>
          <w:trHeight w:val="3962" w:hRule="atLeast"/>
          <w:jc w:val="center"/>
        </w:trPr>
        <w:tc>
          <w:tcPr>
            <w:tcW w:w="1215" w:type="dxa"/>
            <w:tcBorders>
              <w:top w:val="single" w:color="auto" w:sz="4" w:space="0"/>
              <w:left w:val="single" w:color="auto" w:sz="4" w:space="0"/>
              <w:bottom w:val="single" w:color="auto" w:sz="4" w:space="0"/>
              <w:right w:val="single" w:color="auto" w:sz="4" w:space="0"/>
            </w:tcBorders>
            <w:noWrap w:val="0"/>
            <w:vAlign w:val="center"/>
          </w:tcPr>
          <w:p w14:paraId="50DDB0F9">
            <w:pPr>
              <w:adjustRightInd w:val="0"/>
              <w:snapToGrid w:val="0"/>
              <w:spacing w:line="320" w:lineRule="exact"/>
              <w:rPr>
                <w:rFonts w:eastAsia="黑体"/>
                <w:sz w:val="24"/>
              </w:rPr>
            </w:pPr>
            <w:r>
              <w:rPr>
                <w:rFonts w:hint="eastAsia" w:eastAsia="黑体"/>
                <w:color w:val="000000"/>
                <w:sz w:val="24"/>
              </w:rPr>
              <w:t>四、</w:t>
            </w:r>
            <w:r>
              <w:rPr>
                <w:rFonts w:eastAsia="黑体"/>
                <w:color w:val="000000"/>
                <w:sz w:val="24"/>
              </w:rPr>
              <w:t>首套件基础电子元器件奖励</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3527E5">
            <w:pPr>
              <w:adjustRightInd w:val="0"/>
              <w:snapToGrid w:val="0"/>
              <w:spacing w:line="320" w:lineRule="exact"/>
              <w:rPr>
                <w:sz w:val="24"/>
              </w:rPr>
            </w:pPr>
            <w:r>
              <w:rPr>
                <w:rFonts w:eastAsia="仿宋"/>
                <w:sz w:val="24"/>
              </w:rPr>
              <w:t>重点支持符合《湖南省首轮次工程流片芯片、首套件基础电子元器件产品方向指南》（湘工信电子通信〔2023〕119号）的基础电子元器件产品。</w:t>
            </w:r>
          </w:p>
        </w:tc>
        <w:tc>
          <w:tcPr>
            <w:tcW w:w="7052" w:type="dxa"/>
            <w:tcBorders>
              <w:top w:val="single" w:color="auto" w:sz="4" w:space="0"/>
              <w:left w:val="single" w:color="auto" w:sz="4" w:space="0"/>
              <w:bottom w:val="single" w:color="auto" w:sz="4" w:space="0"/>
              <w:right w:val="single" w:color="auto" w:sz="4" w:space="0"/>
            </w:tcBorders>
            <w:noWrap w:val="0"/>
            <w:vAlign w:val="center"/>
          </w:tcPr>
          <w:p w14:paraId="3BF533E3">
            <w:pPr>
              <w:adjustRightInd w:val="0"/>
              <w:snapToGrid w:val="0"/>
              <w:spacing w:line="300" w:lineRule="exact"/>
              <w:rPr>
                <w:rFonts w:eastAsia="仿宋"/>
                <w:sz w:val="24"/>
              </w:rPr>
            </w:pPr>
            <w:r>
              <w:rPr>
                <w:rFonts w:hint="eastAsia" w:eastAsia="仿宋"/>
                <w:sz w:val="24"/>
              </w:rPr>
              <w:t>1.“首套件”是指具有自主知识产权、首次正式量产、技术水平国内先进或首创、市场应用前景良好，可以提供给系统整机厂商进行集成应用的产品。</w:t>
            </w:r>
          </w:p>
          <w:p w14:paraId="6DB1101C">
            <w:pPr>
              <w:adjustRightInd w:val="0"/>
              <w:snapToGrid w:val="0"/>
              <w:spacing w:line="300" w:lineRule="exact"/>
              <w:rPr>
                <w:rFonts w:hint="eastAsia" w:eastAsia="仿宋"/>
                <w:sz w:val="24"/>
              </w:rPr>
            </w:pPr>
            <w:r>
              <w:rPr>
                <w:rFonts w:hint="eastAsia" w:eastAsia="仿宋"/>
                <w:sz w:val="24"/>
              </w:rPr>
              <w:t>2.产品符合国家相关产业政策和我省产业布局，已实现量产且上年度销售收入不低于100万元，</w:t>
            </w:r>
            <w:r>
              <w:rPr>
                <w:rFonts w:eastAsia="仿宋"/>
                <w:sz w:val="24"/>
              </w:rPr>
              <w:t>具有自主知识产权，包括发明专利、实用新型专利等知识产权成果和工艺、技术标准等</w:t>
            </w:r>
            <w:r>
              <w:rPr>
                <w:rFonts w:hint="eastAsia" w:eastAsia="仿宋"/>
                <w:sz w:val="24"/>
              </w:rPr>
              <w:t>，已</w:t>
            </w:r>
            <w:r>
              <w:rPr>
                <w:rFonts w:eastAsia="仿宋"/>
                <w:sz w:val="24"/>
              </w:rPr>
              <w:t>通过省级以上市场管理部门资质认定的检验机构的检测</w:t>
            </w:r>
            <w:r>
              <w:rPr>
                <w:rFonts w:hint="eastAsia" w:eastAsia="仿宋"/>
                <w:sz w:val="24"/>
              </w:rPr>
              <w:t>或用户测试验证（</w:t>
            </w:r>
            <w:r>
              <w:rPr>
                <w:rFonts w:eastAsia="仿宋"/>
                <w:sz w:val="24"/>
              </w:rPr>
              <w:t>属于国家特殊行业管理要求的产品，需取得相关行业主管部门的认可</w:t>
            </w:r>
            <w:r>
              <w:rPr>
                <w:rFonts w:hint="eastAsia" w:eastAsia="仿宋"/>
                <w:sz w:val="24"/>
              </w:rPr>
              <w:t>）</w:t>
            </w:r>
            <w:r>
              <w:rPr>
                <w:rFonts w:eastAsia="仿宋"/>
                <w:sz w:val="24"/>
              </w:rPr>
              <w:t>。</w:t>
            </w:r>
          </w:p>
          <w:p w14:paraId="58AB8E89">
            <w:pPr>
              <w:pStyle w:val="2"/>
              <w:widowControl w:val="0"/>
              <w:adjustRightInd w:val="0"/>
              <w:snapToGrid w:val="0"/>
              <w:spacing w:line="300" w:lineRule="exact"/>
              <w:ind w:firstLine="0" w:firstLineChars="0"/>
              <w:rPr>
                <w:rFonts w:eastAsia="仿宋"/>
                <w:sz w:val="24"/>
              </w:rPr>
            </w:pPr>
            <w:r>
              <w:rPr>
                <w:rFonts w:hint="eastAsia" w:eastAsia="仿宋"/>
                <w:sz w:val="24"/>
              </w:rPr>
              <w:t>3.企业为在本省依法设立并已满至少一个完整会计年度的生产企业，以电子元器件、模组制造为主营业务，经营状态正常、信用记录良好。</w:t>
            </w:r>
          </w:p>
        </w:tc>
        <w:tc>
          <w:tcPr>
            <w:tcW w:w="806" w:type="dxa"/>
            <w:tcBorders>
              <w:top w:val="single" w:color="auto" w:sz="4" w:space="0"/>
              <w:left w:val="single" w:color="auto" w:sz="4" w:space="0"/>
              <w:bottom w:val="single" w:color="auto" w:sz="4" w:space="0"/>
              <w:right w:val="single" w:color="auto" w:sz="4" w:space="0"/>
            </w:tcBorders>
            <w:noWrap w:val="0"/>
            <w:vAlign w:val="center"/>
          </w:tcPr>
          <w:p w14:paraId="607B21EA">
            <w:pPr>
              <w:adjustRightInd w:val="0"/>
              <w:snapToGrid w:val="0"/>
              <w:spacing w:line="320" w:lineRule="exact"/>
              <w:jc w:val="center"/>
              <w:rPr>
                <w:rFonts w:eastAsia="仿宋"/>
                <w:sz w:val="24"/>
              </w:rPr>
            </w:pPr>
            <w:r>
              <w:rPr>
                <w:rFonts w:eastAsia="仿宋"/>
                <w:sz w:val="24"/>
              </w:rPr>
              <w:t>奖励</w:t>
            </w:r>
          </w:p>
        </w:tc>
        <w:tc>
          <w:tcPr>
            <w:tcW w:w="1768" w:type="dxa"/>
            <w:tcBorders>
              <w:top w:val="single" w:color="auto" w:sz="4" w:space="0"/>
              <w:left w:val="single" w:color="auto" w:sz="4" w:space="0"/>
              <w:bottom w:val="single" w:color="auto" w:sz="4" w:space="0"/>
              <w:right w:val="single" w:color="auto" w:sz="4" w:space="0"/>
            </w:tcBorders>
            <w:noWrap w:val="0"/>
            <w:vAlign w:val="center"/>
          </w:tcPr>
          <w:p w14:paraId="4B2E9787">
            <w:pPr>
              <w:adjustRightInd w:val="0"/>
              <w:snapToGrid w:val="0"/>
              <w:spacing w:line="320" w:lineRule="exact"/>
              <w:jc w:val="center"/>
              <w:rPr>
                <w:rFonts w:eastAsia="仿宋"/>
                <w:sz w:val="24"/>
              </w:rPr>
            </w:pPr>
            <w:r>
              <w:rPr>
                <w:rFonts w:eastAsia="仿宋"/>
                <w:sz w:val="24"/>
              </w:rPr>
              <w:t>电子通信</w:t>
            </w:r>
          </w:p>
          <w:p w14:paraId="4CAD06E4">
            <w:pPr>
              <w:adjustRightInd w:val="0"/>
              <w:snapToGrid w:val="0"/>
              <w:spacing w:line="320" w:lineRule="exact"/>
              <w:jc w:val="center"/>
              <w:rPr>
                <w:rFonts w:eastAsia="仿宋"/>
                <w:sz w:val="24"/>
              </w:rPr>
            </w:pPr>
            <w:r>
              <w:rPr>
                <w:rFonts w:eastAsia="仿宋"/>
                <w:sz w:val="24"/>
              </w:rPr>
              <w:t>产业处</w:t>
            </w:r>
          </w:p>
          <w:p w14:paraId="05BEF429">
            <w:pPr>
              <w:adjustRightInd w:val="0"/>
              <w:snapToGrid w:val="0"/>
              <w:spacing w:line="320" w:lineRule="exact"/>
              <w:jc w:val="center"/>
              <w:rPr>
                <w:rFonts w:eastAsia="仿宋"/>
                <w:sz w:val="24"/>
              </w:rPr>
            </w:pPr>
            <w:r>
              <w:rPr>
                <w:rFonts w:eastAsia="仿宋"/>
                <w:sz w:val="24"/>
              </w:rPr>
              <w:t>陈龙</w:t>
            </w:r>
          </w:p>
          <w:p w14:paraId="68408C69">
            <w:pPr>
              <w:adjustRightInd w:val="0"/>
              <w:snapToGrid w:val="0"/>
              <w:spacing w:line="320" w:lineRule="exact"/>
              <w:jc w:val="center"/>
              <w:rPr>
                <w:rFonts w:eastAsia="仿宋"/>
                <w:sz w:val="24"/>
              </w:rPr>
            </w:pPr>
            <w:r>
              <w:rPr>
                <w:rFonts w:eastAsia="仿宋"/>
                <w:sz w:val="24"/>
              </w:rPr>
              <w:t>0731-88955391</w:t>
            </w:r>
          </w:p>
        </w:tc>
      </w:tr>
      <w:tr w14:paraId="117FB43A">
        <w:tblPrEx>
          <w:tblCellMar>
            <w:top w:w="0" w:type="dxa"/>
            <w:left w:w="108" w:type="dxa"/>
            <w:bottom w:w="0" w:type="dxa"/>
            <w:right w:w="108" w:type="dxa"/>
          </w:tblCellMar>
        </w:tblPrEx>
        <w:trPr>
          <w:trHeight w:val="3490" w:hRule="atLeast"/>
          <w:jc w:val="center"/>
        </w:trPr>
        <w:tc>
          <w:tcPr>
            <w:tcW w:w="1215" w:type="dxa"/>
            <w:tcBorders>
              <w:top w:val="single" w:color="auto" w:sz="4" w:space="0"/>
              <w:left w:val="single" w:color="auto" w:sz="4" w:space="0"/>
              <w:bottom w:val="single" w:color="auto" w:sz="4" w:space="0"/>
              <w:right w:val="single" w:color="auto" w:sz="4" w:space="0"/>
            </w:tcBorders>
            <w:noWrap w:val="0"/>
            <w:vAlign w:val="center"/>
          </w:tcPr>
          <w:p w14:paraId="2CC0F021">
            <w:pPr>
              <w:adjustRightInd w:val="0"/>
              <w:snapToGrid w:val="0"/>
              <w:spacing w:line="320" w:lineRule="exact"/>
              <w:jc w:val="center"/>
              <w:rPr>
                <w:rFonts w:eastAsia="仿宋"/>
                <w:sz w:val="28"/>
                <w:szCs w:val="28"/>
              </w:rPr>
            </w:pPr>
            <w:r>
              <w:rPr>
                <w:rFonts w:eastAsia="黑体"/>
                <w:color w:val="000000"/>
                <w:sz w:val="24"/>
              </w:rPr>
              <w:t>五、首台 （套） 重大技术装备奖励</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D22B398">
            <w:pPr>
              <w:adjustRightInd w:val="0"/>
              <w:snapToGrid w:val="0"/>
              <w:spacing w:line="320" w:lineRule="exact"/>
              <w:jc w:val="center"/>
              <w:rPr>
                <w:rFonts w:eastAsia="仿宋"/>
                <w:sz w:val="24"/>
              </w:rPr>
            </w:pPr>
            <w:r>
              <w:rPr>
                <w:rFonts w:eastAsia="仿宋"/>
                <w:sz w:val="24"/>
              </w:rPr>
              <w:t>详见《湖南省首台（套）重大技术装备推广应用指导目录（2025 版） 》</w:t>
            </w:r>
          </w:p>
        </w:tc>
        <w:tc>
          <w:tcPr>
            <w:tcW w:w="7052" w:type="dxa"/>
            <w:tcBorders>
              <w:top w:val="single" w:color="auto" w:sz="4" w:space="0"/>
              <w:left w:val="single" w:color="auto" w:sz="4" w:space="0"/>
              <w:bottom w:val="single" w:color="auto" w:sz="4" w:space="0"/>
              <w:right w:val="single" w:color="auto" w:sz="4" w:space="0"/>
            </w:tcBorders>
            <w:noWrap w:val="0"/>
            <w:vAlign w:val="center"/>
          </w:tcPr>
          <w:p w14:paraId="54BAED1E">
            <w:pPr>
              <w:spacing w:line="320" w:lineRule="exact"/>
              <w:jc w:val="left"/>
              <w:rPr>
                <w:rFonts w:eastAsia="仿宋"/>
                <w:sz w:val="24"/>
              </w:rPr>
            </w:pPr>
            <w:r>
              <w:rPr>
                <w:rFonts w:eastAsia="仿宋"/>
                <w:color w:val="000000"/>
                <w:sz w:val="24"/>
              </w:rPr>
              <w:t>1.申报企业依法在湖南省内注册，具有独立法人资格，财务状况良好，近三年（2023年以来）在安全、环保、税务等方面无重大违法违规记录，也无不良信用记录。2.申报项目应是本省企业研发、生产，并在2024年1月1日至2024年12月31日期间实现首次销售（以销售合同日期为准）的首台（套）产品及关键零部件。3.原则上成套设备每套销售价格在200万元及以上，单机每台销售价格50万元及以上，关键零部件每个销售价格在20万元及以上；农业机械、机器人产品每台销售价格20万元及以上。4.申报企业2023年、2024年</w:t>
            </w:r>
            <w:r>
              <w:rPr>
                <w:rFonts w:hint="eastAsia" w:eastAsia="仿宋"/>
                <w:color w:val="000000"/>
                <w:sz w:val="24"/>
              </w:rPr>
              <w:t>未</w:t>
            </w:r>
            <w:r>
              <w:rPr>
                <w:rFonts w:eastAsia="仿宋"/>
                <w:color w:val="000000"/>
                <w:sz w:val="24"/>
              </w:rPr>
              <w:t>连续2年获得首台（套）重大技术装备奖励。</w:t>
            </w:r>
          </w:p>
        </w:tc>
        <w:tc>
          <w:tcPr>
            <w:tcW w:w="806" w:type="dxa"/>
            <w:tcBorders>
              <w:top w:val="single" w:color="auto" w:sz="4" w:space="0"/>
              <w:left w:val="single" w:color="auto" w:sz="4" w:space="0"/>
              <w:bottom w:val="single" w:color="auto" w:sz="4" w:space="0"/>
              <w:right w:val="single" w:color="auto" w:sz="4" w:space="0"/>
            </w:tcBorders>
            <w:noWrap w:val="0"/>
            <w:vAlign w:val="center"/>
          </w:tcPr>
          <w:p w14:paraId="74861E57">
            <w:pPr>
              <w:spacing w:line="320" w:lineRule="exact"/>
              <w:jc w:val="center"/>
              <w:rPr>
                <w:rFonts w:eastAsia="仿宋"/>
                <w:sz w:val="24"/>
              </w:rPr>
            </w:pPr>
            <w:r>
              <w:rPr>
                <w:rFonts w:eastAsia="仿宋"/>
                <w:color w:val="000000"/>
                <w:sz w:val="24"/>
              </w:rPr>
              <w:t>奖励</w:t>
            </w:r>
          </w:p>
        </w:tc>
        <w:tc>
          <w:tcPr>
            <w:tcW w:w="1768" w:type="dxa"/>
            <w:tcBorders>
              <w:top w:val="single" w:color="auto" w:sz="4" w:space="0"/>
              <w:left w:val="single" w:color="auto" w:sz="4" w:space="0"/>
              <w:bottom w:val="single" w:color="auto" w:sz="4" w:space="0"/>
              <w:right w:val="single" w:color="auto" w:sz="4" w:space="0"/>
            </w:tcBorders>
            <w:noWrap w:val="0"/>
            <w:vAlign w:val="center"/>
          </w:tcPr>
          <w:p w14:paraId="37CE15A8">
            <w:pPr>
              <w:spacing w:line="320" w:lineRule="exact"/>
              <w:jc w:val="center"/>
              <w:rPr>
                <w:rFonts w:eastAsia="仿宋"/>
                <w:color w:val="000000"/>
                <w:sz w:val="24"/>
              </w:rPr>
            </w:pPr>
          </w:p>
          <w:p w14:paraId="4736A54C">
            <w:pPr>
              <w:spacing w:line="320" w:lineRule="exact"/>
              <w:jc w:val="center"/>
              <w:rPr>
                <w:rFonts w:eastAsia="仿宋"/>
                <w:color w:val="000000"/>
                <w:sz w:val="24"/>
              </w:rPr>
            </w:pPr>
            <w:r>
              <w:rPr>
                <w:rFonts w:eastAsia="仿宋"/>
                <w:color w:val="000000"/>
                <w:sz w:val="24"/>
              </w:rPr>
              <w:t>装备工业处</w:t>
            </w:r>
          </w:p>
          <w:p w14:paraId="7461B26D">
            <w:pPr>
              <w:spacing w:line="320" w:lineRule="exact"/>
              <w:jc w:val="center"/>
              <w:rPr>
                <w:rFonts w:eastAsia="仿宋"/>
                <w:color w:val="000000"/>
                <w:sz w:val="24"/>
              </w:rPr>
            </w:pPr>
            <w:r>
              <w:rPr>
                <w:rFonts w:eastAsia="仿宋"/>
                <w:color w:val="000000"/>
                <w:sz w:val="24"/>
              </w:rPr>
              <w:t>李寿文</w:t>
            </w:r>
          </w:p>
          <w:p w14:paraId="662195C9">
            <w:pPr>
              <w:spacing w:line="320" w:lineRule="exact"/>
              <w:jc w:val="center"/>
              <w:rPr>
                <w:rFonts w:eastAsia="仿宋"/>
                <w:sz w:val="24"/>
              </w:rPr>
            </w:pPr>
            <w:r>
              <w:rPr>
                <w:rFonts w:eastAsia="仿宋"/>
                <w:color w:val="000000"/>
                <w:sz w:val="24"/>
              </w:rPr>
              <w:t>0731-88955392</w:t>
            </w:r>
          </w:p>
        </w:tc>
      </w:tr>
      <w:tr w14:paraId="546806A2">
        <w:tblPrEx>
          <w:tblCellMar>
            <w:top w:w="0" w:type="dxa"/>
            <w:left w:w="108" w:type="dxa"/>
            <w:bottom w:w="0" w:type="dxa"/>
            <w:right w:w="108" w:type="dxa"/>
          </w:tblCellMar>
        </w:tblPrEx>
        <w:trPr>
          <w:trHeight w:val="3087" w:hRule="atLeast"/>
          <w:jc w:val="center"/>
        </w:trPr>
        <w:tc>
          <w:tcPr>
            <w:tcW w:w="1215" w:type="dxa"/>
            <w:tcBorders>
              <w:top w:val="single" w:color="auto" w:sz="4" w:space="0"/>
              <w:left w:val="single" w:color="auto" w:sz="4" w:space="0"/>
              <w:bottom w:val="single" w:color="auto" w:sz="4" w:space="0"/>
              <w:right w:val="single" w:color="auto" w:sz="4" w:space="0"/>
            </w:tcBorders>
            <w:noWrap w:val="0"/>
            <w:vAlign w:val="center"/>
          </w:tcPr>
          <w:p w14:paraId="02755DD4">
            <w:pPr>
              <w:adjustRightInd w:val="0"/>
              <w:snapToGrid w:val="0"/>
              <w:spacing w:line="320" w:lineRule="exact"/>
              <w:rPr>
                <w:rFonts w:eastAsia="黑体"/>
                <w:sz w:val="24"/>
              </w:rPr>
            </w:pPr>
            <w:r>
              <w:rPr>
                <w:rFonts w:eastAsia="黑体"/>
                <w:color w:val="000000"/>
                <w:sz w:val="24"/>
              </w:rPr>
              <w:t>六、首版次软件产品奖励</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FC44941">
            <w:pPr>
              <w:adjustRightInd w:val="0"/>
              <w:snapToGrid w:val="0"/>
              <w:spacing w:line="320" w:lineRule="exact"/>
              <w:jc w:val="left"/>
              <w:rPr>
                <w:sz w:val="24"/>
              </w:rPr>
            </w:pPr>
            <w:r>
              <w:rPr>
                <w:rFonts w:eastAsia="仿宋"/>
                <w:color w:val="000000"/>
                <w:kern w:val="0"/>
                <w:sz w:val="24"/>
                <w:lang w:bidi="ar"/>
              </w:rPr>
              <w:t>支持</w:t>
            </w:r>
            <w:r>
              <w:rPr>
                <w:rFonts w:hint="eastAsia" w:eastAsia="仿宋"/>
                <w:color w:val="000000"/>
                <w:kern w:val="0"/>
                <w:sz w:val="24"/>
                <w:lang w:bidi="ar"/>
              </w:rPr>
              <w:t>省工业和信息化厅</w:t>
            </w:r>
            <w:r>
              <w:rPr>
                <w:rFonts w:eastAsia="仿宋"/>
                <w:color w:val="000000"/>
                <w:kern w:val="0"/>
                <w:sz w:val="24"/>
                <w:lang w:bidi="ar"/>
              </w:rPr>
              <w:t>认定发布的2025年湖南省首版次软件产品。</w:t>
            </w:r>
          </w:p>
        </w:tc>
        <w:tc>
          <w:tcPr>
            <w:tcW w:w="7052" w:type="dxa"/>
            <w:tcBorders>
              <w:top w:val="single" w:color="auto" w:sz="4" w:space="0"/>
              <w:left w:val="single" w:color="auto" w:sz="4" w:space="0"/>
              <w:bottom w:val="single" w:color="auto" w:sz="4" w:space="0"/>
              <w:right w:val="single" w:color="auto" w:sz="4" w:space="0"/>
            </w:tcBorders>
            <w:noWrap w:val="0"/>
            <w:vAlign w:val="center"/>
          </w:tcPr>
          <w:p w14:paraId="7B12C312">
            <w:pPr>
              <w:spacing w:line="320" w:lineRule="exact"/>
              <w:jc w:val="left"/>
              <w:rPr>
                <w:rFonts w:eastAsia="仿宋"/>
                <w:color w:val="000000"/>
                <w:sz w:val="24"/>
                <w:lang w:eastAsia="zh-Hans" w:bidi="ar"/>
              </w:rPr>
            </w:pPr>
            <w:r>
              <w:rPr>
                <w:rFonts w:eastAsia="仿宋"/>
                <w:color w:val="000000"/>
                <w:sz w:val="24"/>
                <w:lang w:eastAsia="zh-Hans" w:bidi="ar"/>
              </w:rPr>
              <w:t>1.产品经认定为2025年湖南省首版次软件产品。</w:t>
            </w:r>
          </w:p>
          <w:p w14:paraId="3D9FDBFF">
            <w:pPr>
              <w:spacing w:line="320" w:lineRule="exact"/>
              <w:jc w:val="left"/>
              <w:rPr>
                <w:rFonts w:eastAsia="仿宋"/>
                <w:color w:val="000000"/>
                <w:sz w:val="24"/>
                <w:lang w:eastAsia="zh-Hans" w:bidi="ar"/>
              </w:rPr>
            </w:pPr>
            <w:r>
              <w:rPr>
                <w:rFonts w:eastAsia="仿宋"/>
                <w:color w:val="000000"/>
                <w:sz w:val="24"/>
                <w:lang w:eastAsia="zh-Hans" w:bidi="ar"/>
              </w:rPr>
              <w:t>2.单个产品研发投入费用不低于100万元（必须是用于本项目的合理费用，以有资质的会计师事务所提供的项目开支专项审计为准，相关发票、支出凭证和银行对账单时间对应）。</w:t>
            </w:r>
          </w:p>
          <w:p w14:paraId="50150578">
            <w:pPr>
              <w:spacing w:line="320" w:lineRule="exact"/>
              <w:rPr>
                <w:rFonts w:eastAsia="仿宋"/>
                <w:color w:val="000000"/>
                <w:sz w:val="24"/>
                <w:lang w:eastAsia="zh-Hans" w:bidi="ar"/>
              </w:rPr>
            </w:pPr>
            <w:r>
              <w:rPr>
                <w:rFonts w:eastAsia="仿宋"/>
                <w:color w:val="000000"/>
                <w:sz w:val="24"/>
                <w:lang w:eastAsia="zh-Hans" w:bidi="ar"/>
              </w:rPr>
              <w:t>3.产品取得软著以后的销售收入不低于100万元（以有资质的会计师事务所提供的产品销售收入专项审计为准，相关合同、发票、凭证和银行对账单时间对应）。</w:t>
            </w:r>
          </w:p>
          <w:p w14:paraId="744582F3">
            <w:pPr>
              <w:spacing w:line="320" w:lineRule="exact"/>
              <w:jc w:val="left"/>
              <w:rPr>
                <w:rFonts w:eastAsia="仿宋"/>
                <w:sz w:val="24"/>
              </w:rPr>
            </w:pPr>
            <w:r>
              <w:rPr>
                <w:rFonts w:eastAsia="仿宋"/>
                <w:color w:val="000000"/>
                <w:sz w:val="24"/>
                <w:lang w:eastAsia="zh-Hans" w:bidi="ar"/>
              </w:rPr>
              <w:t>4.企业2023年、2024年未连续2年获得首版次软件产品奖励。</w:t>
            </w:r>
          </w:p>
        </w:tc>
        <w:tc>
          <w:tcPr>
            <w:tcW w:w="806" w:type="dxa"/>
            <w:tcBorders>
              <w:top w:val="single" w:color="auto" w:sz="4" w:space="0"/>
              <w:left w:val="single" w:color="auto" w:sz="4" w:space="0"/>
              <w:bottom w:val="single" w:color="auto" w:sz="4" w:space="0"/>
              <w:right w:val="single" w:color="auto" w:sz="4" w:space="0"/>
            </w:tcBorders>
            <w:noWrap w:val="0"/>
            <w:vAlign w:val="center"/>
          </w:tcPr>
          <w:p w14:paraId="5841AF12">
            <w:pPr>
              <w:adjustRightInd w:val="0"/>
              <w:snapToGrid w:val="0"/>
              <w:spacing w:line="320" w:lineRule="exact"/>
              <w:jc w:val="left"/>
              <w:rPr>
                <w:rFonts w:eastAsia="仿宋"/>
                <w:sz w:val="24"/>
              </w:rPr>
            </w:pPr>
            <w:r>
              <w:rPr>
                <w:rFonts w:eastAsia="仿宋"/>
                <w:color w:val="000000"/>
                <w:kern w:val="0"/>
                <w:sz w:val="24"/>
                <w:lang w:bidi="ar"/>
              </w:rPr>
              <w:t>奖励</w:t>
            </w:r>
          </w:p>
        </w:tc>
        <w:tc>
          <w:tcPr>
            <w:tcW w:w="1768" w:type="dxa"/>
            <w:tcBorders>
              <w:top w:val="single" w:color="auto" w:sz="4" w:space="0"/>
              <w:left w:val="single" w:color="auto" w:sz="4" w:space="0"/>
              <w:bottom w:val="single" w:color="auto" w:sz="4" w:space="0"/>
              <w:right w:val="single" w:color="auto" w:sz="4" w:space="0"/>
            </w:tcBorders>
            <w:noWrap w:val="0"/>
            <w:vAlign w:val="center"/>
          </w:tcPr>
          <w:p w14:paraId="3D165261">
            <w:pPr>
              <w:adjustRightInd w:val="0"/>
              <w:snapToGrid w:val="0"/>
              <w:spacing w:line="320" w:lineRule="exact"/>
              <w:jc w:val="center"/>
              <w:rPr>
                <w:rFonts w:eastAsia="仿宋"/>
                <w:color w:val="000000"/>
                <w:kern w:val="0"/>
                <w:sz w:val="24"/>
                <w:lang w:bidi="ar"/>
              </w:rPr>
            </w:pPr>
            <w:r>
              <w:rPr>
                <w:rFonts w:eastAsia="仿宋"/>
                <w:color w:val="000000"/>
                <w:kern w:val="0"/>
                <w:sz w:val="24"/>
                <w:lang w:bidi="ar"/>
              </w:rPr>
              <w:t>信息化和软件服务业处</w:t>
            </w:r>
          </w:p>
          <w:p w14:paraId="666DE6B6">
            <w:pPr>
              <w:adjustRightInd w:val="0"/>
              <w:snapToGrid w:val="0"/>
              <w:spacing w:line="320" w:lineRule="exact"/>
              <w:jc w:val="center"/>
              <w:rPr>
                <w:rFonts w:eastAsia="仿宋"/>
                <w:color w:val="000000"/>
                <w:kern w:val="0"/>
                <w:sz w:val="24"/>
                <w:lang w:bidi="ar"/>
              </w:rPr>
            </w:pPr>
            <w:r>
              <w:rPr>
                <w:rFonts w:eastAsia="仿宋"/>
                <w:color w:val="000000"/>
                <w:kern w:val="0"/>
                <w:sz w:val="24"/>
                <w:lang w:bidi="ar"/>
              </w:rPr>
              <w:t>王静</w:t>
            </w:r>
          </w:p>
          <w:p w14:paraId="1CF72865">
            <w:pPr>
              <w:adjustRightInd w:val="0"/>
              <w:snapToGrid w:val="0"/>
              <w:spacing w:line="320" w:lineRule="exact"/>
              <w:jc w:val="center"/>
              <w:rPr>
                <w:rFonts w:eastAsia="仿宋"/>
                <w:sz w:val="24"/>
              </w:rPr>
            </w:pPr>
            <w:r>
              <w:rPr>
                <w:rFonts w:eastAsia="仿宋"/>
                <w:color w:val="000000"/>
                <w:kern w:val="0"/>
                <w:sz w:val="24"/>
                <w:lang w:bidi="ar"/>
              </w:rPr>
              <w:t>0731-88955462</w:t>
            </w:r>
          </w:p>
        </w:tc>
      </w:tr>
      <w:tr w14:paraId="4F08E77A">
        <w:tblPrEx>
          <w:tblCellMar>
            <w:top w:w="0" w:type="dxa"/>
            <w:left w:w="108" w:type="dxa"/>
            <w:bottom w:w="0" w:type="dxa"/>
            <w:right w:w="108" w:type="dxa"/>
          </w:tblCellMar>
        </w:tblPrEx>
        <w:trPr>
          <w:trHeight w:val="4215" w:hRule="atLeast"/>
          <w:jc w:val="center"/>
        </w:trPr>
        <w:tc>
          <w:tcPr>
            <w:tcW w:w="1215" w:type="dxa"/>
            <w:tcBorders>
              <w:top w:val="single" w:color="auto" w:sz="4" w:space="0"/>
              <w:left w:val="single" w:color="auto" w:sz="4" w:space="0"/>
              <w:bottom w:val="single" w:color="auto" w:sz="4" w:space="0"/>
              <w:right w:val="single" w:color="auto" w:sz="4" w:space="0"/>
            </w:tcBorders>
            <w:noWrap w:val="0"/>
            <w:vAlign w:val="center"/>
          </w:tcPr>
          <w:p w14:paraId="5AB76EEB">
            <w:pPr>
              <w:widowControl/>
              <w:spacing w:line="270" w:lineRule="exact"/>
              <w:jc w:val="left"/>
              <w:rPr>
                <w:rFonts w:eastAsia="黑体"/>
                <w:sz w:val="24"/>
              </w:rPr>
            </w:pPr>
            <w:r>
              <w:rPr>
                <w:rFonts w:eastAsia="黑体"/>
                <w:color w:val="000000"/>
                <w:sz w:val="24"/>
              </w:rPr>
              <w:t>七、首批次重点新材料产品奖励</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A9F2D9">
            <w:pPr>
              <w:spacing w:line="270" w:lineRule="exact"/>
              <w:jc w:val="left"/>
              <w:textAlignment w:val="center"/>
              <w:rPr>
                <w:rFonts w:eastAsia="仿宋"/>
                <w:sz w:val="24"/>
              </w:rPr>
            </w:pPr>
            <w:r>
              <w:rPr>
                <w:rFonts w:eastAsia="仿宋"/>
                <w:color w:val="000000"/>
                <w:kern w:val="0"/>
                <w:sz w:val="24"/>
                <w:lang w:bidi="ar"/>
              </w:rPr>
              <w:t>详见《湖南省首批次重点新材料产品方向指南（</w:t>
            </w:r>
            <w:r>
              <w:rPr>
                <w:rFonts w:eastAsia="仿宋"/>
                <w:color w:val="000000"/>
                <w:kern w:val="0"/>
                <w:sz w:val="24"/>
                <w:lang w:val="en" w:bidi="ar"/>
              </w:rPr>
              <w:t>202</w:t>
            </w:r>
            <w:r>
              <w:rPr>
                <w:rFonts w:hint="eastAsia" w:eastAsia="仿宋"/>
                <w:color w:val="000000"/>
                <w:kern w:val="0"/>
                <w:sz w:val="24"/>
                <w:lang w:bidi="ar"/>
              </w:rPr>
              <w:t>3</w:t>
            </w:r>
            <w:r>
              <w:rPr>
                <w:rFonts w:eastAsia="仿宋"/>
                <w:color w:val="000000"/>
                <w:kern w:val="0"/>
                <w:sz w:val="24"/>
                <w:lang w:bidi="ar"/>
              </w:rPr>
              <w:t>年）》。</w:t>
            </w:r>
          </w:p>
        </w:tc>
        <w:tc>
          <w:tcPr>
            <w:tcW w:w="7052" w:type="dxa"/>
            <w:tcBorders>
              <w:top w:val="single" w:color="auto" w:sz="4" w:space="0"/>
              <w:left w:val="single" w:color="auto" w:sz="4" w:space="0"/>
              <w:bottom w:val="single" w:color="auto" w:sz="4" w:space="0"/>
              <w:right w:val="single" w:color="auto" w:sz="4" w:space="0"/>
            </w:tcBorders>
            <w:noWrap w:val="0"/>
            <w:vAlign w:val="center"/>
          </w:tcPr>
          <w:p w14:paraId="4C680556">
            <w:pPr>
              <w:adjustRightInd w:val="0"/>
              <w:snapToGrid w:val="0"/>
              <w:spacing w:line="320" w:lineRule="exact"/>
              <w:jc w:val="left"/>
              <w:rPr>
                <w:rFonts w:eastAsia="仿宋"/>
                <w:color w:val="000000"/>
                <w:kern w:val="0"/>
                <w:sz w:val="24"/>
                <w:lang w:bidi="ar"/>
              </w:rPr>
            </w:pPr>
            <w:r>
              <w:rPr>
                <w:rFonts w:eastAsia="仿宋"/>
                <w:color w:val="000000"/>
                <w:kern w:val="0"/>
                <w:sz w:val="24"/>
                <w:lang w:bidi="ar"/>
              </w:rPr>
              <w:t>1.申报产品应是自</w:t>
            </w:r>
            <w:r>
              <w:rPr>
                <w:rFonts w:eastAsia="仿宋"/>
                <w:color w:val="000000"/>
                <w:kern w:val="0"/>
                <w:sz w:val="24"/>
                <w:lang w:val="en" w:bidi="ar"/>
              </w:rPr>
              <w:t>2024</w:t>
            </w:r>
            <w:r>
              <w:rPr>
                <w:rFonts w:eastAsia="仿宋"/>
                <w:color w:val="000000"/>
                <w:kern w:val="0"/>
                <w:sz w:val="24"/>
                <w:lang w:bidi="ar"/>
              </w:rPr>
              <w:t>年1月至</w:t>
            </w:r>
            <w:r>
              <w:rPr>
                <w:rFonts w:eastAsia="仿宋"/>
                <w:color w:val="000000"/>
                <w:kern w:val="0"/>
                <w:sz w:val="24"/>
                <w:lang w:val="en" w:bidi="ar"/>
              </w:rPr>
              <w:t>2024</w:t>
            </w:r>
            <w:r>
              <w:rPr>
                <w:rFonts w:eastAsia="仿宋"/>
                <w:color w:val="000000"/>
                <w:kern w:val="0"/>
                <w:sz w:val="24"/>
                <w:lang w:bidi="ar"/>
              </w:rPr>
              <w:t>年12月，由省内新材料企业研发、生产并销售的国内首批次重点新材料产品，且在《湖南省首批次重点新材料产品方向指南（</w:t>
            </w:r>
            <w:r>
              <w:rPr>
                <w:rFonts w:eastAsia="仿宋"/>
                <w:color w:val="000000"/>
                <w:kern w:val="0"/>
                <w:sz w:val="24"/>
                <w:lang w:val="en" w:bidi="ar"/>
              </w:rPr>
              <w:t>202</w:t>
            </w:r>
            <w:r>
              <w:rPr>
                <w:rFonts w:eastAsia="仿宋"/>
                <w:color w:val="000000"/>
                <w:kern w:val="0"/>
                <w:sz w:val="24"/>
                <w:lang w:bidi="ar"/>
              </w:rPr>
              <w:t>3年）》内。申报产品应达到国内先进水平，且掌握该产品生产的核心技术和关键工艺。</w:t>
            </w:r>
          </w:p>
          <w:p w14:paraId="3DC9BF24">
            <w:pPr>
              <w:adjustRightInd w:val="0"/>
              <w:snapToGrid w:val="0"/>
              <w:spacing w:line="320" w:lineRule="exact"/>
              <w:jc w:val="left"/>
              <w:rPr>
                <w:rFonts w:eastAsia="仿宋"/>
                <w:color w:val="000000"/>
                <w:kern w:val="0"/>
                <w:sz w:val="24"/>
                <w:lang w:bidi="ar"/>
              </w:rPr>
            </w:pPr>
            <w:r>
              <w:rPr>
                <w:rFonts w:eastAsia="仿宋"/>
                <w:color w:val="000000"/>
                <w:kern w:val="0"/>
                <w:sz w:val="24"/>
                <w:lang w:bidi="ar"/>
              </w:rPr>
              <w:t>2.项目申报时，应由生产企业牵头会同应用企业联合申报。</w:t>
            </w:r>
          </w:p>
          <w:p w14:paraId="5F1AB1AC">
            <w:pPr>
              <w:adjustRightInd w:val="0"/>
              <w:snapToGrid w:val="0"/>
              <w:spacing w:line="320" w:lineRule="exact"/>
              <w:jc w:val="left"/>
              <w:rPr>
                <w:rFonts w:eastAsia="仿宋"/>
                <w:color w:val="000000"/>
                <w:kern w:val="0"/>
                <w:sz w:val="24"/>
                <w:lang w:bidi="ar"/>
              </w:rPr>
            </w:pPr>
            <w:r>
              <w:rPr>
                <w:rFonts w:eastAsia="仿宋"/>
                <w:color w:val="000000"/>
                <w:kern w:val="0"/>
                <w:sz w:val="24"/>
                <w:lang w:bidi="ar"/>
              </w:rPr>
              <w:t>3.生产企业应是通过</w:t>
            </w:r>
            <w:r>
              <w:rPr>
                <w:rFonts w:hint="eastAsia" w:eastAsia="仿宋"/>
                <w:color w:val="000000"/>
                <w:kern w:val="0"/>
                <w:sz w:val="24"/>
                <w:lang w:bidi="ar"/>
              </w:rPr>
              <w:t>省工业和信息化厅与</w:t>
            </w:r>
            <w:r>
              <w:rPr>
                <w:rFonts w:eastAsia="仿宋"/>
                <w:color w:val="000000"/>
                <w:kern w:val="0"/>
                <w:sz w:val="24"/>
                <w:lang w:bidi="ar"/>
              </w:rPr>
              <w:t>省统计局联合认定且在认定有效期内的湖南省新材料企业。应用企业应是率先批量使用生产企业所生产的产品，并与生产企业开展长期稳定的研发、使用和改进等方面合作的企业。</w:t>
            </w:r>
          </w:p>
          <w:p w14:paraId="3E263CDE">
            <w:pPr>
              <w:adjustRightInd w:val="0"/>
              <w:snapToGrid w:val="0"/>
              <w:spacing w:line="320" w:lineRule="exact"/>
              <w:jc w:val="left"/>
              <w:rPr>
                <w:rFonts w:eastAsia="仿宋"/>
                <w:color w:val="000000"/>
                <w:kern w:val="0"/>
                <w:sz w:val="24"/>
                <w:lang w:bidi="ar"/>
              </w:rPr>
            </w:pPr>
            <w:r>
              <w:rPr>
                <w:rFonts w:eastAsia="仿宋"/>
                <w:color w:val="000000"/>
                <w:kern w:val="0"/>
                <w:sz w:val="24"/>
                <w:lang w:bidi="ar"/>
              </w:rPr>
              <w:t>4.申报产品应由新材料应用企业直接购买使用，应用企业为关联企业及贸易商的不得申报。</w:t>
            </w:r>
          </w:p>
          <w:p w14:paraId="4323C14D">
            <w:pPr>
              <w:adjustRightInd w:val="0"/>
              <w:snapToGrid w:val="0"/>
              <w:spacing w:line="320" w:lineRule="exact"/>
              <w:jc w:val="left"/>
              <w:rPr>
                <w:rFonts w:eastAsia="仿宋"/>
                <w:sz w:val="24"/>
              </w:rPr>
            </w:pPr>
            <w:r>
              <w:rPr>
                <w:rFonts w:eastAsia="仿宋"/>
                <w:color w:val="000000"/>
                <w:kern w:val="0"/>
                <w:sz w:val="24"/>
                <w:lang w:bidi="ar"/>
              </w:rPr>
              <w:t>5.申报产品的首批次销售额应达到</w:t>
            </w:r>
            <w:r>
              <w:rPr>
                <w:rFonts w:hint="eastAsia" w:eastAsia="仿宋"/>
                <w:color w:val="000000"/>
                <w:kern w:val="0"/>
                <w:sz w:val="24"/>
                <w:lang w:bidi="ar"/>
              </w:rPr>
              <w:t>50</w:t>
            </w:r>
            <w:r>
              <w:rPr>
                <w:rFonts w:eastAsia="仿宋"/>
                <w:color w:val="000000"/>
                <w:kern w:val="0"/>
                <w:sz w:val="24"/>
                <w:lang w:bidi="ar"/>
              </w:rPr>
              <w:t>万元以上。</w:t>
            </w:r>
          </w:p>
        </w:tc>
        <w:tc>
          <w:tcPr>
            <w:tcW w:w="806" w:type="dxa"/>
            <w:tcBorders>
              <w:top w:val="single" w:color="auto" w:sz="4" w:space="0"/>
              <w:left w:val="single" w:color="auto" w:sz="4" w:space="0"/>
              <w:bottom w:val="single" w:color="auto" w:sz="4" w:space="0"/>
              <w:right w:val="single" w:color="auto" w:sz="4" w:space="0"/>
            </w:tcBorders>
            <w:noWrap w:val="0"/>
            <w:vAlign w:val="center"/>
          </w:tcPr>
          <w:p w14:paraId="43D69150">
            <w:pPr>
              <w:spacing w:line="270" w:lineRule="exact"/>
              <w:jc w:val="center"/>
              <w:textAlignment w:val="center"/>
              <w:rPr>
                <w:rFonts w:eastAsia="仿宋"/>
                <w:sz w:val="24"/>
              </w:rPr>
            </w:pPr>
            <w:r>
              <w:rPr>
                <w:rFonts w:eastAsia="仿宋"/>
                <w:color w:val="000000"/>
                <w:kern w:val="0"/>
                <w:sz w:val="24"/>
                <w:lang w:bidi="ar"/>
              </w:rPr>
              <w:t>奖励</w:t>
            </w:r>
          </w:p>
        </w:tc>
        <w:tc>
          <w:tcPr>
            <w:tcW w:w="1768" w:type="dxa"/>
            <w:tcBorders>
              <w:top w:val="single" w:color="auto" w:sz="4" w:space="0"/>
              <w:left w:val="single" w:color="auto" w:sz="4" w:space="0"/>
              <w:bottom w:val="single" w:color="auto" w:sz="4" w:space="0"/>
              <w:right w:val="single" w:color="auto" w:sz="4" w:space="0"/>
            </w:tcBorders>
            <w:noWrap w:val="0"/>
            <w:vAlign w:val="center"/>
          </w:tcPr>
          <w:p w14:paraId="512B5591">
            <w:pPr>
              <w:spacing w:line="270" w:lineRule="exact"/>
              <w:jc w:val="center"/>
              <w:textAlignment w:val="center"/>
              <w:rPr>
                <w:rFonts w:eastAsia="仿宋"/>
                <w:sz w:val="24"/>
              </w:rPr>
            </w:pPr>
            <w:r>
              <w:rPr>
                <w:rFonts w:eastAsia="仿宋"/>
                <w:color w:val="000000"/>
                <w:kern w:val="0"/>
                <w:sz w:val="24"/>
                <w:lang w:bidi="ar"/>
              </w:rPr>
              <w:t>原材料工业处                    王梦兰                           0731-88955381</w:t>
            </w:r>
          </w:p>
        </w:tc>
      </w:tr>
      <w:tr w14:paraId="32AC0FAA">
        <w:tblPrEx>
          <w:tblCellMar>
            <w:top w:w="0" w:type="dxa"/>
            <w:left w:w="108" w:type="dxa"/>
            <w:bottom w:w="0" w:type="dxa"/>
            <w:right w:w="108" w:type="dxa"/>
          </w:tblCellMar>
        </w:tblPrEx>
        <w:trPr>
          <w:trHeight w:val="2921" w:hRule="atLeast"/>
          <w:jc w:val="center"/>
        </w:trPr>
        <w:tc>
          <w:tcPr>
            <w:tcW w:w="1215" w:type="dxa"/>
            <w:tcBorders>
              <w:top w:val="single" w:color="auto" w:sz="4" w:space="0"/>
              <w:left w:val="single" w:color="auto" w:sz="4" w:space="0"/>
              <w:bottom w:val="single" w:color="auto" w:sz="4" w:space="0"/>
              <w:right w:val="single" w:color="auto" w:sz="4" w:space="0"/>
            </w:tcBorders>
            <w:noWrap w:val="0"/>
            <w:vAlign w:val="center"/>
          </w:tcPr>
          <w:p w14:paraId="63FECE7B">
            <w:pPr>
              <w:adjustRightInd w:val="0"/>
              <w:snapToGrid w:val="0"/>
              <w:spacing w:line="320" w:lineRule="exact"/>
              <w:rPr>
                <w:rFonts w:eastAsia="黑体"/>
                <w:color w:val="000000"/>
                <w:sz w:val="24"/>
              </w:rPr>
            </w:pPr>
            <w:r>
              <w:rPr>
                <w:rFonts w:hint="eastAsia" w:ascii="黑体" w:hAnsi="黑体" w:eastAsia="黑体" w:cs="黑体"/>
                <w:color w:val="000000"/>
                <w:sz w:val="24"/>
              </w:rPr>
              <w:t>八、</w:t>
            </w:r>
            <w:r>
              <w:rPr>
                <w:rFonts w:hint="eastAsia" w:ascii="黑体" w:hAnsi="黑体" w:eastAsia="黑体" w:cs="黑体"/>
                <w:color w:val="000000"/>
                <w:kern w:val="0"/>
                <w:sz w:val="24"/>
                <w:lang w:bidi="ar"/>
              </w:rPr>
              <w:t>工业资源综合利用标杆企业奖励</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F9C19FD">
            <w:pPr>
              <w:spacing w:line="320" w:lineRule="exact"/>
              <w:rPr>
                <w:rFonts w:eastAsia="仿宋"/>
                <w:color w:val="000000"/>
                <w:kern w:val="0"/>
                <w:sz w:val="24"/>
                <w:lang w:bidi="ar"/>
              </w:rPr>
            </w:pPr>
            <w:r>
              <w:rPr>
                <w:rFonts w:eastAsia="仿宋"/>
                <w:color w:val="000000"/>
                <w:kern w:val="0"/>
                <w:sz w:val="24"/>
                <w:lang w:bidi="ar"/>
              </w:rPr>
              <w:t>支持省工业和信息化厅认定发布的2025年工业资源综合利用标杆企业</w:t>
            </w:r>
          </w:p>
        </w:tc>
        <w:tc>
          <w:tcPr>
            <w:tcW w:w="7052" w:type="dxa"/>
            <w:tcBorders>
              <w:top w:val="single" w:color="auto" w:sz="4" w:space="0"/>
              <w:left w:val="single" w:color="auto" w:sz="4" w:space="0"/>
              <w:bottom w:val="single" w:color="auto" w:sz="4" w:space="0"/>
              <w:right w:val="single" w:color="auto" w:sz="4" w:space="0"/>
            </w:tcBorders>
            <w:noWrap w:val="0"/>
            <w:vAlign w:val="center"/>
          </w:tcPr>
          <w:p w14:paraId="1FA73607">
            <w:pPr>
              <w:adjustRightInd w:val="0"/>
              <w:snapToGrid w:val="0"/>
              <w:spacing w:line="320" w:lineRule="exact"/>
              <w:jc w:val="left"/>
              <w:rPr>
                <w:rFonts w:eastAsia="仿宋"/>
                <w:color w:val="000000"/>
                <w:kern w:val="0"/>
                <w:sz w:val="24"/>
                <w:lang w:bidi="ar"/>
              </w:rPr>
            </w:pPr>
            <w:r>
              <w:rPr>
                <w:rFonts w:hint="eastAsia" w:eastAsia="仿宋"/>
                <w:color w:val="000000"/>
                <w:kern w:val="0"/>
                <w:sz w:val="24"/>
                <w:lang w:bidi="ar"/>
              </w:rPr>
              <w:t>1.企业</w:t>
            </w:r>
            <w:r>
              <w:rPr>
                <w:rFonts w:eastAsia="仿宋"/>
                <w:color w:val="000000"/>
                <w:sz w:val="24"/>
                <w:lang w:eastAsia="zh-Hans" w:bidi="ar"/>
              </w:rPr>
              <w:t>经认定为</w:t>
            </w:r>
            <w:r>
              <w:rPr>
                <w:rFonts w:eastAsia="仿宋"/>
                <w:color w:val="000000"/>
                <w:kern w:val="0"/>
                <w:sz w:val="24"/>
                <w:lang w:bidi="ar"/>
              </w:rPr>
              <w:t>2025年工业资源综合利用标杆企业</w:t>
            </w:r>
            <w:r>
              <w:rPr>
                <w:rFonts w:hint="eastAsia" w:eastAsia="仿宋"/>
                <w:color w:val="000000"/>
                <w:kern w:val="0"/>
                <w:sz w:val="24"/>
                <w:lang w:bidi="ar"/>
              </w:rPr>
              <w:t>。</w:t>
            </w:r>
          </w:p>
          <w:p w14:paraId="012EEDDD">
            <w:pPr>
              <w:adjustRightInd w:val="0"/>
              <w:snapToGrid w:val="0"/>
              <w:spacing w:line="320" w:lineRule="exact"/>
              <w:jc w:val="left"/>
              <w:rPr>
                <w:rFonts w:hint="eastAsia" w:eastAsia="仿宋"/>
                <w:color w:val="000000"/>
                <w:kern w:val="0"/>
                <w:sz w:val="24"/>
                <w:lang w:bidi="ar"/>
              </w:rPr>
            </w:pPr>
            <w:r>
              <w:rPr>
                <w:rFonts w:hint="eastAsia" w:eastAsia="仿宋"/>
                <w:color w:val="000000"/>
                <w:kern w:val="0"/>
                <w:sz w:val="24"/>
                <w:lang w:bidi="ar"/>
              </w:rPr>
              <w:t>2.申报企业2024年综合利用量满足以下条件之一：</w:t>
            </w:r>
          </w:p>
          <w:p w14:paraId="21BAD8C1">
            <w:pPr>
              <w:adjustRightInd w:val="0"/>
              <w:snapToGrid w:val="0"/>
              <w:spacing w:line="320" w:lineRule="exact"/>
              <w:jc w:val="left"/>
              <w:rPr>
                <w:rFonts w:hint="eastAsia" w:eastAsia="仿宋"/>
                <w:color w:val="000000"/>
                <w:kern w:val="0"/>
                <w:sz w:val="24"/>
                <w:lang w:bidi="ar"/>
              </w:rPr>
            </w:pPr>
            <w:r>
              <w:rPr>
                <w:rFonts w:hint="eastAsia" w:eastAsia="仿宋"/>
                <w:color w:val="000000"/>
                <w:kern w:val="0"/>
                <w:sz w:val="24"/>
                <w:lang w:bidi="ar"/>
              </w:rPr>
              <w:t>（1）</w:t>
            </w:r>
            <w:r>
              <w:rPr>
                <w:rFonts w:eastAsia="仿宋"/>
                <w:color w:val="000000"/>
                <w:kern w:val="0"/>
                <w:sz w:val="24"/>
                <w:lang w:bidi="ar"/>
              </w:rPr>
              <w:t>工业生产过程中产生的尾矿（共伴生矿）、煤矸石、粉煤灰、冶金渣、化工渣（工业副产石膏）类年综合利用量不低于10万吨</w:t>
            </w:r>
            <w:r>
              <w:rPr>
                <w:rFonts w:hint="eastAsia" w:eastAsia="仿宋"/>
                <w:color w:val="000000"/>
                <w:kern w:val="0"/>
                <w:sz w:val="24"/>
                <w:lang w:bidi="ar"/>
              </w:rPr>
              <w:t>；</w:t>
            </w:r>
          </w:p>
          <w:p w14:paraId="5D9A536D">
            <w:pPr>
              <w:adjustRightInd w:val="0"/>
              <w:snapToGrid w:val="0"/>
              <w:spacing w:line="320" w:lineRule="exact"/>
              <w:jc w:val="left"/>
              <w:rPr>
                <w:rFonts w:eastAsia="仿宋"/>
                <w:color w:val="000000"/>
                <w:kern w:val="0"/>
                <w:sz w:val="24"/>
                <w:lang w:bidi="ar"/>
              </w:rPr>
            </w:pPr>
            <w:r>
              <w:rPr>
                <w:rFonts w:hint="eastAsia" w:eastAsia="仿宋"/>
                <w:color w:val="000000"/>
                <w:kern w:val="0"/>
                <w:sz w:val="24"/>
                <w:lang w:bidi="ar"/>
              </w:rPr>
              <w:t>（2）</w:t>
            </w:r>
            <w:r>
              <w:rPr>
                <w:rFonts w:eastAsia="仿宋"/>
                <w:color w:val="000000"/>
                <w:kern w:val="0"/>
                <w:sz w:val="24"/>
                <w:lang w:bidi="ar"/>
              </w:rPr>
              <w:t>有色金属类年综合利用量不低于5万吨，其中稀贵金属、废旧锂离子电池年综合利用量不低于1万吨；</w:t>
            </w:r>
          </w:p>
          <w:p w14:paraId="6E168D5B">
            <w:pPr>
              <w:adjustRightInd w:val="0"/>
              <w:snapToGrid w:val="0"/>
              <w:spacing w:line="320" w:lineRule="exact"/>
              <w:jc w:val="left"/>
              <w:rPr>
                <w:rFonts w:eastAsia="仿宋"/>
                <w:color w:val="000000"/>
                <w:kern w:val="0"/>
                <w:sz w:val="24"/>
                <w:lang w:bidi="ar"/>
              </w:rPr>
            </w:pPr>
            <w:r>
              <w:rPr>
                <w:rFonts w:hint="eastAsia" w:eastAsia="仿宋"/>
                <w:color w:val="000000"/>
                <w:kern w:val="0"/>
                <w:sz w:val="24"/>
                <w:lang w:bidi="ar"/>
              </w:rPr>
              <w:t>（3）</w:t>
            </w:r>
            <w:r>
              <w:rPr>
                <w:rFonts w:eastAsia="仿宋"/>
                <w:color w:val="000000"/>
                <w:kern w:val="0"/>
                <w:sz w:val="24"/>
                <w:lang w:bidi="ar"/>
              </w:rPr>
              <w:t>废钢铁年综合利用量不低于10万吨；</w:t>
            </w:r>
          </w:p>
          <w:p w14:paraId="155F60DC">
            <w:pPr>
              <w:adjustRightInd w:val="0"/>
              <w:snapToGrid w:val="0"/>
              <w:spacing w:line="320" w:lineRule="exact"/>
              <w:jc w:val="left"/>
              <w:rPr>
                <w:rFonts w:eastAsia="仿宋"/>
                <w:color w:val="000000"/>
                <w:kern w:val="0"/>
                <w:sz w:val="24"/>
                <w:lang w:bidi="ar"/>
              </w:rPr>
            </w:pPr>
            <w:r>
              <w:rPr>
                <w:rFonts w:hint="eastAsia" w:eastAsia="仿宋"/>
                <w:color w:val="000000"/>
                <w:kern w:val="0"/>
                <w:sz w:val="24"/>
                <w:lang w:bidi="ar"/>
              </w:rPr>
              <w:t>（4）</w:t>
            </w:r>
            <w:r>
              <w:rPr>
                <w:rFonts w:eastAsia="仿宋"/>
                <w:color w:val="000000"/>
                <w:kern w:val="0"/>
                <w:sz w:val="24"/>
                <w:lang w:bidi="ar"/>
              </w:rPr>
              <w:t>其他资源年综合利用量不低于2万吨。</w:t>
            </w:r>
          </w:p>
        </w:tc>
        <w:tc>
          <w:tcPr>
            <w:tcW w:w="806" w:type="dxa"/>
            <w:tcBorders>
              <w:top w:val="single" w:color="auto" w:sz="4" w:space="0"/>
              <w:left w:val="single" w:color="auto" w:sz="4" w:space="0"/>
              <w:bottom w:val="single" w:color="auto" w:sz="4" w:space="0"/>
              <w:right w:val="single" w:color="auto" w:sz="4" w:space="0"/>
            </w:tcBorders>
            <w:noWrap w:val="0"/>
            <w:vAlign w:val="center"/>
          </w:tcPr>
          <w:p w14:paraId="3218C45B">
            <w:pPr>
              <w:widowControl/>
              <w:spacing w:line="280" w:lineRule="exact"/>
              <w:jc w:val="center"/>
              <w:rPr>
                <w:rFonts w:eastAsia="仿宋"/>
                <w:color w:val="000000"/>
                <w:kern w:val="0"/>
                <w:sz w:val="24"/>
                <w:lang w:bidi="ar"/>
              </w:rPr>
            </w:pPr>
            <w:r>
              <w:rPr>
                <w:rFonts w:eastAsia="仿宋"/>
                <w:color w:val="000000"/>
                <w:kern w:val="0"/>
                <w:sz w:val="24"/>
                <w:lang w:bidi="ar"/>
              </w:rPr>
              <w:t>奖励</w:t>
            </w:r>
          </w:p>
        </w:tc>
        <w:tc>
          <w:tcPr>
            <w:tcW w:w="1768" w:type="dxa"/>
            <w:tcBorders>
              <w:top w:val="single" w:color="auto" w:sz="4" w:space="0"/>
              <w:left w:val="single" w:color="auto" w:sz="4" w:space="0"/>
              <w:bottom w:val="single" w:color="auto" w:sz="4" w:space="0"/>
              <w:right w:val="single" w:color="auto" w:sz="4" w:space="0"/>
            </w:tcBorders>
            <w:noWrap w:val="0"/>
            <w:vAlign w:val="center"/>
          </w:tcPr>
          <w:p w14:paraId="18230EE8">
            <w:pPr>
              <w:widowControl/>
              <w:spacing w:line="280" w:lineRule="exact"/>
              <w:jc w:val="center"/>
              <w:rPr>
                <w:rFonts w:eastAsia="仿宋"/>
                <w:color w:val="000000"/>
                <w:kern w:val="0"/>
                <w:sz w:val="24"/>
                <w:lang w:bidi="ar"/>
              </w:rPr>
            </w:pPr>
            <w:r>
              <w:rPr>
                <w:rFonts w:eastAsia="仿宋"/>
                <w:color w:val="000000"/>
                <w:kern w:val="0"/>
                <w:sz w:val="24"/>
                <w:lang w:bidi="ar"/>
              </w:rPr>
              <w:t>节能与综合利用处</w:t>
            </w:r>
          </w:p>
          <w:p w14:paraId="21F40C61">
            <w:pPr>
              <w:widowControl/>
              <w:spacing w:line="280" w:lineRule="exact"/>
              <w:jc w:val="center"/>
              <w:rPr>
                <w:rFonts w:eastAsia="仿宋"/>
                <w:color w:val="000000"/>
                <w:kern w:val="0"/>
                <w:sz w:val="24"/>
                <w:lang w:bidi="ar"/>
              </w:rPr>
            </w:pPr>
            <w:r>
              <w:rPr>
                <w:rFonts w:eastAsia="仿宋"/>
                <w:color w:val="000000"/>
                <w:kern w:val="0"/>
                <w:sz w:val="24"/>
                <w:lang w:bidi="ar"/>
              </w:rPr>
              <w:t>匡夏炎0731-88955372</w:t>
            </w:r>
          </w:p>
          <w:p w14:paraId="716023DE">
            <w:pPr>
              <w:pStyle w:val="3"/>
              <w:spacing w:line="300" w:lineRule="exact"/>
            </w:pPr>
          </w:p>
          <w:p w14:paraId="51BBF38B">
            <w:pPr>
              <w:pStyle w:val="3"/>
              <w:rPr>
                <w:rFonts w:eastAsia="仿宋"/>
                <w:sz w:val="24"/>
              </w:rPr>
            </w:pPr>
          </w:p>
        </w:tc>
      </w:tr>
      <w:tr w14:paraId="2979FBDD">
        <w:tblPrEx>
          <w:tblCellMar>
            <w:top w:w="0" w:type="dxa"/>
            <w:left w:w="108" w:type="dxa"/>
            <w:bottom w:w="0" w:type="dxa"/>
            <w:right w:w="108" w:type="dxa"/>
          </w:tblCellMar>
        </w:tblPrEx>
        <w:trPr>
          <w:trHeight w:val="3810" w:hRule="atLeast"/>
          <w:jc w:val="center"/>
        </w:trPr>
        <w:tc>
          <w:tcPr>
            <w:tcW w:w="1215" w:type="dxa"/>
            <w:tcBorders>
              <w:top w:val="single" w:color="auto" w:sz="4" w:space="0"/>
              <w:left w:val="single" w:color="auto" w:sz="4" w:space="0"/>
              <w:bottom w:val="single" w:color="auto" w:sz="4" w:space="0"/>
              <w:right w:val="single" w:color="auto" w:sz="4" w:space="0"/>
            </w:tcBorders>
            <w:noWrap w:val="0"/>
            <w:vAlign w:val="center"/>
          </w:tcPr>
          <w:p w14:paraId="0566793C">
            <w:pPr>
              <w:adjustRightInd w:val="0"/>
              <w:snapToGrid w:val="0"/>
              <w:spacing w:line="320" w:lineRule="exact"/>
              <w:rPr>
                <w:rFonts w:eastAsia="黑体"/>
                <w:color w:val="000000"/>
                <w:sz w:val="24"/>
              </w:rPr>
            </w:pPr>
            <w:r>
              <w:rPr>
                <w:rFonts w:hint="eastAsia" w:ascii="黑体" w:hAnsi="黑体" w:eastAsia="黑体" w:cs="黑体"/>
                <w:color w:val="000000"/>
                <w:sz w:val="24"/>
              </w:rPr>
              <w:t>九、</w:t>
            </w:r>
            <w:r>
              <w:rPr>
                <w:rFonts w:ascii="黑体" w:hAnsi="黑体" w:eastAsia="黑体" w:cs="黑体"/>
                <w:color w:val="000000"/>
                <w:sz w:val="24"/>
              </w:rPr>
              <w:t>省重点产业链群产教融合项目</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21E4BF">
            <w:pPr>
              <w:spacing w:line="320" w:lineRule="exact"/>
              <w:rPr>
                <w:rFonts w:eastAsia="仿宋"/>
                <w:color w:val="000000"/>
                <w:kern w:val="0"/>
                <w:sz w:val="24"/>
                <w:lang w:bidi="ar"/>
              </w:rPr>
            </w:pPr>
            <w:r>
              <w:rPr>
                <w:rFonts w:eastAsia="仿宋"/>
                <w:sz w:val="24"/>
              </w:rPr>
              <w:t>支持湖南省重点产业链群职业院校和高校实施的产教融合项目，重点支持精准对接我省轨道交通、工程机械、汽车、</w:t>
            </w:r>
            <w:r>
              <w:rPr>
                <w:rFonts w:hint="eastAsia" w:eastAsia="仿宋"/>
                <w:sz w:val="24"/>
              </w:rPr>
              <w:t>数字经济、</w:t>
            </w:r>
            <w:r>
              <w:rPr>
                <w:rFonts w:eastAsia="仿宋"/>
                <w:sz w:val="24"/>
              </w:rPr>
              <w:t>电子信息、航空航天、军民融合、新材料、生物医药等重点产业链群及其他优势特色产业的高</w:t>
            </w:r>
            <w:r>
              <w:rPr>
                <w:rFonts w:hint="eastAsia" w:eastAsia="仿宋"/>
                <w:sz w:val="24"/>
              </w:rPr>
              <w:t>技术</w:t>
            </w:r>
            <w:r>
              <w:rPr>
                <w:rFonts w:eastAsia="仿宋"/>
                <w:sz w:val="24"/>
              </w:rPr>
              <w:t>技能人才需求，优化调整学科和专业结构</w:t>
            </w:r>
            <w:r>
              <w:rPr>
                <w:rFonts w:hint="eastAsia" w:eastAsia="仿宋"/>
                <w:sz w:val="24"/>
              </w:rPr>
              <w:t>，培养</w:t>
            </w:r>
            <w:r>
              <w:rPr>
                <w:rFonts w:eastAsia="仿宋"/>
                <w:sz w:val="24"/>
              </w:rPr>
              <w:t>急需紧缺技术技能人才的</w:t>
            </w:r>
            <w:r>
              <w:rPr>
                <w:rFonts w:hint="eastAsia" w:eastAsia="仿宋"/>
                <w:sz w:val="24"/>
              </w:rPr>
              <w:t>省内</w:t>
            </w:r>
            <w:r>
              <w:rPr>
                <w:rFonts w:eastAsia="仿宋"/>
                <w:sz w:val="24"/>
              </w:rPr>
              <w:t>职业院校和高校。</w:t>
            </w:r>
          </w:p>
        </w:tc>
        <w:tc>
          <w:tcPr>
            <w:tcW w:w="7052" w:type="dxa"/>
            <w:tcBorders>
              <w:top w:val="single" w:color="auto" w:sz="4" w:space="0"/>
              <w:left w:val="single" w:color="auto" w:sz="4" w:space="0"/>
              <w:bottom w:val="single" w:color="auto" w:sz="4" w:space="0"/>
              <w:right w:val="single" w:color="auto" w:sz="4" w:space="0"/>
            </w:tcBorders>
            <w:noWrap w:val="0"/>
            <w:vAlign w:val="center"/>
          </w:tcPr>
          <w:p w14:paraId="25036767">
            <w:pPr>
              <w:adjustRightInd w:val="0"/>
              <w:snapToGrid w:val="0"/>
              <w:spacing w:line="320" w:lineRule="exact"/>
              <w:jc w:val="left"/>
              <w:rPr>
                <w:rFonts w:hint="eastAsia" w:eastAsia="仿宋"/>
                <w:color w:val="000000"/>
                <w:kern w:val="0"/>
                <w:sz w:val="24"/>
                <w:lang w:bidi="ar"/>
              </w:rPr>
            </w:pPr>
            <w:r>
              <w:rPr>
                <w:rFonts w:hint="eastAsia" w:eastAsia="仿宋"/>
                <w:color w:val="000000"/>
                <w:kern w:val="0"/>
                <w:sz w:val="24"/>
                <w:lang w:bidi="ar"/>
              </w:rPr>
              <w:t>一、申报产教融合项目的职业院校或高等学校应符合如下条件：</w:t>
            </w:r>
          </w:p>
          <w:p w14:paraId="2B7F6DE2">
            <w:pPr>
              <w:adjustRightInd w:val="0"/>
              <w:snapToGrid w:val="0"/>
              <w:spacing w:line="320" w:lineRule="exact"/>
              <w:jc w:val="left"/>
              <w:rPr>
                <w:rFonts w:hint="eastAsia" w:eastAsia="仿宋"/>
                <w:color w:val="000000"/>
                <w:kern w:val="0"/>
                <w:sz w:val="24"/>
                <w:lang w:bidi="ar"/>
              </w:rPr>
            </w:pPr>
            <w:r>
              <w:rPr>
                <w:rFonts w:hint="eastAsia" w:eastAsia="仿宋"/>
                <w:color w:val="000000"/>
                <w:kern w:val="0"/>
                <w:sz w:val="24"/>
                <w:lang w:bidi="ar"/>
              </w:rPr>
              <w:t>1.聚焦“4×4”现代化产业体系建设，紧扣全省13条重点产业链骨干专业建设情况。学校重点建设专业（职业工种）设置与我省重点产业链群发展需求结合情况。学校结合全省产业链发展重点和地方主导产业，动态调整专业设置，实施专业学科（工种）和工学一体化技能人才培养模式情况。学校相关专业在资源建设、办学水平等方面在本省和本行业的影响力情况。学校产教融合发展规划、重点、特色及成效等情况。</w:t>
            </w:r>
          </w:p>
          <w:p w14:paraId="5DE9EDAE">
            <w:pPr>
              <w:adjustRightInd w:val="0"/>
              <w:snapToGrid w:val="0"/>
              <w:spacing w:line="320" w:lineRule="exact"/>
              <w:jc w:val="left"/>
              <w:rPr>
                <w:rFonts w:hint="eastAsia" w:eastAsia="仿宋"/>
                <w:color w:val="000000"/>
                <w:kern w:val="0"/>
                <w:sz w:val="24"/>
                <w:lang w:bidi="ar"/>
              </w:rPr>
            </w:pPr>
            <w:r>
              <w:rPr>
                <w:rFonts w:hint="eastAsia" w:eastAsia="仿宋"/>
                <w:color w:val="000000"/>
                <w:kern w:val="0"/>
                <w:sz w:val="24"/>
                <w:lang w:bidi="ar"/>
              </w:rPr>
              <w:t>2.促进产教融合创新发展，围绕我省重点产业链群，对接当地重点产业或园区发展人才需求，开展人才培养、培训情况。在省内产业园区建设主校区、分校区或培训基地及其运行情况。</w:t>
            </w:r>
          </w:p>
          <w:p w14:paraId="741A4E40">
            <w:pPr>
              <w:adjustRightInd w:val="0"/>
              <w:snapToGrid w:val="0"/>
              <w:spacing w:line="320" w:lineRule="exact"/>
              <w:jc w:val="left"/>
              <w:rPr>
                <w:rFonts w:hint="eastAsia" w:eastAsia="仿宋"/>
                <w:color w:val="000000"/>
                <w:kern w:val="0"/>
                <w:sz w:val="24"/>
                <w:lang w:bidi="ar"/>
              </w:rPr>
            </w:pPr>
            <w:r>
              <w:rPr>
                <w:rFonts w:hint="eastAsia" w:eastAsia="仿宋"/>
                <w:color w:val="000000"/>
                <w:kern w:val="0"/>
                <w:sz w:val="24"/>
                <w:lang w:bidi="ar"/>
              </w:rPr>
              <w:t>3.推进现代学徒制试点、企业新型学徒制和1+X证书认证试点情况，校企合作共建产教融合实训基地、技能大师工作室、名师工作室，重点为我省产业园区、重点产业链群特色优势企业开展员工技能培训、技能等级鉴定等服务情况，获评教育部或人社部现代学徒制或新型学徒制试点院校和国家根基工程建设等情况。面向重点产业链群发展大力培养高技能人才，获评省级以上高技能人才培养基地。</w:t>
            </w:r>
          </w:p>
          <w:p w14:paraId="7E01B93C">
            <w:pPr>
              <w:adjustRightInd w:val="0"/>
              <w:snapToGrid w:val="0"/>
              <w:spacing w:line="320" w:lineRule="exact"/>
              <w:jc w:val="left"/>
              <w:rPr>
                <w:rFonts w:hint="eastAsia" w:eastAsia="仿宋"/>
                <w:color w:val="000000"/>
                <w:kern w:val="0"/>
                <w:sz w:val="24"/>
                <w:lang w:bidi="ar"/>
              </w:rPr>
            </w:pPr>
            <w:r>
              <w:rPr>
                <w:rFonts w:hint="eastAsia" w:eastAsia="仿宋"/>
                <w:color w:val="000000"/>
                <w:kern w:val="0"/>
                <w:sz w:val="24"/>
                <w:lang w:bidi="ar"/>
              </w:rPr>
              <w:t>4.探索产教融合新模式，与重点产业链群企业、园区共建建立产教融合公共技术服务平台等服务平台，有效促进创新成果与核心技术产业化情况。</w:t>
            </w:r>
          </w:p>
          <w:p w14:paraId="12BCDCB1">
            <w:pPr>
              <w:adjustRightInd w:val="0"/>
              <w:snapToGrid w:val="0"/>
              <w:spacing w:line="320" w:lineRule="exact"/>
              <w:jc w:val="left"/>
              <w:rPr>
                <w:rFonts w:hint="eastAsia" w:eastAsia="仿宋"/>
                <w:color w:val="000000"/>
                <w:kern w:val="0"/>
                <w:sz w:val="24"/>
                <w:lang w:bidi="ar"/>
              </w:rPr>
            </w:pPr>
            <w:r>
              <w:rPr>
                <w:rFonts w:hint="eastAsia" w:eastAsia="仿宋"/>
                <w:color w:val="000000"/>
                <w:kern w:val="0"/>
                <w:sz w:val="24"/>
                <w:lang w:bidi="ar"/>
              </w:rPr>
              <w:t>5.服务湖南省重点产业链群和特色优势产业发展，培养输送急需紧缺高技术技能人才情况，近三年与全省产业链群重点企业深度合作并完成工学交替和顶岗实习人数，或所培养应届毕业生在省内产业链群企业就业的比例情况。</w:t>
            </w:r>
          </w:p>
          <w:p w14:paraId="189FF84B">
            <w:pPr>
              <w:adjustRightInd w:val="0"/>
              <w:snapToGrid w:val="0"/>
              <w:spacing w:line="320" w:lineRule="exact"/>
              <w:jc w:val="left"/>
              <w:rPr>
                <w:rFonts w:hint="eastAsia" w:eastAsia="仿宋"/>
                <w:color w:val="000000"/>
                <w:kern w:val="0"/>
                <w:sz w:val="24"/>
                <w:lang w:bidi="ar"/>
              </w:rPr>
            </w:pPr>
            <w:r>
              <w:rPr>
                <w:rFonts w:hint="eastAsia" w:eastAsia="仿宋"/>
                <w:color w:val="000000"/>
                <w:kern w:val="0"/>
                <w:sz w:val="24"/>
                <w:lang w:bidi="ar"/>
              </w:rPr>
              <w:t>6.支撑全省工业和信息化工作，服务打造国家重要先进制造业高地工作情况。其他情况（含服务乡村振兴工作等其他履行学校社会责任等情况）。</w:t>
            </w:r>
          </w:p>
          <w:p w14:paraId="1140721B">
            <w:pPr>
              <w:adjustRightInd w:val="0"/>
              <w:snapToGrid w:val="0"/>
              <w:spacing w:line="320" w:lineRule="exact"/>
              <w:jc w:val="left"/>
              <w:rPr>
                <w:rFonts w:eastAsia="仿宋"/>
                <w:color w:val="000000"/>
                <w:kern w:val="0"/>
                <w:sz w:val="24"/>
                <w:lang w:bidi="ar"/>
              </w:rPr>
            </w:pPr>
            <w:r>
              <w:rPr>
                <w:rFonts w:hint="eastAsia" w:eastAsia="仿宋"/>
                <w:color w:val="000000"/>
                <w:kern w:val="0"/>
                <w:sz w:val="24"/>
                <w:lang w:bidi="ar"/>
              </w:rPr>
              <w:t>二、</w:t>
            </w:r>
            <w:r>
              <w:rPr>
                <w:rFonts w:eastAsia="仿宋"/>
                <w:color w:val="000000"/>
                <w:kern w:val="0"/>
                <w:sz w:val="24"/>
                <w:lang w:bidi="ar"/>
              </w:rPr>
              <w:t>市州工信局、财政局对网上申报资料、纸质申报资料负责审核把关，并择优向省工信厅、省财政厅行文推荐</w:t>
            </w:r>
            <w:r>
              <w:rPr>
                <w:rFonts w:hint="eastAsia" w:eastAsia="仿宋"/>
                <w:color w:val="000000"/>
                <w:kern w:val="0"/>
                <w:sz w:val="24"/>
                <w:lang w:bidi="ar"/>
              </w:rPr>
              <w:t>。长沙市推荐名额不超过4个，其他市州推荐名额不超过2个。</w:t>
            </w:r>
          </w:p>
        </w:tc>
        <w:tc>
          <w:tcPr>
            <w:tcW w:w="806" w:type="dxa"/>
            <w:tcBorders>
              <w:top w:val="single" w:color="auto" w:sz="4" w:space="0"/>
              <w:left w:val="single" w:color="auto" w:sz="4" w:space="0"/>
              <w:bottom w:val="single" w:color="auto" w:sz="4" w:space="0"/>
              <w:right w:val="single" w:color="auto" w:sz="4" w:space="0"/>
            </w:tcBorders>
            <w:noWrap w:val="0"/>
            <w:vAlign w:val="center"/>
          </w:tcPr>
          <w:p w14:paraId="22A9C3B1">
            <w:pPr>
              <w:widowControl/>
              <w:spacing w:line="280" w:lineRule="exact"/>
              <w:jc w:val="center"/>
              <w:rPr>
                <w:rFonts w:eastAsia="仿宋"/>
                <w:color w:val="000000"/>
                <w:kern w:val="0"/>
                <w:sz w:val="24"/>
                <w:lang w:bidi="ar"/>
              </w:rPr>
            </w:pPr>
            <w:r>
              <w:rPr>
                <w:rFonts w:hint="eastAsia" w:ascii="仿宋_GB2312" w:hAnsi="仿宋_GB2312" w:eastAsia="仿宋_GB2312" w:cs="仿宋_GB2312"/>
                <w:sz w:val="24"/>
              </w:rPr>
              <w:t>奖励</w:t>
            </w:r>
          </w:p>
        </w:tc>
        <w:tc>
          <w:tcPr>
            <w:tcW w:w="1768" w:type="dxa"/>
            <w:tcBorders>
              <w:top w:val="single" w:color="auto" w:sz="4" w:space="0"/>
              <w:left w:val="single" w:color="auto" w:sz="4" w:space="0"/>
              <w:bottom w:val="single" w:color="auto" w:sz="4" w:space="0"/>
              <w:right w:val="single" w:color="auto" w:sz="4" w:space="0"/>
            </w:tcBorders>
            <w:noWrap w:val="0"/>
            <w:vAlign w:val="center"/>
          </w:tcPr>
          <w:p w14:paraId="1E68755C">
            <w:pPr>
              <w:widowControl/>
              <w:spacing w:line="280" w:lineRule="exact"/>
              <w:jc w:val="center"/>
              <w:rPr>
                <w:rFonts w:hint="eastAsia" w:eastAsia="仿宋"/>
                <w:color w:val="000000"/>
                <w:kern w:val="0"/>
                <w:sz w:val="24"/>
                <w:lang w:bidi="ar"/>
              </w:rPr>
            </w:pPr>
            <w:r>
              <w:rPr>
                <w:rFonts w:hint="eastAsia" w:eastAsia="仿宋"/>
                <w:color w:val="000000"/>
                <w:kern w:val="0"/>
                <w:sz w:val="24"/>
                <w:lang w:bidi="ar"/>
              </w:rPr>
              <w:t>人事教育处</w:t>
            </w:r>
          </w:p>
          <w:p w14:paraId="1EC29E69">
            <w:pPr>
              <w:widowControl/>
              <w:spacing w:line="280" w:lineRule="exact"/>
              <w:jc w:val="center"/>
              <w:rPr>
                <w:rFonts w:hint="eastAsia" w:eastAsia="仿宋"/>
                <w:color w:val="000000"/>
                <w:kern w:val="0"/>
                <w:sz w:val="24"/>
                <w:lang w:bidi="ar"/>
              </w:rPr>
            </w:pPr>
            <w:r>
              <w:rPr>
                <w:rFonts w:hint="eastAsia" w:eastAsia="仿宋"/>
                <w:color w:val="000000"/>
                <w:kern w:val="0"/>
                <w:sz w:val="24"/>
                <w:lang w:bidi="ar"/>
              </w:rPr>
              <w:t>文彬、涂薇</w:t>
            </w:r>
          </w:p>
          <w:p w14:paraId="62B5CC49">
            <w:pPr>
              <w:widowControl/>
              <w:spacing w:line="280" w:lineRule="exact"/>
              <w:jc w:val="center"/>
              <w:rPr>
                <w:rFonts w:eastAsia="仿宋"/>
                <w:color w:val="000000"/>
                <w:kern w:val="0"/>
                <w:sz w:val="24"/>
                <w:lang w:bidi="ar"/>
              </w:rPr>
            </w:pPr>
            <w:r>
              <w:rPr>
                <w:rFonts w:hint="eastAsia" w:eastAsia="仿宋"/>
                <w:color w:val="000000"/>
                <w:kern w:val="0"/>
                <w:sz w:val="24"/>
                <w:lang w:bidi="ar"/>
              </w:rPr>
              <w:t>0731-88955338</w:t>
            </w:r>
          </w:p>
          <w:p w14:paraId="614214A6">
            <w:pPr>
              <w:pStyle w:val="3"/>
              <w:spacing w:line="300" w:lineRule="exact"/>
              <w:rPr>
                <w:rFonts w:hint="eastAsia"/>
                <w:sz w:val="24"/>
              </w:rPr>
            </w:pPr>
          </w:p>
          <w:p w14:paraId="15AB4045">
            <w:pPr>
              <w:pStyle w:val="3"/>
              <w:rPr>
                <w:rFonts w:eastAsia="仿宋"/>
                <w:sz w:val="24"/>
              </w:rPr>
            </w:pPr>
          </w:p>
        </w:tc>
      </w:tr>
    </w:tbl>
    <w:p w14:paraId="64D9C886">
      <w:pPr>
        <w:rPr>
          <w:rFonts w:eastAsia="黑体"/>
          <w:sz w:val="28"/>
          <w:szCs w:val="28"/>
        </w:rPr>
        <w:sectPr>
          <w:pgSz w:w="16838" w:h="11906" w:orient="landscape"/>
          <w:pgMar w:top="2098" w:right="1247" w:bottom="1417" w:left="1587" w:header="964" w:footer="1247" w:gutter="0"/>
          <w:pgNumType w:fmt="numberInDash"/>
          <w:cols w:space="720" w:num="1"/>
          <w:titlePg/>
          <w:docGrid w:type="lines" w:linePitch="312" w:charSpace="0"/>
        </w:sectPr>
      </w:pPr>
    </w:p>
    <w:p w14:paraId="10D11224">
      <w:pPr>
        <w:spacing w:line="56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黑体简体">
    <w:altName w:val="微软雅黑"/>
    <w:panose1 w:val="02010601030101010101"/>
    <w:charset w:val="86"/>
    <w:family w:val="auto"/>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EE9FF3"/>
    <w:multiLevelType w:val="singleLevel"/>
    <w:tmpl w:val="88EE9FF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1MjU4YmE5OGRlOTQ2MTk5NGQ5MzBiNjM4MmFlZjcifQ=="/>
  </w:docVars>
  <w:rsids>
    <w:rsidRoot w:val="2E5B29CF"/>
    <w:rsid w:val="2E5B2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99"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99"/>
    <w:pPr>
      <w:widowControl/>
      <w:spacing w:line="360" w:lineRule="auto"/>
      <w:ind w:firstLine="936" w:firstLineChars="200"/>
      <w:jc w:val="left"/>
    </w:pPr>
    <w:rPr>
      <w:rFonts w:ascii="Times New Roman" w:hAnsi="Times New Roman" w:eastAsia="仿宋_GB2312"/>
      <w:sz w:val="28"/>
      <w:szCs w:val="24"/>
    </w:rPr>
  </w:style>
  <w:style w:type="paragraph" w:styleId="3">
    <w:name w:val="index 5"/>
    <w:basedOn w:val="1"/>
    <w:next w:val="1"/>
    <w:qFormat/>
    <w:uiPriority w:val="99"/>
    <w:pPr>
      <w:ind w:left="1680"/>
    </w:pPr>
  </w:style>
  <w:style w:type="paragraph" w:styleId="4">
    <w:name w:val="footer"/>
    <w:basedOn w:val="1"/>
    <w:next w:val="3"/>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2025-06-26T01:16:00Z</dcterms:created>
  <dc:creator>杨祖德</dc:creator>
  <cp:lastModifiedBy>杨祖德</cp:lastModifiedBy>
  <dcterms:modified xsi:type="dcterms:W3CDTF">2025-06-26T01:16:55Z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B5151DF1C4004D1AA25FD8E8B376AB63_11</vt:lpwstr>
  </property>
</Properties>
</file>